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51A6F" w14:textId="77777777" w:rsidR="0092164C" w:rsidRPr="003207A7" w:rsidRDefault="0092164C" w:rsidP="0092164C">
      <w:pPr>
        <w:spacing w:before="0" w:after="200" w:line="276" w:lineRule="auto"/>
        <w:jc w:val="left"/>
        <w:rPr>
          <w:rFonts w:ascii="Arial Narrow" w:hAnsi="Arial Narrow" w:cs="Arial"/>
          <w:b/>
          <w:color w:val="000000" w:themeColor="text1"/>
          <w:sz w:val="32"/>
          <w:szCs w:val="36"/>
        </w:rPr>
      </w:pPr>
      <w:bookmarkStart w:id="0" w:name="_GoBack"/>
      <w:bookmarkEnd w:id="0"/>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r>
        <w:rPr>
          <w:rFonts w:ascii="Arial Narrow" w:hAnsi="Arial Narrow" w:cs="Arial"/>
          <w:b/>
          <w:color w:val="000000" w:themeColor="text1"/>
          <w:sz w:val="32"/>
          <w:szCs w:val="36"/>
        </w:rPr>
        <w:t xml:space="preserve"> : </w:t>
      </w:r>
      <w:r w:rsidRPr="00A51B70">
        <w:rPr>
          <w:rFonts w:ascii="Arial Narrow" w:hAnsi="Arial Narrow" w:cs="Arial"/>
          <w:b/>
          <w:color w:val="000000" w:themeColor="text1"/>
          <w:sz w:val="32"/>
          <w:szCs w:val="36"/>
        </w:rPr>
        <w:t>Déficit en MCT8</w:t>
      </w:r>
    </w:p>
    <w:p w14:paraId="3610CCF1" w14:textId="77777777" w:rsidR="004D5C26" w:rsidRPr="00687165" w:rsidRDefault="004D5C26" w:rsidP="004D5C26">
      <w:pPr>
        <w:spacing w:line="240" w:lineRule="auto"/>
      </w:pPr>
    </w:p>
    <w:p w14:paraId="3D9305C1" w14:textId="77777777" w:rsidR="004D5C26" w:rsidRPr="00687165" w:rsidRDefault="004D5C26" w:rsidP="004D5C26">
      <w:pPr>
        <w:suppressAutoHyphens/>
        <w:spacing w:line="240" w:lineRule="auto"/>
        <w:ind w:left="567" w:hanging="567"/>
        <w:rPr>
          <w:noProof/>
        </w:rPr>
      </w:pPr>
      <w:r>
        <w:rPr>
          <w:b/>
          <w:bCs/>
          <w:noProof/>
          <w:lang w:val="fr"/>
        </w:rPr>
        <w:t>1.</w:t>
      </w:r>
      <w:r>
        <w:rPr>
          <w:b/>
          <w:bCs/>
          <w:noProof/>
          <w:lang w:val="fr"/>
        </w:rPr>
        <w:tab/>
        <w:t xml:space="preserve">DÉNOMINATION </w:t>
      </w:r>
      <w:r>
        <w:rPr>
          <w:b/>
          <w:bCs/>
          <w:lang w:val="fr"/>
        </w:rPr>
        <w:t>DU</w:t>
      </w:r>
      <w:r>
        <w:rPr>
          <w:b/>
          <w:bCs/>
          <w:noProof/>
          <w:lang w:val="fr"/>
        </w:rPr>
        <w:t xml:space="preserve"> MÉDICAMENT</w:t>
      </w:r>
    </w:p>
    <w:p w14:paraId="492C524A" w14:textId="27DFA9FA" w:rsidR="004D5C26" w:rsidRPr="004D5C26" w:rsidRDefault="004D5C26" w:rsidP="004D5C26">
      <w:pPr>
        <w:widowControl w:val="0"/>
        <w:spacing w:line="240" w:lineRule="auto"/>
        <w:rPr>
          <w:noProof/>
        </w:rPr>
      </w:pPr>
      <w:r>
        <w:rPr>
          <w:noProof/>
          <w:lang w:val="fr"/>
        </w:rPr>
        <w:t xml:space="preserve">Emcitate 350 microgramme, comprimés </w:t>
      </w:r>
    </w:p>
    <w:p w14:paraId="445DB7A6" w14:textId="77777777" w:rsidR="004D5C26" w:rsidRPr="00687165" w:rsidRDefault="004D5C26" w:rsidP="004D5C26">
      <w:pPr>
        <w:spacing w:line="240" w:lineRule="auto"/>
        <w:rPr>
          <w:iCs/>
          <w:noProof/>
        </w:rPr>
      </w:pPr>
    </w:p>
    <w:p w14:paraId="5A5B422E" w14:textId="77777777" w:rsidR="004D5C26" w:rsidRPr="00687165" w:rsidRDefault="004D5C26" w:rsidP="004D5C26">
      <w:pPr>
        <w:suppressAutoHyphens/>
        <w:spacing w:line="240" w:lineRule="auto"/>
        <w:ind w:left="567" w:hanging="567"/>
        <w:rPr>
          <w:noProof/>
        </w:rPr>
      </w:pPr>
      <w:r>
        <w:rPr>
          <w:b/>
          <w:bCs/>
          <w:noProof/>
          <w:lang w:val="fr"/>
        </w:rPr>
        <w:t>2.</w:t>
      </w:r>
      <w:r>
        <w:rPr>
          <w:b/>
          <w:bCs/>
          <w:noProof/>
          <w:lang w:val="fr"/>
        </w:rPr>
        <w:tab/>
        <w:t>COMPOSITION QUALITATIVE ET QUANTITATIVE</w:t>
      </w:r>
    </w:p>
    <w:p w14:paraId="7A06C79B" w14:textId="77777777" w:rsidR="004D5C26" w:rsidRPr="00687165" w:rsidRDefault="004D5C26" w:rsidP="004D5C26">
      <w:pPr>
        <w:spacing w:line="240" w:lineRule="auto"/>
      </w:pPr>
      <w:r>
        <w:rPr>
          <w:lang w:val="fr"/>
        </w:rPr>
        <w:t xml:space="preserve">Chaque comprimé contient </w:t>
      </w:r>
      <w:r>
        <w:rPr>
          <w:noProof/>
          <w:lang w:val="fr"/>
        </w:rPr>
        <w:t>350 microgrammes de</w:t>
      </w:r>
      <w:r>
        <w:rPr>
          <w:lang w:val="fr"/>
        </w:rPr>
        <w:t xml:space="preserve"> </w:t>
      </w:r>
      <w:proofErr w:type="spellStart"/>
      <w:r>
        <w:rPr>
          <w:lang w:val="fr"/>
        </w:rPr>
        <w:t>tiratricol</w:t>
      </w:r>
      <w:proofErr w:type="spellEnd"/>
      <w:r>
        <w:rPr>
          <w:noProof/>
          <w:lang w:val="fr"/>
        </w:rPr>
        <w:t>.</w:t>
      </w:r>
    </w:p>
    <w:p w14:paraId="712490E6" w14:textId="77777777" w:rsidR="004D5C26" w:rsidRPr="00687165" w:rsidRDefault="004D5C26" w:rsidP="004D5C26">
      <w:pPr>
        <w:spacing w:line="240" w:lineRule="auto"/>
        <w:outlineLvl w:val="0"/>
      </w:pPr>
      <w:r>
        <w:rPr>
          <w:lang w:val="fr"/>
        </w:rPr>
        <w:t xml:space="preserve">Excipient à effet notoire </w:t>
      </w:r>
    </w:p>
    <w:p w14:paraId="22D7B0AE" w14:textId="77777777" w:rsidR="004D5C26" w:rsidRPr="00687165" w:rsidRDefault="004D5C26" w:rsidP="004D5C26">
      <w:pPr>
        <w:spacing w:line="240" w:lineRule="auto"/>
        <w:outlineLvl w:val="0"/>
        <w:rPr>
          <w:noProof/>
        </w:rPr>
      </w:pPr>
      <w:r>
        <w:rPr>
          <w:lang w:val="fr"/>
        </w:rPr>
        <w:t>Chaque comprimé contient 20 mg de lactose (sous forme de monohydrate).</w:t>
      </w:r>
    </w:p>
    <w:p w14:paraId="47A1D70E" w14:textId="77777777" w:rsidR="004D5C26" w:rsidRPr="00687165" w:rsidRDefault="004D5C26" w:rsidP="004D5C26">
      <w:pPr>
        <w:spacing w:line="240" w:lineRule="auto"/>
        <w:outlineLvl w:val="0"/>
        <w:rPr>
          <w:noProof/>
        </w:rPr>
      </w:pPr>
      <w:r>
        <w:rPr>
          <w:noProof/>
          <w:lang w:val="fr"/>
        </w:rPr>
        <w:t>Pour la liste complète des excipients, voir rubrique 6.1.</w:t>
      </w:r>
    </w:p>
    <w:p w14:paraId="26C417BE" w14:textId="77777777" w:rsidR="004D5C26" w:rsidRPr="00687165" w:rsidRDefault="004D5C26" w:rsidP="004D5C26">
      <w:pPr>
        <w:spacing w:line="240" w:lineRule="auto"/>
      </w:pPr>
    </w:p>
    <w:p w14:paraId="4BCF9DD4" w14:textId="77777777" w:rsidR="004D5C26" w:rsidRPr="00687165" w:rsidRDefault="004D5C26" w:rsidP="004D5C26">
      <w:pPr>
        <w:suppressAutoHyphens/>
        <w:spacing w:line="240" w:lineRule="auto"/>
        <w:ind w:left="567" w:hanging="567"/>
        <w:rPr>
          <w:caps/>
          <w:noProof/>
        </w:rPr>
      </w:pPr>
      <w:r>
        <w:rPr>
          <w:b/>
          <w:bCs/>
          <w:noProof/>
          <w:lang w:val="fr"/>
        </w:rPr>
        <w:t>3.</w:t>
      </w:r>
      <w:r>
        <w:rPr>
          <w:b/>
          <w:bCs/>
          <w:noProof/>
          <w:lang w:val="fr"/>
        </w:rPr>
        <w:tab/>
        <w:t xml:space="preserve">FORME </w:t>
      </w:r>
      <w:r w:rsidRPr="00534DAE">
        <w:rPr>
          <w:b/>
          <w:bCs/>
          <w:noProof/>
          <w:lang w:val="fr"/>
        </w:rPr>
        <w:t>PHARMACEUTIQUE</w:t>
      </w:r>
    </w:p>
    <w:p w14:paraId="76E6A4A1" w14:textId="77777777" w:rsidR="004D5C26" w:rsidRPr="00687165" w:rsidRDefault="004D5C26" w:rsidP="004D5C26">
      <w:pPr>
        <w:spacing w:line="240" w:lineRule="auto"/>
        <w:rPr>
          <w:noProof/>
        </w:rPr>
      </w:pPr>
      <w:r>
        <w:rPr>
          <w:noProof/>
          <w:lang w:val="fr"/>
        </w:rPr>
        <w:t>Comprimé.</w:t>
      </w:r>
    </w:p>
    <w:p w14:paraId="6B840207" w14:textId="0DF16FA8" w:rsidR="004D5C26" w:rsidRDefault="004D5C26" w:rsidP="004D5C26">
      <w:pPr>
        <w:spacing w:line="240" w:lineRule="auto"/>
      </w:pPr>
      <w:r>
        <w:rPr>
          <w:lang w:val="fr"/>
        </w:rPr>
        <w:t>Comprimé blanc</w:t>
      </w:r>
    </w:p>
    <w:p w14:paraId="19D3D1D5" w14:textId="77777777" w:rsidR="00D306B5" w:rsidRPr="00687165" w:rsidRDefault="00D306B5" w:rsidP="004D5C26">
      <w:pPr>
        <w:spacing w:line="240" w:lineRule="auto"/>
      </w:pPr>
    </w:p>
    <w:p w14:paraId="424EB2AA" w14:textId="77777777" w:rsidR="004D5C26" w:rsidRPr="00687165" w:rsidRDefault="004D5C26" w:rsidP="004D5C26">
      <w:pPr>
        <w:suppressAutoHyphens/>
        <w:spacing w:line="240" w:lineRule="auto"/>
        <w:ind w:left="567" w:hanging="567"/>
        <w:rPr>
          <w:caps/>
          <w:noProof/>
        </w:rPr>
      </w:pPr>
      <w:r>
        <w:rPr>
          <w:b/>
          <w:bCs/>
          <w:caps/>
          <w:noProof/>
          <w:lang w:val="fr"/>
        </w:rPr>
        <w:t>4.</w:t>
      </w:r>
      <w:r>
        <w:rPr>
          <w:b/>
          <w:bCs/>
          <w:caps/>
          <w:noProof/>
          <w:lang w:val="fr"/>
        </w:rPr>
        <w:tab/>
      </w:r>
      <w:r>
        <w:rPr>
          <w:b/>
          <w:bCs/>
          <w:noProof/>
          <w:lang w:val="fr"/>
        </w:rPr>
        <w:t>INFORMATIONS</w:t>
      </w:r>
      <w:r>
        <w:rPr>
          <w:rFonts w:ascii="Times New Roman Bold" w:hAnsi="Times New Roman Bold"/>
          <w:b/>
          <w:bCs/>
          <w:noProof/>
          <w:lang w:val="fr"/>
        </w:rPr>
        <w:t xml:space="preserve"> CLINIQUES</w:t>
      </w:r>
    </w:p>
    <w:p w14:paraId="602901CB" w14:textId="77777777" w:rsidR="004D5C26" w:rsidRPr="00687165" w:rsidRDefault="004D5C26" w:rsidP="004D5C26">
      <w:pPr>
        <w:spacing w:line="240" w:lineRule="auto"/>
        <w:rPr>
          <w:noProof/>
        </w:rPr>
      </w:pPr>
    </w:p>
    <w:p w14:paraId="2036A104" w14:textId="77777777" w:rsidR="004D5C26" w:rsidRPr="00687165" w:rsidRDefault="004D5C26" w:rsidP="004D5C26">
      <w:pPr>
        <w:spacing w:line="240" w:lineRule="auto"/>
        <w:ind w:left="567" w:hanging="567"/>
        <w:outlineLvl w:val="0"/>
        <w:rPr>
          <w:noProof/>
        </w:rPr>
      </w:pPr>
      <w:r>
        <w:rPr>
          <w:b/>
          <w:bCs/>
          <w:noProof/>
          <w:lang w:val="fr"/>
        </w:rPr>
        <w:t>4.1</w:t>
      </w:r>
      <w:r>
        <w:rPr>
          <w:b/>
          <w:bCs/>
          <w:noProof/>
          <w:lang w:val="fr"/>
        </w:rPr>
        <w:tab/>
        <w:t>Indications thérapeutiques</w:t>
      </w:r>
    </w:p>
    <w:p w14:paraId="6ACBC8E1" w14:textId="77777777" w:rsidR="004D5C26" w:rsidRPr="0057420B" w:rsidRDefault="004D5C26" w:rsidP="004D5C26">
      <w:pPr>
        <w:spacing w:line="240" w:lineRule="auto"/>
      </w:pPr>
      <w:bookmarkStart w:id="1" w:name="_Hlk29211177"/>
      <w:proofErr w:type="spellStart"/>
      <w:r>
        <w:rPr>
          <w:lang w:val="fr"/>
        </w:rPr>
        <w:t>Emcitate</w:t>
      </w:r>
      <w:proofErr w:type="spellEnd"/>
      <w:r>
        <w:rPr>
          <w:lang w:val="fr"/>
        </w:rPr>
        <w:t xml:space="preserve"> est indiqué dans le </w:t>
      </w:r>
      <w:bookmarkEnd w:id="1"/>
      <w:r>
        <w:rPr>
          <w:lang w:val="fr"/>
        </w:rPr>
        <w:t>t</w:t>
      </w:r>
      <w:proofErr w:type="spellStart"/>
      <w:r w:rsidRPr="0057420B">
        <w:t>raitement</w:t>
      </w:r>
      <w:proofErr w:type="spellEnd"/>
      <w:r w:rsidRPr="0057420B">
        <w:t xml:space="preserve"> du déficit en transporteur 8 de </w:t>
      </w:r>
      <w:proofErr w:type="spellStart"/>
      <w:r w:rsidRPr="0057420B">
        <w:t>monocarboxylate</w:t>
      </w:r>
      <w:proofErr w:type="spellEnd"/>
      <w:r w:rsidRPr="0057420B">
        <w:t xml:space="preserve"> (MCT8) confirmé génétiquement chez l’enfant dès le diagnostic ou chez l’adulte.</w:t>
      </w:r>
    </w:p>
    <w:p w14:paraId="26E642F2" w14:textId="77777777" w:rsidR="004D5C26" w:rsidRPr="00687165" w:rsidRDefault="004D5C26" w:rsidP="004D5C26">
      <w:pPr>
        <w:spacing w:line="240" w:lineRule="auto"/>
        <w:rPr>
          <w:noProof/>
        </w:rPr>
      </w:pPr>
    </w:p>
    <w:p w14:paraId="6AA30445" w14:textId="77777777" w:rsidR="004D5C26" w:rsidRPr="0057420B" w:rsidRDefault="004D5C26" w:rsidP="004D5C26">
      <w:pPr>
        <w:spacing w:line="240" w:lineRule="auto"/>
        <w:outlineLvl w:val="0"/>
        <w:rPr>
          <w:b/>
          <w:noProof/>
        </w:rPr>
      </w:pPr>
      <w:r>
        <w:rPr>
          <w:b/>
          <w:bCs/>
          <w:noProof/>
          <w:lang w:val="fr"/>
        </w:rPr>
        <w:t>4.2</w:t>
      </w:r>
      <w:r>
        <w:rPr>
          <w:b/>
          <w:bCs/>
          <w:noProof/>
          <w:lang w:val="fr"/>
        </w:rPr>
        <w:tab/>
        <w:t>Posologie et mode d’administration</w:t>
      </w:r>
    </w:p>
    <w:p w14:paraId="0AE7BA6A" w14:textId="77777777" w:rsidR="004D5C26" w:rsidRPr="00687165" w:rsidRDefault="004D5C26" w:rsidP="004D5C26">
      <w:pPr>
        <w:spacing w:line="240" w:lineRule="auto"/>
      </w:pPr>
      <w:r>
        <w:rPr>
          <w:lang w:val="fr"/>
        </w:rPr>
        <w:t xml:space="preserve">Le traitement doit être initié et supervisé par des médecins qualifiés et expérimentés dans le </w:t>
      </w:r>
      <w:proofErr w:type="gramStart"/>
      <w:r>
        <w:rPr>
          <w:lang w:val="fr"/>
        </w:rPr>
        <w:t>diagnostic</w:t>
      </w:r>
      <w:proofErr w:type="gramEnd"/>
      <w:r>
        <w:rPr>
          <w:lang w:val="fr"/>
        </w:rPr>
        <w:t xml:space="preserve"> et la prise en charge des patients présentant un déficit en MCT8 (syndrome d'Allan </w:t>
      </w:r>
      <w:proofErr w:type="spellStart"/>
      <w:r>
        <w:rPr>
          <w:lang w:val="fr"/>
        </w:rPr>
        <w:t>Herndon</w:t>
      </w:r>
      <w:proofErr w:type="spellEnd"/>
      <w:r>
        <w:rPr>
          <w:lang w:val="fr"/>
        </w:rPr>
        <w:t xml:space="preserve"> Dudley).</w:t>
      </w:r>
    </w:p>
    <w:p w14:paraId="76E724D5" w14:textId="77777777" w:rsidR="004D5C26" w:rsidRPr="00687165" w:rsidRDefault="004D5C26" w:rsidP="004D5C26">
      <w:pPr>
        <w:spacing w:line="240" w:lineRule="auto"/>
        <w:rPr>
          <w:u w:val="single"/>
        </w:rPr>
      </w:pPr>
    </w:p>
    <w:p w14:paraId="1C7D05A7" w14:textId="77777777" w:rsidR="004D5C26" w:rsidRPr="00687165" w:rsidRDefault="004D5C26" w:rsidP="004D5C26">
      <w:pPr>
        <w:spacing w:line="240" w:lineRule="auto"/>
        <w:rPr>
          <w:u w:val="single"/>
        </w:rPr>
      </w:pPr>
      <w:r>
        <w:rPr>
          <w:u w:val="single"/>
          <w:lang w:val="fr"/>
        </w:rPr>
        <w:t>Posologie</w:t>
      </w:r>
    </w:p>
    <w:p w14:paraId="034E9E54" w14:textId="60BC8D02" w:rsidR="004D5C26" w:rsidRPr="000D0830" w:rsidRDefault="004D5C26" w:rsidP="004D5C26">
      <w:pPr>
        <w:spacing w:line="240" w:lineRule="auto"/>
        <w:rPr>
          <w:noProof/>
          <w:lang w:val="fr"/>
        </w:rPr>
      </w:pPr>
      <w:r>
        <w:rPr>
          <w:lang w:val="fr"/>
        </w:rPr>
        <w:t>La posologie d'</w:t>
      </w:r>
      <w:proofErr w:type="spellStart"/>
      <w:r>
        <w:rPr>
          <w:lang w:val="fr"/>
        </w:rPr>
        <w:t>Emcitate</w:t>
      </w:r>
      <w:proofErr w:type="spellEnd"/>
      <w:r>
        <w:rPr>
          <w:lang w:val="fr"/>
        </w:rPr>
        <w:t xml:space="preserve"> doit être établie et titrée sur une base individuelle, en fonction des taux d'hormones thyroïdiennes du patient. La dose doit être </w:t>
      </w:r>
      <w:r>
        <w:rPr>
          <w:noProof/>
          <w:lang w:val="fr"/>
        </w:rPr>
        <w:t>progressivement augmentée par incréments toutes les deux semaines pendant une période de titration, jusqu'à ce que les taux sériques de la T</w:t>
      </w:r>
      <w:r w:rsidRPr="000D0830">
        <w:rPr>
          <w:noProof/>
          <w:vertAlign w:val="subscript"/>
          <w:lang w:val="fr"/>
        </w:rPr>
        <w:t>3</w:t>
      </w:r>
      <w:r>
        <w:rPr>
          <w:noProof/>
          <w:lang w:val="fr"/>
        </w:rPr>
        <w:t xml:space="preserve"> du patient se situent dans la plage normale spécifique à l'âge et qu'une dose d'entretien efficace soit obtenue. </w:t>
      </w:r>
      <w:r w:rsidRPr="000B2A81">
        <w:rPr>
          <w:noProof/>
          <w:lang w:val="fr"/>
        </w:rPr>
        <w:t>Le tiratricol présente une réaction croisée avec la détermination de la T3 lorsqu'il est évalué par test immunitaire, ce qui doit être pris en compte lors de l'interprétation des résultats du test de routine. La prudence est de mise lors de la prescription, d</w:t>
      </w:r>
      <w:r>
        <w:rPr>
          <w:noProof/>
          <w:lang w:val="fr"/>
        </w:rPr>
        <w:t>e la titration</w:t>
      </w:r>
      <w:r w:rsidRPr="000B2A81">
        <w:rPr>
          <w:noProof/>
          <w:lang w:val="fr"/>
        </w:rPr>
        <w:t xml:space="preserve"> et de l'ajustement de la dose de tiratricol. Il convient de demander l'avis d'un expert pour l'interprétation du dosage de la T3 lorsque la dose de tiratricol est déterminée ou modifiée à l'aide d'une évaluation par immuno-analyse</w:t>
      </w:r>
      <w:r w:rsidR="00CC0885">
        <w:rPr>
          <w:noProof/>
          <w:lang w:val="fr"/>
        </w:rPr>
        <w:t xml:space="preserve">. </w:t>
      </w:r>
      <w:r>
        <w:rPr>
          <w:lang w:val="fr"/>
        </w:rPr>
        <w:t>Une fois la dose d'entretien déterminée, les taux sériques de la T</w:t>
      </w:r>
      <w:r>
        <w:rPr>
          <w:vertAlign w:val="subscript"/>
          <w:lang w:val="fr"/>
        </w:rPr>
        <w:t>3</w:t>
      </w:r>
      <w:r>
        <w:rPr>
          <w:lang w:val="fr"/>
        </w:rPr>
        <w:t xml:space="preserve"> doivent être réévalués régulièrement, afin d'examiner s'ils restent dans la plage normale en fonction de l'âge. </w:t>
      </w:r>
    </w:p>
    <w:p w14:paraId="7A1CBB01" w14:textId="77777777" w:rsidR="004D5C26" w:rsidRPr="000D0830" w:rsidRDefault="004D5C26" w:rsidP="004D5C26">
      <w:pPr>
        <w:spacing w:line="240" w:lineRule="auto"/>
        <w:rPr>
          <w:lang w:val="fr"/>
        </w:rPr>
      </w:pPr>
    </w:p>
    <w:p w14:paraId="3B3F01F0" w14:textId="77777777" w:rsidR="004D5C26" w:rsidRPr="00687165" w:rsidRDefault="004D5C26" w:rsidP="004D5C26">
      <w:pPr>
        <w:spacing w:line="240" w:lineRule="auto"/>
      </w:pPr>
      <w:r>
        <w:rPr>
          <w:noProof/>
          <w:lang w:val="fr"/>
        </w:rPr>
        <w:t>L'évaluation de la TSH et de la (F)T</w:t>
      </w:r>
      <w:r>
        <w:rPr>
          <w:noProof/>
          <w:vertAlign w:val="subscript"/>
          <w:lang w:val="fr"/>
        </w:rPr>
        <w:t>4</w:t>
      </w:r>
      <w:r>
        <w:rPr>
          <w:noProof/>
          <w:lang w:val="fr"/>
        </w:rPr>
        <w:t xml:space="preserve"> peut livrer des informations supplémentaires sur la réponse individuelle au traitement et guider les décisions relatives aux ajustements posologiques le cas échéant. </w:t>
      </w:r>
    </w:p>
    <w:p w14:paraId="7B3A263B" w14:textId="77777777" w:rsidR="004D5C26" w:rsidRPr="00687165" w:rsidRDefault="004D5C26" w:rsidP="004D5C26">
      <w:pPr>
        <w:spacing w:line="240" w:lineRule="auto"/>
        <w:rPr>
          <w:noProof/>
        </w:rPr>
      </w:pPr>
    </w:p>
    <w:p w14:paraId="00D9A1AB" w14:textId="77777777" w:rsidR="004D5C26" w:rsidRPr="00687165" w:rsidRDefault="004D5C26" w:rsidP="004D5C26">
      <w:pPr>
        <w:spacing w:line="240" w:lineRule="auto"/>
        <w:rPr>
          <w:noProof/>
        </w:rPr>
      </w:pPr>
      <w:r>
        <w:rPr>
          <w:noProof/>
          <w:lang w:val="fr"/>
        </w:rPr>
        <w:t>La titration de la dose doit être arrêtée en cas de survenue d'effets secondaires indésirables.</w:t>
      </w:r>
    </w:p>
    <w:p w14:paraId="3D0AD5C2" w14:textId="77777777" w:rsidR="006D02E7" w:rsidRDefault="006D02E7" w:rsidP="004D5C26">
      <w:pPr>
        <w:spacing w:line="240" w:lineRule="auto"/>
        <w:rPr>
          <w:i/>
          <w:iCs/>
          <w:u w:val="single"/>
          <w:lang w:val="fr"/>
        </w:rPr>
      </w:pPr>
    </w:p>
    <w:p w14:paraId="1F0FC465" w14:textId="27427EE5" w:rsidR="004D5C26" w:rsidRPr="00687165" w:rsidRDefault="004D5C26" w:rsidP="004D5C26">
      <w:pPr>
        <w:spacing w:line="240" w:lineRule="auto"/>
        <w:rPr>
          <w:i/>
          <w:iCs/>
          <w:u w:val="single"/>
        </w:rPr>
      </w:pPr>
      <w:r>
        <w:rPr>
          <w:i/>
          <w:iCs/>
          <w:u w:val="single"/>
          <w:lang w:val="fr"/>
        </w:rPr>
        <w:t xml:space="preserve">Adultes et patients pédiatriques de plus de 10 kg </w:t>
      </w:r>
    </w:p>
    <w:p w14:paraId="3AEE1448" w14:textId="77777777" w:rsidR="004D5C26" w:rsidRPr="00687165" w:rsidRDefault="004D5C26" w:rsidP="004D5C26">
      <w:pPr>
        <w:spacing w:line="240" w:lineRule="auto"/>
        <w:rPr>
          <w:i/>
          <w:iCs/>
        </w:rPr>
      </w:pPr>
      <w:r>
        <w:rPr>
          <w:i/>
          <w:iCs/>
          <w:lang w:val="fr"/>
        </w:rPr>
        <w:t>Titration et ajustement posologiques</w:t>
      </w:r>
    </w:p>
    <w:p w14:paraId="5A8CF3D5" w14:textId="77777777" w:rsidR="004D5C26" w:rsidRPr="00687165" w:rsidRDefault="004D5C26" w:rsidP="004D5C26">
      <w:pPr>
        <w:spacing w:line="240" w:lineRule="auto"/>
      </w:pPr>
      <w:r>
        <w:rPr>
          <w:lang w:val="fr"/>
        </w:rPr>
        <w:t xml:space="preserve">La dose initiale recommandée pour les adultes et les patients pédiatriques de plus de 10 kg est de 350 microgrammes par jour. </w:t>
      </w:r>
    </w:p>
    <w:p w14:paraId="6C731EDF" w14:textId="77777777" w:rsidR="004D5C26" w:rsidRDefault="004D5C26" w:rsidP="004D5C26">
      <w:pPr>
        <w:spacing w:line="240" w:lineRule="auto"/>
        <w:rPr>
          <w:noProof/>
          <w:lang w:val="fr"/>
        </w:rPr>
      </w:pPr>
      <w:r>
        <w:rPr>
          <w:noProof/>
          <w:lang w:val="fr"/>
        </w:rPr>
        <w:t>Le tableau 1 présente un schéma de titration posologique recommandé. La dose quotidienne totale doit être administrée en 2 à 3 prises fractionnées, réparties régulièrement pendant la journée (par ex., le matin, le midi et/ou le soir).</w:t>
      </w:r>
    </w:p>
    <w:p w14:paraId="1666D921" w14:textId="77777777" w:rsidR="00DE7577" w:rsidRPr="00687165" w:rsidRDefault="00DE7577" w:rsidP="004D5C26">
      <w:pPr>
        <w:spacing w:line="240" w:lineRule="auto"/>
        <w:rPr>
          <w:noProof/>
        </w:rPr>
      </w:pPr>
    </w:p>
    <w:p w14:paraId="177451D1" w14:textId="77777777" w:rsidR="004D5C26" w:rsidRDefault="004D5C26" w:rsidP="004D5C26">
      <w:pPr>
        <w:keepNext/>
        <w:spacing w:line="240" w:lineRule="auto"/>
        <w:rPr>
          <w:lang w:val="fr"/>
        </w:rPr>
      </w:pPr>
      <w:r>
        <w:rPr>
          <w:b/>
          <w:bCs/>
          <w:lang w:val="fr"/>
        </w:rPr>
        <w:t>Tableau 1</w:t>
      </w:r>
      <w:r>
        <w:rPr>
          <w:lang w:val="fr"/>
        </w:rPr>
        <w:t xml:space="preserve">  Schéma de titration posologique recommandé chez les adultes et les patients pédiatriques pesant plus de 10 kg</w:t>
      </w:r>
    </w:p>
    <w:p w14:paraId="0ED3C393" w14:textId="77777777" w:rsidR="00DE7577" w:rsidRPr="00687165" w:rsidRDefault="00DE7577" w:rsidP="004D5C26">
      <w:pPr>
        <w:keepNext/>
        <w:spacing w:line="240" w:lineRule="auto"/>
        <w:rPr>
          <w:noProof/>
        </w:rPr>
      </w:pPr>
    </w:p>
    <w:tbl>
      <w:tblPr>
        <w:tblStyle w:val="Grilledutableau"/>
        <w:tblW w:w="0" w:type="auto"/>
        <w:tblLook w:val="04A0" w:firstRow="1" w:lastRow="0" w:firstColumn="1" w:lastColumn="0" w:noHBand="0" w:noVBand="1"/>
      </w:tblPr>
      <w:tblGrid>
        <w:gridCol w:w="1962"/>
        <w:gridCol w:w="1463"/>
        <w:gridCol w:w="1390"/>
      </w:tblGrid>
      <w:tr w:rsidR="004D5C26" w14:paraId="35AAC8C1" w14:textId="77777777" w:rsidTr="00931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tcPr>
          <w:p w14:paraId="64737BB1" w14:textId="77777777" w:rsidR="004D5C26" w:rsidRPr="00C207FC" w:rsidRDefault="004D5C26" w:rsidP="009310FF">
            <w:pPr>
              <w:keepNext/>
              <w:spacing w:line="240" w:lineRule="auto"/>
              <w:rPr>
                <w:b w:val="0"/>
                <w:bCs/>
                <w:noProof/>
              </w:rPr>
            </w:pPr>
            <w:r>
              <w:rPr>
                <w:bCs/>
                <w:noProof/>
                <w:lang w:val="fr"/>
              </w:rPr>
              <w:t>Titration</w:t>
            </w:r>
          </w:p>
        </w:tc>
        <w:tc>
          <w:tcPr>
            <w:tcW w:w="1402" w:type="dxa"/>
          </w:tcPr>
          <w:p w14:paraId="3D5D1B0E" w14:textId="77777777" w:rsidR="004D5C26" w:rsidRPr="00C207FC" w:rsidRDefault="004D5C26" w:rsidP="009310FF">
            <w:pPr>
              <w:keepNext/>
              <w:spacing w:line="240" w:lineRule="auto"/>
              <w:cnfStyle w:val="100000000000" w:firstRow="1" w:lastRow="0" w:firstColumn="0" w:lastColumn="0" w:oddVBand="0" w:evenVBand="0" w:oddHBand="0" w:evenHBand="0" w:firstRowFirstColumn="0" w:firstRowLastColumn="0" w:lastRowFirstColumn="0" w:lastRowLastColumn="0"/>
              <w:rPr>
                <w:b w:val="0"/>
                <w:bCs/>
                <w:noProof/>
              </w:rPr>
            </w:pPr>
            <w:r>
              <w:rPr>
                <w:bCs/>
                <w:noProof/>
                <w:lang w:val="fr"/>
              </w:rPr>
              <w:t>Dose quotidienne totale (µg)</w:t>
            </w:r>
          </w:p>
        </w:tc>
        <w:tc>
          <w:tcPr>
            <w:tcW w:w="1305" w:type="dxa"/>
          </w:tcPr>
          <w:p w14:paraId="37E3B530" w14:textId="77777777" w:rsidR="004D5C26" w:rsidRPr="00C207FC" w:rsidRDefault="004D5C26" w:rsidP="009310FF">
            <w:pPr>
              <w:keepNext/>
              <w:spacing w:line="240" w:lineRule="auto"/>
              <w:cnfStyle w:val="100000000000" w:firstRow="1" w:lastRow="0" w:firstColumn="0" w:lastColumn="0" w:oddVBand="0" w:evenVBand="0" w:oddHBand="0" w:evenHBand="0" w:firstRowFirstColumn="0" w:firstRowLastColumn="0" w:lastRowFirstColumn="0" w:lastRowLastColumn="0"/>
              <w:rPr>
                <w:b w:val="0"/>
                <w:bCs/>
                <w:noProof/>
              </w:rPr>
            </w:pPr>
            <w:r>
              <w:rPr>
                <w:bCs/>
                <w:noProof/>
                <w:lang w:val="fr"/>
              </w:rPr>
              <w:t>Nombre de comprimés / jour</w:t>
            </w:r>
          </w:p>
        </w:tc>
      </w:tr>
      <w:tr w:rsidR="004D5C26" w14:paraId="45D3DB10" w14:textId="77777777" w:rsidTr="009310FF">
        <w:tc>
          <w:tcPr>
            <w:cnfStyle w:val="001000000000" w:firstRow="0" w:lastRow="0" w:firstColumn="1" w:lastColumn="0" w:oddVBand="0" w:evenVBand="0" w:oddHBand="0" w:evenHBand="0" w:firstRowFirstColumn="0" w:firstRowLastColumn="0" w:lastRowFirstColumn="0" w:lastRowLastColumn="0"/>
            <w:tcW w:w="1962" w:type="dxa"/>
          </w:tcPr>
          <w:p w14:paraId="73E4778A" w14:textId="77777777" w:rsidR="004D5C26" w:rsidRDefault="004D5C26" w:rsidP="009310FF">
            <w:pPr>
              <w:keepNext/>
              <w:spacing w:line="240" w:lineRule="auto"/>
              <w:rPr>
                <w:noProof/>
              </w:rPr>
            </w:pPr>
            <w:r>
              <w:rPr>
                <w:noProof/>
                <w:lang w:val="fr"/>
              </w:rPr>
              <w:t>Dose initiale</w:t>
            </w:r>
          </w:p>
        </w:tc>
        <w:tc>
          <w:tcPr>
            <w:tcW w:w="1402" w:type="dxa"/>
          </w:tcPr>
          <w:p w14:paraId="1ECAEAC3"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350 µg</w:t>
            </w:r>
          </w:p>
        </w:tc>
        <w:tc>
          <w:tcPr>
            <w:tcW w:w="1305" w:type="dxa"/>
          </w:tcPr>
          <w:p w14:paraId="699CF79B"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1 x 350 µg</w:t>
            </w:r>
          </w:p>
        </w:tc>
      </w:tr>
      <w:tr w:rsidR="004D5C26" w14:paraId="003E7A65" w14:textId="77777777" w:rsidTr="009310FF">
        <w:tc>
          <w:tcPr>
            <w:cnfStyle w:val="001000000000" w:firstRow="0" w:lastRow="0" w:firstColumn="1" w:lastColumn="0" w:oddVBand="0" w:evenVBand="0" w:oddHBand="0" w:evenHBand="0" w:firstRowFirstColumn="0" w:firstRowLastColumn="0" w:lastRowFirstColumn="0" w:lastRowLastColumn="0"/>
            <w:tcW w:w="1962" w:type="dxa"/>
          </w:tcPr>
          <w:p w14:paraId="6B87C1E9" w14:textId="77777777" w:rsidR="004D5C26" w:rsidRDefault="004D5C26" w:rsidP="009310FF">
            <w:pPr>
              <w:keepNext/>
              <w:spacing w:line="240" w:lineRule="auto"/>
              <w:rPr>
                <w:noProof/>
              </w:rPr>
            </w:pPr>
            <w:r>
              <w:rPr>
                <w:noProof/>
                <w:lang w:val="fr"/>
              </w:rPr>
              <w:t>Semaine 2</w:t>
            </w:r>
          </w:p>
        </w:tc>
        <w:tc>
          <w:tcPr>
            <w:tcW w:w="1402" w:type="dxa"/>
          </w:tcPr>
          <w:p w14:paraId="52270453"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700 µg</w:t>
            </w:r>
          </w:p>
        </w:tc>
        <w:tc>
          <w:tcPr>
            <w:tcW w:w="1305" w:type="dxa"/>
          </w:tcPr>
          <w:p w14:paraId="3DDDC795"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2 x 350 µg</w:t>
            </w:r>
          </w:p>
        </w:tc>
      </w:tr>
      <w:tr w:rsidR="004D5C26" w14:paraId="5118BC6C" w14:textId="77777777" w:rsidTr="009310FF">
        <w:tc>
          <w:tcPr>
            <w:cnfStyle w:val="001000000000" w:firstRow="0" w:lastRow="0" w:firstColumn="1" w:lastColumn="0" w:oddVBand="0" w:evenVBand="0" w:oddHBand="0" w:evenHBand="0" w:firstRowFirstColumn="0" w:firstRowLastColumn="0" w:lastRowFirstColumn="0" w:lastRowLastColumn="0"/>
            <w:tcW w:w="1962" w:type="dxa"/>
          </w:tcPr>
          <w:p w14:paraId="77EA314E" w14:textId="77777777" w:rsidR="004D5C26" w:rsidRDefault="004D5C26" w:rsidP="009310FF">
            <w:pPr>
              <w:keepNext/>
              <w:spacing w:line="240" w:lineRule="auto"/>
              <w:rPr>
                <w:noProof/>
              </w:rPr>
            </w:pPr>
            <w:r>
              <w:rPr>
                <w:noProof/>
                <w:lang w:val="fr"/>
              </w:rPr>
              <w:t>Semaine 4</w:t>
            </w:r>
          </w:p>
        </w:tc>
        <w:tc>
          <w:tcPr>
            <w:tcW w:w="1402" w:type="dxa"/>
          </w:tcPr>
          <w:p w14:paraId="6E727B84"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1 050 µg</w:t>
            </w:r>
          </w:p>
        </w:tc>
        <w:tc>
          <w:tcPr>
            <w:tcW w:w="1305" w:type="dxa"/>
          </w:tcPr>
          <w:p w14:paraId="38F95AAF"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3 x 350 µg</w:t>
            </w:r>
          </w:p>
        </w:tc>
      </w:tr>
      <w:tr w:rsidR="004D5C26" w14:paraId="03D62BF6" w14:textId="77777777" w:rsidTr="009310FF">
        <w:tc>
          <w:tcPr>
            <w:cnfStyle w:val="001000000000" w:firstRow="0" w:lastRow="0" w:firstColumn="1" w:lastColumn="0" w:oddVBand="0" w:evenVBand="0" w:oddHBand="0" w:evenHBand="0" w:firstRowFirstColumn="0" w:firstRowLastColumn="0" w:lastRowFirstColumn="0" w:lastRowLastColumn="0"/>
            <w:tcW w:w="1962" w:type="dxa"/>
          </w:tcPr>
          <w:p w14:paraId="3D0154B3" w14:textId="77777777" w:rsidR="004D5C26" w:rsidRDefault="004D5C26" w:rsidP="009310FF">
            <w:pPr>
              <w:keepNext/>
              <w:spacing w:line="240" w:lineRule="auto"/>
              <w:rPr>
                <w:noProof/>
              </w:rPr>
            </w:pPr>
            <w:r>
              <w:rPr>
                <w:noProof/>
                <w:lang w:val="fr"/>
              </w:rPr>
              <w:t>Semaine 6</w:t>
            </w:r>
          </w:p>
        </w:tc>
        <w:tc>
          <w:tcPr>
            <w:tcW w:w="1402" w:type="dxa"/>
          </w:tcPr>
          <w:p w14:paraId="771B2C38"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1 400 µg</w:t>
            </w:r>
          </w:p>
        </w:tc>
        <w:tc>
          <w:tcPr>
            <w:tcW w:w="1305" w:type="dxa"/>
          </w:tcPr>
          <w:p w14:paraId="687C4E56"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4 x 350 µg</w:t>
            </w:r>
          </w:p>
        </w:tc>
      </w:tr>
      <w:tr w:rsidR="004D5C26" w14:paraId="617EA459" w14:textId="77777777" w:rsidTr="009310FF">
        <w:tc>
          <w:tcPr>
            <w:cnfStyle w:val="001000000000" w:firstRow="0" w:lastRow="0" w:firstColumn="1" w:lastColumn="0" w:oddVBand="0" w:evenVBand="0" w:oddHBand="0" w:evenHBand="0" w:firstRowFirstColumn="0" w:firstRowLastColumn="0" w:lastRowFirstColumn="0" w:lastRowLastColumn="0"/>
            <w:tcW w:w="1962" w:type="dxa"/>
          </w:tcPr>
          <w:p w14:paraId="4A61335D" w14:textId="77777777" w:rsidR="004D5C26" w:rsidRDefault="004D5C26" w:rsidP="009310FF">
            <w:pPr>
              <w:keepNext/>
              <w:spacing w:line="240" w:lineRule="auto"/>
              <w:rPr>
                <w:noProof/>
              </w:rPr>
            </w:pPr>
            <w:r>
              <w:rPr>
                <w:noProof/>
                <w:lang w:val="fr"/>
              </w:rPr>
              <w:t>Semaine 8</w:t>
            </w:r>
          </w:p>
        </w:tc>
        <w:tc>
          <w:tcPr>
            <w:tcW w:w="1402" w:type="dxa"/>
          </w:tcPr>
          <w:p w14:paraId="0DFC5D11"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2 100 µg</w:t>
            </w:r>
          </w:p>
        </w:tc>
        <w:tc>
          <w:tcPr>
            <w:tcW w:w="1305" w:type="dxa"/>
          </w:tcPr>
          <w:p w14:paraId="258B0655"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6 x 350 µg</w:t>
            </w:r>
          </w:p>
        </w:tc>
      </w:tr>
      <w:tr w:rsidR="004D5C26" w14:paraId="3D8D8183" w14:textId="77777777" w:rsidTr="009310FF">
        <w:tc>
          <w:tcPr>
            <w:cnfStyle w:val="001000000000" w:firstRow="0" w:lastRow="0" w:firstColumn="1" w:lastColumn="0" w:oddVBand="0" w:evenVBand="0" w:oddHBand="0" w:evenHBand="0" w:firstRowFirstColumn="0" w:firstRowLastColumn="0" w:lastRowFirstColumn="0" w:lastRowLastColumn="0"/>
            <w:tcW w:w="1962" w:type="dxa"/>
          </w:tcPr>
          <w:p w14:paraId="5273D062" w14:textId="77777777" w:rsidR="004D5C26" w:rsidRDefault="004D5C26" w:rsidP="009310FF">
            <w:pPr>
              <w:keepNext/>
              <w:spacing w:line="240" w:lineRule="auto"/>
              <w:rPr>
                <w:noProof/>
              </w:rPr>
            </w:pPr>
            <w:r>
              <w:rPr>
                <w:noProof/>
                <w:lang w:val="fr"/>
              </w:rPr>
              <w:t>Semaine 10</w:t>
            </w:r>
          </w:p>
        </w:tc>
        <w:tc>
          <w:tcPr>
            <w:tcW w:w="1402" w:type="dxa"/>
          </w:tcPr>
          <w:p w14:paraId="400E2894"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3 150 µg</w:t>
            </w:r>
          </w:p>
        </w:tc>
        <w:tc>
          <w:tcPr>
            <w:tcW w:w="1305" w:type="dxa"/>
          </w:tcPr>
          <w:p w14:paraId="7A377B98" w14:textId="77777777" w:rsidR="004D5C26" w:rsidDel="00CA42F1"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9 x 350 µg</w:t>
            </w:r>
          </w:p>
        </w:tc>
      </w:tr>
    </w:tbl>
    <w:p w14:paraId="78AE4BD6" w14:textId="77777777" w:rsidR="004D5C26" w:rsidRDefault="004D5C26" w:rsidP="004D5C26">
      <w:pPr>
        <w:spacing w:line="240" w:lineRule="auto"/>
        <w:rPr>
          <w:noProof/>
        </w:rPr>
      </w:pPr>
    </w:p>
    <w:p w14:paraId="51A05B5C" w14:textId="77777777" w:rsidR="004D5C26" w:rsidRPr="00687165" w:rsidRDefault="004D5C26" w:rsidP="004D5C26">
      <w:pPr>
        <w:spacing w:line="240" w:lineRule="auto"/>
        <w:rPr>
          <w:i/>
          <w:iCs/>
          <w:u w:val="single"/>
        </w:rPr>
      </w:pPr>
      <w:r>
        <w:rPr>
          <w:i/>
          <w:iCs/>
          <w:u w:val="single"/>
          <w:lang w:val="fr"/>
        </w:rPr>
        <w:t xml:space="preserve">Patients pédiatriques de moins de 10 kg </w:t>
      </w:r>
    </w:p>
    <w:p w14:paraId="0FDDB3C3" w14:textId="77777777" w:rsidR="004D5C26" w:rsidRPr="00687165" w:rsidRDefault="004D5C26" w:rsidP="004D5C26">
      <w:pPr>
        <w:spacing w:line="240" w:lineRule="auto"/>
        <w:rPr>
          <w:i/>
          <w:iCs/>
        </w:rPr>
      </w:pPr>
      <w:r>
        <w:rPr>
          <w:i/>
          <w:iCs/>
          <w:lang w:val="fr"/>
        </w:rPr>
        <w:t>Titration et ajustement posologiques</w:t>
      </w:r>
    </w:p>
    <w:p w14:paraId="4746036D" w14:textId="77777777" w:rsidR="004D5C26" w:rsidRPr="00687165" w:rsidRDefault="004D5C26" w:rsidP="004D5C26">
      <w:pPr>
        <w:spacing w:line="240" w:lineRule="auto"/>
      </w:pPr>
      <w:r>
        <w:rPr>
          <w:lang w:val="fr"/>
        </w:rPr>
        <w:t xml:space="preserve">La dose initiale recommandée pour les patients pédiatriques de moins de 10 kg est de 175 microgrammes par jour. La dose quotidienne doit être progressivement augmentée par paliers de </w:t>
      </w:r>
      <w:r>
        <w:rPr>
          <w:noProof/>
          <w:lang w:val="fr"/>
        </w:rPr>
        <w:t>175 µg toutes les deux semaines, jusqu'à ce que les taux sériques de T</w:t>
      </w:r>
      <w:r>
        <w:rPr>
          <w:noProof/>
          <w:vertAlign w:val="subscript"/>
          <w:lang w:val="fr"/>
        </w:rPr>
        <w:t>3</w:t>
      </w:r>
      <w:r>
        <w:rPr>
          <w:noProof/>
          <w:lang w:val="fr"/>
        </w:rPr>
        <w:t xml:space="preserve"> du patient se situent dans la plage normale spécifique à l'âge. Le tableau 2 présente le schéma de titration posologique recommandé. La dose quotidienne totale doit être administrée en 1 à 3 prises fractionnées, réparties régulièrement pendant la journée (par ex., le matin, le midi et/ou le soir).</w:t>
      </w:r>
    </w:p>
    <w:p w14:paraId="63FE404A" w14:textId="77777777" w:rsidR="004D5C26" w:rsidRPr="00687165" w:rsidRDefault="004D5C26" w:rsidP="004D5C26">
      <w:pPr>
        <w:spacing w:line="240" w:lineRule="auto"/>
        <w:rPr>
          <w:b/>
          <w:bCs/>
        </w:rPr>
      </w:pPr>
    </w:p>
    <w:p w14:paraId="2BF552F7" w14:textId="793DCB1B" w:rsidR="004D5C26" w:rsidRPr="00687165" w:rsidRDefault="004D5C26" w:rsidP="004D5C26">
      <w:pPr>
        <w:spacing w:line="240" w:lineRule="auto"/>
      </w:pPr>
      <w:r>
        <w:rPr>
          <w:b/>
          <w:bCs/>
          <w:lang w:val="fr"/>
        </w:rPr>
        <w:t>Tableau 2</w:t>
      </w:r>
      <w:r>
        <w:rPr>
          <w:lang w:val="fr"/>
        </w:rPr>
        <w:t xml:space="preserve">  Schéma de titration posologique recommandé chez les patients pédiatriques de moins de 10 kg</w:t>
      </w:r>
    </w:p>
    <w:tbl>
      <w:tblPr>
        <w:tblStyle w:val="Grilledutableau"/>
        <w:tblW w:w="0" w:type="auto"/>
        <w:tblLook w:val="04A0" w:firstRow="1" w:lastRow="0" w:firstColumn="1" w:lastColumn="0" w:noHBand="0" w:noVBand="1"/>
      </w:tblPr>
      <w:tblGrid>
        <w:gridCol w:w="1794"/>
        <w:gridCol w:w="1636"/>
        <w:gridCol w:w="1435"/>
      </w:tblGrid>
      <w:tr w:rsidR="004D5C26" w14:paraId="4AE1BC1B" w14:textId="77777777" w:rsidTr="00931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7D7C9FC6" w14:textId="77777777" w:rsidR="004D5C26" w:rsidRPr="00C207FC" w:rsidRDefault="004D5C26" w:rsidP="009310FF">
            <w:pPr>
              <w:keepNext/>
              <w:spacing w:line="240" w:lineRule="auto"/>
              <w:rPr>
                <w:b w:val="0"/>
                <w:bCs/>
                <w:noProof/>
              </w:rPr>
            </w:pPr>
            <w:r>
              <w:rPr>
                <w:bCs/>
                <w:noProof/>
                <w:lang w:val="fr"/>
              </w:rPr>
              <w:lastRenderedPageBreak/>
              <w:t>Titration</w:t>
            </w:r>
          </w:p>
        </w:tc>
        <w:tc>
          <w:tcPr>
            <w:tcW w:w="1636" w:type="dxa"/>
          </w:tcPr>
          <w:p w14:paraId="310A6B29" w14:textId="77777777" w:rsidR="004D5C26" w:rsidRPr="00C207FC" w:rsidRDefault="004D5C26" w:rsidP="009310FF">
            <w:pPr>
              <w:keepNext/>
              <w:spacing w:line="240" w:lineRule="auto"/>
              <w:cnfStyle w:val="100000000000" w:firstRow="1" w:lastRow="0" w:firstColumn="0" w:lastColumn="0" w:oddVBand="0" w:evenVBand="0" w:oddHBand="0" w:evenHBand="0" w:firstRowFirstColumn="0" w:firstRowLastColumn="0" w:lastRowFirstColumn="0" w:lastRowLastColumn="0"/>
              <w:rPr>
                <w:b w:val="0"/>
                <w:bCs/>
                <w:noProof/>
              </w:rPr>
            </w:pPr>
            <w:r>
              <w:rPr>
                <w:bCs/>
                <w:noProof/>
                <w:lang w:val="fr"/>
              </w:rPr>
              <w:t>Dose quotidienne totale (µg)</w:t>
            </w:r>
          </w:p>
        </w:tc>
        <w:tc>
          <w:tcPr>
            <w:tcW w:w="1435" w:type="dxa"/>
          </w:tcPr>
          <w:p w14:paraId="77BDE406" w14:textId="77777777" w:rsidR="004D5C26" w:rsidRPr="00C207FC" w:rsidRDefault="004D5C26" w:rsidP="009310FF">
            <w:pPr>
              <w:keepNext/>
              <w:spacing w:line="240" w:lineRule="auto"/>
              <w:cnfStyle w:val="100000000000" w:firstRow="1" w:lastRow="0" w:firstColumn="0" w:lastColumn="0" w:oddVBand="0" w:evenVBand="0" w:oddHBand="0" w:evenHBand="0" w:firstRowFirstColumn="0" w:firstRowLastColumn="0" w:lastRowFirstColumn="0" w:lastRowLastColumn="0"/>
              <w:rPr>
                <w:b w:val="0"/>
                <w:bCs/>
                <w:noProof/>
              </w:rPr>
            </w:pPr>
            <w:r>
              <w:rPr>
                <w:bCs/>
                <w:noProof/>
                <w:lang w:val="fr"/>
              </w:rPr>
              <w:t>Nombre de comprimés / jour</w:t>
            </w:r>
          </w:p>
        </w:tc>
      </w:tr>
      <w:tr w:rsidR="004D5C26" w14:paraId="60E6E099" w14:textId="77777777" w:rsidTr="009310FF">
        <w:tc>
          <w:tcPr>
            <w:cnfStyle w:val="001000000000" w:firstRow="0" w:lastRow="0" w:firstColumn="1" w:lastColumn="0" w:oddVBand="0" w:evenVBand="0" w:oddHBand="0" w:evenHBand="0" w:firstRowFirstColumn="0" w:firstRowLastColumn="0" w:lastRowFirstColumn="0" w:lastRowLastColumn="0"/>
            <w:tcW w:w="1794" w:type="dxa"/>
          </w:tcPr>
          <w:p w14:paraId="50FA3073" w14:textId="77777777" w:rsidR="004D5C26" w:rsidRDefault="004D5C26" w:rsidP="009310FF">
            <w:pPr>
              <w:keepNext/>
              <w:spacing w:line="240" w:lineRule="auto"/>
              <w:rPr>
                <w:noProof/>
              </w:rPr>
            </w:pPr>
            <w:r>
              <w:rPr>
                <w:noProof/>
                <w:lang w:val="fr"/>
              </w:rPr>
              <w:t>Dose initiale</w:t>
            </w:r>
          </w:p>
        </w:tc>
        <w:tc>
          <w:tcPr>
            <w:tcW w:w="1636" w:type="dxa"/>
          </w:tcPr>
          <w:p w14:paraId="2921810C"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175 µg</w:t>
            </w:r>
          </w:p>
        </w:tc>
        <w:tc>
          <w:tcPr>
            <w:tcW w:w="1435" w:type="dxa"/>
          </w:tcPr>
          <w:p w14:paraId="056077F7"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0,5 x 350 µg</w:t>
            </w:r>
          </w:p>
        </w:tc>
      </w:tr>
      <w:tr w:rsidR="004D5C26" w14:paraId="6BCDAB53" w14:textId="77777777" w:rsidTr="009310FF">
        <w:tc>
          <w:tcPr>
            <w:cnfStyle w:val="001000000000" w:firstRow="0" w:lastRow="0" w:firstColumn="1" w:lastColumn="0" w:oddVBand="0" w:evenVBand="0" w:oddHBand="0" w:evenHBand="0" w:firstRowFirstColumn="0" w:firstRowLastColumn="0" w:lastRowFirstColumn="0" w:lastRowLastColumn="0"/>
            <w:tcW w:w="1794" w:type="dxa"/>
          </w:tcPr>
          <w:p w14:paraId="14432B52" w14:textId="77777777" w:rsidR="004D5C26" w:rsidRDefault="004D5C26" w:rsidP="009310FF">
            <w:pPr>
              <w:keepNext/>
              <w:spacing w:line="240" w:lineRule="auto"/>
              <w:rPr>
                <w:noProof/>
              </w:rPr>
            </w:pPr>
            <w:r>
              <w:rPr>
                <w:noProof/>
                <w:lang w:val="fr"/>
              </w:rPr>
              <w:t>Semaine 2</w:t>
            </w:r>
          </w:p>
        </w:tc>
        <w:tc>
          <w:tcPr>
            <w:tcW w:w="1636" w:type="dxa"/>
          </w:tcPr>
          <w:p w14:paraId="6FE1A52E"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350 µg</w:t>
            </w:r>
          </w:p>
        </w:tc>
        <w:tc>
          <w:tcPr>
            <w:tcW w:w="1435" w:type="dxa"/>
          </w:tcPr>
          <w:p w14:paraId="3E8ABEFC"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1,0 x 350 µg</w:t>
            </w:r>
          </w:p>
        </w:tc>
      </w:tr>
      <w:tr w:rsidR="004D5C26" w14:paraId="046CB4A4" w14:textId="77777777" w:rsidTr="009310FF">
        <w:tc>
          <w:tcPr>
            <w:cnfStyle w:val="001000000000" w:firstRow="0" w:lastRow="0" w:firstColumn="1" w:lastColumn="0" w:oddVBand="0" w:evenVBand="0" w:oddHBand="0" w:evenHBand="0" w:firstRowFirstColumn="0" w:firstRowLastColumn="0" w:lastRowFirstColumn="0" w:lastRowLastColumn="0"/>
            <w:tcW w:w="1794" w:type="dxa"/>
          </w:tcPr>
          <w:p w14:paraId="4C3290ED" w14:textId="77777777" w:rsidR="004D5C26" w:rsidRDefault="004D5C26" w:rsidP="009310FF">
            <w:pPr>
              <w:keepNext/>
              <w:spacing w:line="240" w:lineRule="auto"/>
              <w:rPr>
                <w:noProof/>
              </w:rPr>
            </w:pPr>
            <w:r>
              <w:rPr>
                <w:noProof/>
                <w:lang w:val="fr"/>
              </w:rPr>
              <w:t>Semaine 4</w:t>
            </w:r>
          </w:p>
        </w:tc>
        <w:tc>
          <w:tcPr>
            <w:tcW w:w="1636" w:type="dxa"/>
          </w:tcPr>
          <w:p w14:paraId="4AEEC504"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525 µg</w:t>
            </w:r>
          </w:p>
        </w:tc>
        <w:tc>
          <w:tcPr>
            <w:tcW w:w="1435" w:type="dxa"/>
          </w:tcPr>
          <w:p w14:paraId="4508FA07"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1,5 x 350 µg</w:t>
            </w:r>
          </w:p>
        </w:tc>
      </w:tr>
      <w:tr w:rsidR="004D5C26" w14:paraId="1D1C3442" w14:textId="77777777" w:rsidTr="009310FF">
        <w:tc>
          <w:tcPr>
            <w:cnfStyle w:val="001000000000" w:firstRow="0" w:lastRow="0" w:firstColumn="1" w:lastColumn="0" w:oddVBand="0" w:evenVBand="0" w:oddHBand="0" w:evenHBand="0" w:firstRowFirstColumn="0" w:firstRowLastColumn="0" w:lastRowFirstColumn="0" w:lastRowLastColumn="0"/>
            <w:tcW w:w="1794" w:type="dxa"/>
          </w:tcPr>
          <w:p w14:paraId="595A9FBD" w14:textId="77777777" w:rsidR="004D5C26" w:rsidRDefault="004D5C26" w:rsidP="009310FF">
            <w:pPr>
              <w:keepNext/>
              <w:spacing w:line="240" w:lineRule="auto"/>
              <w:rPr>
                <w:noProof/>
              </w:rPr>
            </w:pPr>
            <w:r>
              <w:rPr>
                <w:noProof/>
                <w:lang w:val="fr"/>
              </w:rPr>
              <w:t>Semaine 6</w:t>
            </w:r>
          </w:p>
        </w:tc>
        <w:tc>
          <w:tcPr>
            <w:tcW w:w="1636" w:type="dxa"/>
          </w:tcPr>
          <w:p w14:paraId="04AEFD4A"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700 µg</w:t>
            </w:r>
          </w:p>
        </w:tc>
        <w:tc>
          <w:tcPr>
            <w:tcW w:w="1435" w:type="dxa"/>
          </w:tcPr>
          <w:p w14:paraId="4837BB60" w14:textId="77777777" w:rsidR="004D5C26" w:rsidDel="004758F4"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2,0 x 350 µg</w:t>
            </w:r>
          </w:p>
        </w:tc>
      </w:tr>
      <w:tr w:rsidR="004D5C26" w14:paraId="27EA882B" w14:textId="77777777" w:rsidTr="009310FF">
        <w:tc>
          <w:tcPr>
            <w:cnfStyle w:val="001000000000" w:firstRow="0" w:lastRow="0" w:firstColumn="1" w:lastColumn="0" w:oddVBand="0" w:evenVBand="0" w:oddHBand="0" w:evenHBand="0" w:firstRowFirstColumn="0" w:firstRowLastColumn="0" w:lastRowFirstColumn="0" w:lastRowLastColumn="0"/>
            <w:tcW w:w="1794" w:type="dxa"/>
          </w:tcPr>
          <w:p w14:paraId="5E0D8E68" w14:textId="77777777" w:rsidR="004D5C26" w:rsidRDefault="004D5C26" w:rsidP="009310FF">
            <w:pPr>
              <w:keepNext/>
              <w:spacing w:line="240" w:lineRule="auto"/>
              <w:rPr>
                <w:noProof/>
              </w:rPr>
            </w:pPr>
            <w:r>
              <w:rPr>
                <w:noProof/>
                <w:lang w:val="fr"/>
              </w:rPr>
              <w:t>Semaine 8</w:t>
            </w:r>
          </w:p>
        </w:tc>
        <w:tc>
          <w:tcPr>
            <w:tcW w:w="1636" w:type="dxa"/>
          </w:tcPr>
          <w:p w14:paraId="491D2218"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875 µg</w:t>
            </w:r>
          </w:p>
        </w:tc>
        <w:tc>
          <w:tcPr>
            <w:tcW w:w="1435" w:type="dxa"/>
          </w:tcPr>
          <w:p w14:paraId="7DB1C549"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2,5 x 350 µg</w:t>
            </w:r>
          </w:p>
        </w:tc>
      </w:tr>
      <w:tr w:rsidR="004D5C26" w14:paraId="39EE4FAC" w14:textId="77777777" w:rsidTr="009310FF">
        <w:tc>
          <w:tcPr>
            <w:cnfStyle w:val="001000000000" w:firstRow="0" w:lastRow="0" w:firstColumn="1" w:lastColumn="0" w:oddVBand="0" w:evenVBand="0" w:oddHBand="0" w:evenHBand="0" w:firstRowFirstColumn="0" w:firstRowLastColumn="0" w:lastRowFirstColumn="0" w:lastRowLastColumn="0"/>
            <w:tcW w:w="1794" w:type="dxa"/>
          </w:tcPr>
          <w:p w14:paraId="6B769CD4" w14:textId="77777777" w:rsidR="004D5C26" w:rsidRDefault="004D5C26" w:rsidP="009310FF">
            <w:pPr>
              <w:keepNext/>
              <w:spacing w:line="240" w:lineRule="auto"/>
              <w:rPr>
                <w:noProof/>
              </w:rPr>
            </w:pPr>
            <w:r>
              <w:rPr>
                <w:noProof/>
                <w:lang w:val="fr"/>
              </w:rPr>
              <w:t>Semaine 10</w:t>
            </w:r>
          </w:p>
        </w:tc>
        <w:tc>
          <w:tcPr>
            <w:tcW w:w="1636" w:type="dxa"/>
          </w:tcPr>
          <w:p w14:paraId="406B6E99"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1 050 µg</w:t>
            </w:r>
          </w:p>
        </w:tc>
        <w:tc>
          <w:tcPr>
            <w:tcW w:w="1435" w:type="dxa"/>
          </w:tcPr>
          <w:p w14:paraId="747EA78A"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3,0 x 350 µg</w:t>
            </w:r>
          </w:p>
        </w:tc>
      </w:tr>
      <w:tr w:rsidR="004D5C26" w14:paraId="6728F1B6" w14:textId="77777777" w:rsidTr="009310FF">
        <w:tc>
          <w:tcPr>
            <w:cnfStyle w:val="001000000000" w:firstRow="0" w:lastRow="0" w:firstColumn="1" w:lastColumn="0" w:oddVBand="0" w:evenVBand="0" w:oddHBand="0" w:evenHBand="0" w:firstRowFirstColumn="0" w:firstRowLastColumn="0" w:lastRowFirstColumn="0" w:lastRowLastColumn="0"/>
            <w:tcW w:w="1794" w:type="dxa"/>
          </w:tcPr>
          <w:p w14:paraId="06733AC0" w14:textId="77777777" w:rsidR="004D5C26" w:rsidRDefault="004D5C26" w:rsidP="009310FF">
            <w:pPr>
              <w:keepNext/>
              <w:spacing w:line="240" w:lineRule="auto"/>
              <w:rPr>
                <w:noProof/>
              </w:rPr>
            </w:pPr>
            <w:r>
              <w:rPr>
                <w:noProof/>
                <w:lang w:val="fr"/>
              </w:rPr>
              <w:t>Semaine 12</w:t>
            </w:r>
          </w:p>
        </w:tc>
        <w:tc>
          <w:tcPr>
            <w:tcW w:w="1636" w:type="dxa"/>
          </w:tcPr>
          <w:p w14:paraId="0DA1933F"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1 225 µg</w:t>
            </w:r>
          </w:p>
        </w:tc>
        <w:tc>
          <w:tcPr>
            <w:tcW w:w="1435" w:type="dxa"/>
          </w:tcPr>
          <w:p w14:paraId="0A9A93E8"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3,5 x 350 µg</w:t>
            </w:r>
          </w:p>
        </w:tc>
      </w:tr>
      <w:tr w:rsidR="004D5C26" w14:paraId="40871183" w14:textId="77777777" w:rsidTr="009310FF">
        <w:tc>
          <w:tcPr>
            <w:cnfStyle w:val="001000000000" w:firstRow="0" w:lastRow="0" w:firstColumn="1" w:lastColumn="0" w:oddVBand="0" w:evenVBand="0" w:oddHBand="0" w:evenHBand="0" w:firstRowFirstColumn="0" w:firstRowLastColumn="0" w:lastRowFirstColumn="0" w:lastRowLastColumn="0"/>
            <w:tcW w:w="1794" w:type="dxa"/>
          </w:tcPr>
          <w:p w14:paraId="28CDC96E" w14:textId="77777777" w:rsidR="004D5C26" w:rsidRDefault="004D5C26" w:rsidP="009310FF">
            <w:pPr>
              <w:keepNext/>
              <w:spacing w:line="240" w:lineRule="auto"/>
              <w:rPr>
                <w:noProof/>
              </w:rPr>
            </w:pPr>
            <w:r>
              <w:rPr>
                <w:noProof/>
                <w:lang w:val="fr"/>
              </w:rPr>
              <w:t>Semaine 14</w:t>
            </w:r>
          </w:p>
        </w:tc>
        <w:tc>
          <w:tcPr>
            <w:tcW w:w="1636" w:type="dxa"/>
          </w:tcPr>
          <w:p w14:paraId="79B55387"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1 400 µg</w:t>
            </w:r>
          </w:p>
        </w:tc>
        <w:tc>
          <w:tcPr>
            <w:tcW w:w="1435" w:type="dxa"/>
          </w:tcPr>
          <w:p w14:paraId="3C5268B1"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4,0 x 350 µg</w:t>
            </w:r>
          </w:p>
        </w:tc>
      </w:tr>
      <w:tr w:rsidR="004D5C26" w14:paraId="54947EA7" w14:textId="77777777" w:rsidTr="009310FF">
        <w:tc>
          <w:tcPr>
            <w:cnfStyle w:val="001000000000" w:firstRow="0" w:lastRow="0" w:firstColumn="1" w:lastColumn="0" w:oddVBand="0" w:evenVBand="0" w:oddHBand="0" w:evenHBand="0" w:firstRowFirstColumn="0" w:firstRowLastColumn="0" w:lastRowFirstColumn="0" w:lastRowLastColumn="0"/>
            <w:tcW w:w="1794" w:type="dxa"/>
          </w:tcPr>
          <w:p w14:paraId="18B7A5CF" w14:textId="77777777" w:rsidR="004D5C26" w:rsidRDefault="004D5C26" w:rsidP="009310FF">
            <w:pPr>
              <w:keepNext/>
              <w:spacing w:line="240" w:lineRule="auto"/>
              <w:rPr>
                <w:noProof/>
              </w:rPr>
            </w:pPr>
            <w:r>
              <w:rPr>
                <w:noProof/>
                <w:lang w:val="fr"/>
              </w:rPr>
              <w:t>Semaine 16</w:t>
            </w:r>
          </w:p>
        </w:tc>
        <w:tc>
          <w:tcPr>
            <w:tcW w:w="1636" w:type="dxa"/>
          </w:tcPr>
          <w:p w14:paraId="5860BA28"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1 575 µg</w:t>
            </w:r>
          </w:p>
        </w:tc>
        <w:tc>
          <w:tcPr>
            <w:tcW w:w="1435" w:type="dxa"/>
          </w:tcPr>
          <w:p w14:paraId="11D28712" w14:textId="77777777" w:rsidR="004D5C26" w:rsidRDefault="004D5C26" w:rsidP="009310FF">
            <w:pPr>
              <w:keepNext/>
              <w:spacing w:line="240" w:lineRule="auto"/>
              <w:cnfStyle w:val="000000000000" w:firstRow="0" w:lastRow="0" w:firstColumn="0" w:lastColumn="0" w:oddVBand="0" w:evenVBand="0" w:oddHBand="0" w:evenHBand="0" w:firstRowFirstColumn="0" w:firstRowLastColumn="0" w:lastRowFirstColumn="0" w:lastRowLastColumn="0"/>
              <w:rPr>
                <w:noProof/>
              </w:rPr>
            </w:pPr>
            <w:r>
              <w:rPr>
                <w:noProof/>
                <w:lang w:val="fr"/>
              </w:rPr>
              <w:t>4,5 x 350 µg</w:t>
            </w:r>
          </w:p>
        </w:tc>
      </w:tr>
    </w:tbl>
    <w:p w14:paraId="5FCBA096" w14:textId="77777777" w:rsidR="004D5C26" w:rsidRDefault="004D5C26" w:rsidP="004D5C26">
      <w:pPr>
        <w:spacing w:line="240" w:lineRule="auto"/>
      </w:pPr>
    </w:p>
    <w:p w14:paraId="21DC851E" w14:textId="77777777" w:rsidR="004D5C26" w:rsidRPr="004E2132" w:rsidRDefault="004D5C26" w:rsidP="004D5C26">
      <w:pPr>
        <w:spacing w:line="240" w:lineRule="auto"/>
        <w:rPr>
          <w:i/>
          <w:iCs/>
          <w:noProof/>
          <w:u w:val="single"/>
        </w:rPr>
      </w:pPr>
      <w:r>
        <w:rPr>
          <w:i/>
          <w:iCs/>
          <w:noProof/>
          <w:u w:val="single"/>
          <w:lang w:val="fr"/>
        </w:rPr>
        <w:t xml:space="preserve">Dose d'entretien </w:t>
      </w:r>
    </w:p>
    <w:p w14:paraId="23EB9595" w14:textId="77777777" w:rsidR="004D5C26" w:rsidRPr="00687165" w:rsidRDefault="004D5C26" w:rsidP="004D5C26">
      <w:pPr>
        <w:spacing w:line="240" w:lineRule="auto"/>
        <w:rPr>
          <w:noProof/>
        </w:rPr>
      </w:pPr>
      <w:r>
        <w:rPr>
          <w:noProof/>
          <w:lang w:val="fr"/>
        </w:rPr>
        <w:t xml:space="preserve">La dose d'entretien chez les patients adultes est habituellement comprise entre 700 et 2 100 microgrammes par jour.  </w:t>
      </w:r>
    </w:p>
    <w:p w14:paraId="1FD64C1F" w14:textId="77777777" w:rsidR="004D5C26" w:rsidRPr="00687165" w:rsidRDefault="004D5C26" w:rsidP="004D5C26">
      <w:pPr>
        <w:spacing w:line="240" w:lineRule="auto"/>
      </w:pPr>
    </w:p>
    <w:p w14:paraId="7B3316AD" w14:textId="77777777" w:rsidR="004D5C26" w:rsidRPr="00687165" w:rsidRDefault="004D5C26" w:rsidP="004D5C26">
      <w:pPr>
        <w:spacing w:line="240" w:lineRule="auto"/>
        <w:rPr>
          <w:noProof/>
        </w:rPr>
      </w:pPr>
      <w:r>
        <w:rPr>
          <w:lang w:val="fr"/>
        </w:rPr>
        <w:t>La dose d'entretien chez les patients pédiatriques est habituellement comprise entre 350 et 1 400 </w:t>
      </w:r>
      <w:r>
        <w:rPr>
          <w:noProof/>
          <w:lang w:val="fr"/>
        </w:rPr>
        <w:t xml:space="preserve">microgrammes par jour. </w:t>
      </w:r>
    </w:p>
    <w:p w14:paraId="71F9EDBF" w14:textId="77777777" w:rsidR="004D5C26" w:rsidRPr="00687165" w:rsidRDefault="004D5C26" w:rsidP="004D5C26">
      <w:pPr>
        <w:autoSpaceDE w:val="0"/>
        <w:autoSpaceDN w:val="0"/>
        <w:adjustRightInd w:val="0"/>
        <w:spacing w:line="240" w:lineRule="auto"/>
      </w:pPr>
    </w:p>
    <w:p w14:paraId="1C229ED1" w14:textId="77777777" w:rsidR="004D5C26" w:rsidRPr="00687165" w:rsidRDefault="004D5C26" w:rsidP="004D5C26">
      <w:pPr>
        <w:autoSpaceDE w:val="0"/>
        <w:autoSpaceDN w:val="0"/>
        <w:adjustRightInd w:val="0"/>
        <w:spacing w:line="240" w:lineRule="auto"/>
        <w:rPr>
          <w:i/>
          <w:iCs/>
          <w:u w:val="single"/>
        </w:rPr>
      </w:pPr>
      <w:r>
        <w:rPr>
          <w:i/>
          <w:iCs/>
          <w:u w:val="single"/>
          <w:lang w:val="fr"/>
        </w:rPr>
        <w:t>Populations particulières</w:t>
      </w:r>
    </w:p>
    <w:p w14:paraId="77337716" w14:textId="77777777" w:rsidR="004D5C26" w:rsidRPr="00687165" w:rsidRDefault="004D5C26" w:rsidP="004D5C26">
      <w:pPr>
        <w:spacing w:line="240" w:lineRule="auto"/>
        <w:rPr>
          <w:bCs/>
          <w:i/>
          <w:iCs/>
        </w:rPr>
      </w:pPr>
      <w:r>
        <w:rPr>
          <w:i/>
          <w:iCs/>
          <w:lang w:val="fr"/>
        </w:rPr>
        <w:t>Insuffisance hépatique</w:t>
      </w:r>
    </w:p>
    <w:p w14:paraId="0C6C8BEB" w14:textId="77777777" w:rsidR="004D5C26" w:rsidRPr="00687165" w:rsidRDefault="004D5C26" w:rsidP="004D5C26">
      <w:pPr>
        <w:spacing w:line="240" w:lineRule="auto"/>
        <w:rPr>
          <w:noProof/>
        </w:rPr>
      </w:pPr>
      <w:r>
        <w:rPr>
          <w:noProof/>
          <w:lang w:val="fr"/>
        </w:rPr>
        <w:t>Aucune information n’est disponible sur le traitement par tiratricol de patients présentant une insuffisance hépatique.</w:t>
      </w:r>
    </w:p>
    <w:p w14:paraId="3B4072D7" w14:textId="77777777" w:rsidR="004D5C26" w:rsidRPr="00687165" w:rsidRDefault="004D5C26" w:rsidP="004D5C26">
      <w:pPr>
        <w:spacing w:line="240" w:lineRule="auto"/>
        <w:rPr>
          <w:noProof/>
        </w:rPr>
      </w:pPr>
    </w:p>
    <w:p w14:paraId="32826BFC" w14:textId="77777777" w:rsidR="004D5C26" w:rsidRPr="00687165" w:rsidRDefault="004D5C26" w:rsidP="004D5C26">
      <w:pPr>
        <w:spacing w:line="240" w:lineRule="auto"/>
        <w:rPr>
          <w:bCs/>
          <w:i/>
          <w:iCs/>
        </w:rPr>
      </w:pPr>
      <w:r>
        <w:rPr>
          <w:i/>
          <w:iCs/>
          <w:lang w:val="fr"/>
        </w:rPr>
        <w:t>Insuffisance rénale</w:t>
      </w:r>
    </w:p>
    <w:p w14:paraId="50758022" w14:textId="77777777" w:rsidR="004D5C26" w:rsidRPr="00687165" w:rsidRDefault="004D5C26" w:rsidP="004D5C26">
      <w:pPr>
        <w:spacing w:line="240" w:lineRule="auto"/>
        <w:rPr>
          <w:bCs/>
          <w:iCs/>
        </w:rPr>
      </w:pPr>
      <w:r>
        <w:rPr>
          <w:lang w:val="fr"/>
        </w:rPr>
        <w:t xml:space="preserve">Aucune information n’est disponible sur le traitement par </w:t>
      </w:r>
      <w:proofErr w:type="spellStart"/>
      <w:r>
        <w:rPr>
          <w:lang w:val="fr"/>
        </w:rPr>
        <w:t>tiratricol</w:t>
      </w:r>
      <w:proofErr w:type="spellEnd"/>
      <w:r>
        <w:rPr>
          <w:lang w:val="fr"/>
        </w:rPr>
        <w:t xml:space="preserve"> de patients présentant une insuffisance rénale.</w:t>
      </w:r>
    </w:p>
    <w:p w14:paraId="46C16D2C" w14:textId="77777777" w:rsidR="004D5C26" w:rsidRPr="00687165" w:rsidRDefault="004D5C26" w:rsidP="004D5C26">
      <w:pPr>
        <w:spacing w:line="240" w:lineRule="auto"/>
        <w:rPr>
          <w:bCs/>
          <w:iCs/>
        </w:rPr>
      </w:pPr>
    </w:p>
    <w:p w14:paraId="0585FC24" w14:textId="77777777" w:rsidR="004D5C26" w:rsidRPr="00687165" w:rsidRDefault="004D5C26" w:rsidP="004D5C26">
      <w:pPr>
        <w:spacing w:line="240" w:lineRule="auto"/>
        <w:rPr>
          <w:bCs/>
          <w:i/>
          <w:iCs/>
        </w:rPr>
      </w:pPr>
      <w:r>
        <w:rPr>
          <w:i/>
          <w:iCs/>
          <w:lang w:val="fr"/>
        </w:rPr>
        <w:t>Population pédiatrique</w:t>
      </w:r>
    </w:p>
    <w:p w14:paraId="0026ABAD" w14:textId="77777777" w:rsidR="004D5C26" w:rsidRPr="000D0830" w:rsidRDefault="004D5C26" w:rsidP="004D5C26">
      <w:pPr>
        <w:autoSpaceDE w:val="0"/>
        <w:autoSpaceDN w:val="0"/>
        <w:adjustRightInd w:val="0"/>
        <w:spacing w:line="240" w:lineRule="auto"/>
        <w:rPr>
          <w:lang w:val="fr"/>
        </w:rPr>
      </w:pPr>
      <w:r w:rsidRPr="000B2A81">
        <w:rPr>
          <w:lang w:val="fr"/>
        </w:rPr>
        <w:t xml:space="preserve">L'âge médian des patients était de 7,1 ans dans l'essai Triac I et de 4,6 ans dans la cohorte internationale. Un essai est en cours pour évaluer le traitement par </w:t>
      </w:r>
      <w:proofErr w:type="spellStart"/>
      <w:r w:rsidRPr="000B2A81">
        <w:rPr>
          <w:lang w:val="fr"/>
        </w:rPr>
        <w:t>tiratricol</w:t>
      </w:r>
      <w:proofErr w:type="spellEnd"/>
      <w:r w:rsidRPr="000B2A81">
        <w:rPr>
          <w:lang w:val="fr"/>
        </w:rPr>
        <w:t xml:space="preserve"> chez les enfants âgés de ≤ 30 mois à l'inclusion.</w:t>
      </w:r>
    </w:p>
    <w:p w14:paraId="6694C0F8" w14:textId="77777777" w:rsidR="004D5C26" w:rsidRPr="000D0830" w:rsidRDefault="004D5C26" w:rsidP="004D5C26">
      <w:pPr>
        <w:autoSpaceDE w:val="0"/>
        <w:autoSpaceDN w:val="0"/>
        <w:adjustRightInd w:val="0"/>
        <w:spacing w:line="240" w:lineRule="auto"/>
        <w:rPr>
          <w:lang w:val="fr"/>
        </w:rPr>
      </w:pPr>
    </w:p>
    <w:p w14:paraId="73BBE1FA" w14:textId="77777777" w:rsidR="004D5C26" w:rsidRPr="000D0830" w:rsidRDefault="004D5C26" w:rsidP="004D5C26">
      <w:pPr>
        <w:spacing w:line="240" w:lineRule="auto"/>
        <w:rPr>
          <w:u w:val="single"/>
          <w:lang w:val="fr"/>
        </w:rPr>
      </w:pPr>
      <w:r>
        <w:rPr>
          <w:u w:val="single"/>
          <w:lang w:val="fr"/>
        </w:rPr>
        <w:t xml:space="preserve">Mode d'administration </w:t>
      </w:r>
    </w:p>
    <w:p w14:paraId="09D93407" w14:textId="77777777" w:rsidR="004D5C26" w:rsidRPr="000D0830" w:rsidRDefault="004D5C26" w:rsidP="004D5C26">
      <w:pPr>
        <w:spacing w:line="240" w:lineRule="auto"/>
        <w:rPr>
          <w:lang w:val="fr"/>
        </w:rPr>
      </w:pPr>
      <w:r>
        <w:rPr>
          <w:lang w:val="fr"/>
        </w:rPr>
        <w:t xml:space="preserve">Voie orale ou gastro-entérale. </w:t>
      </w:r>
    </w:p>
    <w:p w14:paraId="6CAD9BED" w14:textId="77777777" w:rsidR="004D5C26" w:rsidRPr="000D0830" w:rsidRDefault="004D5C26" w:rsidP="004D5C26">
      <w:pPr>
        <w:autoSpaceDE w:val="0"/>
        <w:autoSpaceDN w:val="0"/>
        <w:adjustRightInd w:val="0"/>
        <w:spacing w:line="240" w:lineRule="auto"/>
        <w:rPr>
          <w:lang w:val="fr"/>
        </w:rPr>
      </w:pPr>
    </w:p>
    <w:p w14:paraId="5B43B374" w14:textId="77777777" w:rsidR="004D5C26" w:rsidRPr="000D0830" w:rsidRDefault="004D5C26" w:rsidP="004D5C26">
      <w:pPr>
        <w:spacing w:line="240" w:lineRule="auto"/>
        <w:rPr>
          <w:lang w:val="fr"/>
        </w:rPr>
      </w:pPr>
      <w:r>
        <w:rPr>
          <w:lang w:val="fr"/>
        </w:rPr>
        <w:t xml:space="preserve">Les comprimés peuvent être mis en suspension dans un peu d'eau, et si nécessaire, mélangés avec des aliments écrasés. </w:t>
      </w:r>
      <w:proofErr w:type="spellStart"/>
      <w:r>
        <w:rPr>
          <w:lang w:val="fr"/>
        </w:rPr>
        <w:t>Emcitate</w:t>
      </w:r>
      <w:proofErr w:type="spellEnd"/>
      <w:r>
        <w:rPr>
          <w:lang w:val="fr"/>
        </w:rPr>
        <w:t xml:space="preserve"> peut aussi être administré par le biais d'une sonde </w:t>
      </w:r>
      <w:proofErr w:type="spellStart"/>
      <w:r>
        <w:rPr>
          <w:lang w:val="fr"/>
        </w:rPr>
        <w:t>nasogastrique</w:t>
      </w:r>
      <w:proofErr w:type="spellEnd"/>
      <w:r>
        <w:rPr>
          <w:lang w:val="fr"/>
        </w:rPr>
        <w:t xml:space="preserve"> / sonde de gastrostomie percutanée endoscopique (PEG). Le système doit être rincé à l'eau après l'administration. </w:t>
      </w:r>
    </w:p>
    <w:p w14:paraId="4F4859C2" w14:textId="77777777" w:rsidR="004D5C26" w:rsidRPr="00687165" w:rsidRDefault="004D5C26" w:rsidP="004D5C26">
      <w:pPr>
        <w:spacing w:line="240" w:lineRule="auto"/>
        <w:rPr>
          <w:noProof/>
        </w:rPr>
      </w:pPr>
    </w:p>
    <w:p w14:paraId="25A8418B" w14:textId="77777777" w:rsidR="004D5C26" w:rsidRPr="00687165" w:rsidRDefault="004D5C26" w:rsidP="004D5C26">
      <w:pPr>
        <w:spacing w:line="240" w:lineRule="auto"/>
        <w:ind w:left="567" w:hanging="567"/>
        <w:rPr>
          <w:noProof/>
        </w:rPr>
      </w:pPr>
      <w:r>
        <w:rPr>
          <w:b/>
          <w:bCs/>
          <w:noProof/>
          <w:lang w:val="fr"/>
        </w:rPr>
        <w:t>4.3</w:t>
      </w:r>
      <w:r>
        <w:rPr>
          <w:b/>
          <w:bCs/>
          <w:noProof/>
          <w:lang w:val="fr"/>
        </w:rPr>
        <w:tab/>
        <w:t>Contre-indications</w:t>
      </w:r>
    </w:p>
    <w:p w14:paraId="42E731B6" w14:textId="77777777" w:rsidR="004D5C26" w:rsidRPr="00687165" w:rsidRDefault="004D5C26" w:rsidP="004D5C26">
      <w:pPr>
        <w:spacing w:line="240" w:lineRule="auto"/>
        <w:rPr>
          <w:noProof/>
        </w:rPr>
      </w:pPr>
      <w:r>
        <w:rPr>
          <w:noProof/>
          <w:lang w:val="fr"/>
        </w:rPr>
        <w:t xml:space="preserve">Hypersensibilité à la substance active ou à l’un des excipients mentionnés à la rubrique 6.1 </w:t>
      </w:r>
    </w:p>
    <w:p w14:paraId="3A6AE025" w14:textId="77777777" w:rsidR="004D5C26" w:rsidRPr="00687165" w:rsidRDefault="004D5C26" w:rsidP="004D5C26">
      <w:pPr>
        <w:spacing w:line="240" w:lineRule="auto"/>
        <w:rPr>
          <w:noProof/>
        </w:rPr>
      </w:pPr>
    </w:p>
    <w:p w14:paraId="3125BACB" w14:textId="77777777" w:rsidR="004D5C26" w:rsidRPr="00AE478A" w:rsidRDefault="004D5C26" w:rsidP="004D5C26">
      <w:pPr>
        <w:spacing w:line="240" w:lineRule="auto"/>
        <w:ind w:left="567" w:hanging="567"/>
        <w:rPr>
          <w:b/>
          <w:noProof/>
        </w:rPr>
      </w:pPr>
      <w:r>
        <w:rPr>
          <w:b/>
          <w:bCs/>
          <w:noProof/>
          <w:lang w:val="fr"/>
        </w:rPr>
        <w:t>4.4</w:t>
      </w:r>
      <w:r>
        <w:rPr>
          <w:b/>
          <w:bCs/>
          <w:noProof/>
          <w:lang w:val="fr"/>
        </w:rPr>
        <w:tab/>
        <w:t>Mises en garde spéciales et précautions d’emploi</w:t>
      </w:r>
    </w:p>
    <w:p w14:paraId="0F7BBEF0" w14:textId="77777777" w:rsidR="004D5C26" w:rsidRPr="00AE478A" w:rsidRDefault="004D5C26" w:rsidP="004D5C26">
      <w:pPr>
        <w:spacing w:line="240" w:lineRule="auto"/>
        <w:rPr>
          <w:noProof/>
          <w:u w:val="single"/>
        </w:rPr>
      </w:pPr>
      <w:r>
        <w:rPr>
          <w:noProof/>
          <w:u w:val="single"/>
          <w:lang w:val="fr"/>
        </w:rPr>
        <w:t>Mises en garde</w:t>
      </w:r>
    </w:p>
    <w:p w14:paraId="1958B1B7" w14:textId="77777777" w:rsidR="004D5C26" w:rsidRPr="00687165" w:rsidRDefault="004D5C26" w:rsidP="004D5C26">
      <w:pPr>
        <w:autoSpaceDE w:val="0"/>
        <w:autoSpaceDN w:val="0"/>
        <w:adjustRightInd w:val="0"/>
        <w:spacing w:line="240" w:lineRule="auto"/>
      </w:pPr>
      <w:r>
        <w:rPr>
          <w:lang w:val="fr"/>
        </w:rPr>
        <w:t xml:space="preserve">À l’initiation du traitement, il est possible d’observer des signes transitoires d'un état </w:t>
      </w:r>
      <w:proofErr w:type="spellStart"/>
      <w:r>
        <w:rPr>
          <w:lang w:val="fr"/>
        </w:rPr>
        <w:t>hypermétabolique</w:t>
      </w:r>
      <w:proofErr w:type="spellEnd"/>
      <w:r>
        <w:rPr>
          <w:lang w:val="fr"/>
        </w:rPr>
        <w:t xml:space="preserve"> dû à une hyperthyroïdie (tachycardie, nervosité, insomnie, hyperthermie, transpiration, perte de poids rapide, diarrhée). Le traitement peut être suspendu temporairement pendant 24 à 48 heures puis repris à une dose plus faible.</w:t>
      </w:r>
    </w:p>
    <w:p w14:paraId="7AA6799E" w14:textId="77777777" w:rsidR="004D5C26" w:rsidRPr="00687165" w:rsidRDefault="004D5C26" w:rsidP="004D5C26">
      <w:pPr>
        <w:spacing w:line="240" w:lineRule="auto"/>
        <w:rPr>
          <w:i/>
          <w:noProof/>
        </w:rPr>
      </w:pPr>
    </w:p>
    <w:p w14:paraId="5F948ED1" w14:textId="77777777" w:rsidR="004D5C26" w:rsidRPr="00687165" w:rsidRDefault="004D5C26" w:rsidP="004D5C26">
      <w:pPr>
        <w:spacing w:line="240" w:lineRule="auto"/>
        <w:rPr>
          <w:noProof/>
          <w:u w:val="single"/>
        </w:rPr>
      </w:pPr>
      <w:r>
        <w:rPr>
          <w:noProof/>
          <w:u w:val="single"/>
          <w:lang w:val="fr"/>
        </w:rPr>
        <w:t>Précautions d'emploi</w:t>
      </w:r>
    </w:p>
    <w:p w14:paraId="6137E1D5" w14:textId="77777777" w:rsidR="004D5C26" w:rsidRPr="00687165" w:rsidRDefault="004D5C26" w:rsidP="004D5C26">
      <w:pPr>
        <w:spacing w:line="240" w:lineRule="auto"/>
      </w:pPr>
      <w:r>
        <w:rPr>
          <w:lang w:val="fr"/>
        </w:rPr>
        <w:t xml:space="preserve">Le </w:t>
      </w:r>
      <w:proofErr w:type="spellStart"/>
      <w:r>
        <w:rPr>
          <w:lang w:val="fr"/>
        </w:rPr>
        <w:t>tiratricol</w:t>
      </w:r>
      <w:proofErr w:type="spellEnd"/>
      <w:r>
        <w:rPr>
          <w:lang w:val="fr"/>
        </w:rPr>
        <w:t xml:space="preserve"> interfère avec la détermination de la T</w:t>
      </w:r>
      <w:r>
        <w:rPr>
          <w:vertAlign w:val="subscript"/>
          <w:lang w:val="fr"/>
        </w:rPr>
        <w:t>3</w:t>
      </w:r>
      <w:r>
        <w:rPr>
          <w:lang w:val="fr"/>
        </w:rPr>
        <w:t>, ce qui doit être pris en compte lors de l’interprétation des résultats du dosage de routine. Des précautions doivent être prises lors de la prescription, de la titration et de l'ajustement de la dose d'</w:t>
      </w:r>
      <w:proofErr w:type="spellStart"/>
      <w:r>
        <w:rPr>
          <w:lang w:val="fr"/>
        </w:rPr>
        <w:t>Emcitate</w:t>
      </w:r>
      <w:proofErr w:type="spellEnd"/>
      <w:r>
        <w:rPr>
          <w:lang w:val="fr"/>
        </w:rPr>
        <w:t>. Des directives spéciales doivent être suivies pour l'interprétation du test T</w:t>
      </w:r>
      <w:r>
        <w:rPr>
          <w:vertAlign w:val="subscript"/>
          <w:lang w:val="fr"/>
        </w:rPr>
        <w:t>3</w:t>
      </w:r>
      <w:r>
        <w:rPr>
          <w:lang w:val="fr"/>
        </w:rPr>
        <w:t xml:space="preserve"> lorsque la dose d'</w:t>
      </w:r>
      <w:proofErr w:type="spellStart"/>
      <w:r>
        <w:rPr>
          <w:lang w:val="fr"/>
        </w:rPr>
        <w:t>Emcitate</w:t>
      </w:r>
      <w:proofErr w:type="spellEnd"/>
      <w:r>
        <w:rPr>
          <w:lang w:val="fr"/>
        </w:rPr>
        <w:t xml:space="preserve"> est déterminée ou modifiée. </w:t>
      </w:r>
    </w:p>
    <w:p w14:paraId="37DF9686" w14:textId="77777777" w:rsidR="004D5C26" w:rsidRPr="00687165" w:rsidRDefault="004D5C26" w:rsidP="004D5C26">
      <w:pPr>
        <w:spacing w:line="240" w:lineRule="auto"/>
        <w:rPr>
          <w:noProof/>
        </w:rPr>
      </w:pPr>
    </w:p>
    <w:p w14:paraId="179E6CF9" w14:textId="77777777" w:rsidR="004D5C26" w:rsidRPr="00687165" w:rsidRDefault="004D5C26" w:rsidP="004D5C26">
      <w:pPr>
        <w:spacing w:line="240" w:lineRule="auto"/>
        <w:rPr>
          <w:rStyle w:val="eop"/>
          <w:color w:val="000000"/>
          <w:shd w:val="clear" w:color="auto" w:fill="FFFFFF"/>
        </w:rPr>
      </w:pPr>
      <w:r>
        <w:rPr>
          <w:rStyle w:val="normaltextrun"/>
          <w:color w:val="000000"/>
          <w:shd w:val="clear" w:color="auto" w:fill="FFFFFF"/>
          <w:lang w:val="fr"/>
        </w:rPr>
        <w:t>Faire preuve de prudence chez les patients diabétiques. </w:t>
      </w:r>
      <w:r>
        <w:rPr>
          <w:rStyle w:val="eop"/>
          <w:color w:val="000000"/>
          <w:shd w:val="clear" w:color="auto" w:fill="FFFFFF"/>
          <w:lang w:val="fr"/>
        </w:rPr>
        <w:t> </w:t>
      </w:r>
    </w:p>
    <w:p w14:paraId="33C73B37" w14:textId="77777777" w:rsidR="004D5C26" w:rsidRPr="00687165" w:rsidRDefault="004D5C26" w:rsidP="004D5C26">
      <w:pPr>
        <w:spacing w:line="240" w:lineRule="auto"/>
        <w:rPr>
          <w:noProof/>
        </w:rPr>
      </w:pPr>
    </w:p>
    <w:p w14:paraId="7D376DA4" w14:textId="77777777" w:rsidR="004D5C26" w:rsidRPr="00687165" w:rsidRDefault="004D5C26" w:rsidP="004D5C26">
      <w:pPr>
        <w:spacing w:line="240" w:lineRule="auto"/>
        <w:rPr>
          <w:noProof/>
        </w:rPr>
      </w:pPr>
      <w:r>
        <w:rPr>
          <w:noProof/>
          <w:lang w:val="fr"/>
        </w:rPr>
        <w:t>Aucune information n'est disponible sur le traitement par le tiratricol de patients avec insuffisance rénale et/ou hépatique.</w:t>
      </w:r>
    </w:p>
    <w:p w14:paraId="5276236A" w14:textId="77777777" w:rsidR="004D5C26" w:rsidRPr="00687165" w:rsidRDefault="004D5C26" w:rsidP="004D5C26">
      <w:pPr>
        <w:spacing w:line="240" w:lineRule="auto"/>
        <w:rPr>
          <w:noProof/>
        </w:rPr>
      </w:pPr>
    </w:p>
    <w:p w14:paraId="193976A5" w14:textId="77777777" w:rsidR="004D5C26" w:rsidRPr="000D0830" w:rsidRDefault="004D5C26" w:rsidP="004D5C26">
      <w:pPr>
        <w:spacing w:line="240" w:lineRule="auto"/>
        <w:rPr>
          <w:noProof/>
          <w:lang w:val="fr"/>
        </w:rPr>
      </w:pPr>
      <w:r>
        <w:rPr>
          <w:noProof/>
          <w:lang w:val="fr"/>
        </w:rPr>
        <w:t>Les comprimés contiennent du lactose. Leur utilisation est déconseillée chez les patients présentant des problèmes héréditaires rares d'intolérance au galactose, de déficit en lactase totale ou de malabsorption du glucose et du galactose.</w:t>
      </w:r>
    </w:p>
    <w:p w14:paraId="4C896950" w14:textId="77777777" w:rsidR="004D5C26" w:rsidRPr="000D0830" w:rsidRDefault="004D5C26" w:rsidP="004D5C26">
      <w:pPr>
        <w:spacing w:line="240" w:lineRule="auto"/>
        <w:outlineLvl w:val="0"/>
        <w:rPr>
          <w:noProof/>
          <w:lang w:val="fr"/>
        </w:rPr>
      </w:pPr>
    </w:p>
    <w:p w14:paraId="4E9A05F1" w14:textId="77777777" w:rsidR="004D5C26" w:rsidRPr="00687165" w:rsidRDefault="004D5C26" w:rsidP="004D5C26">
      <w:pPr>
        <w:spacing w:line="240" w:lineRule="auto"/>
        <w:ind w:left="567" w:hanging="567"/>
        <w:outlineLvl w:val="0"/>
        <w:rPr>
          <w:noProof/>
        </w:rPr>
      </w:pPr>
      <w:r>
        <w:rPr>
          <w:b/>
          <w:bCs/>
          <w:noProof/>
          <w:lang w:val="fr"/>
        </w:rPr>
        <w:t>4.5</w:t>
      </w:r>
      <w:r>
        <w:rPr>
          <w:b/>
          <w:bCs/>
          <w:noProof/>
          <w:lang w:val="fr"/>
        </w:rPr>
        <w:tab/>
        <w:t>Interactions avec d’autres médicaments et autres formes d’interactions</w:t>
      </w:r>
    </w:p>
    <w:p w14:paraId="05E2CD44" w14:textId="77777777" w:rsidR="004D5C26" w:rsidRPr="00687165" w:rsidRDefault="004D5C26" w:rsidP="004D5C26">
      <w:pPr>
        <w:spacing w:line="240" w:lineRule="auto"/>
        <w:rPr>
          <w:u w:val="single"/>
        </w:rPr>
      </w:pPr>
      <w:r>
        <w:rPr>
          <w:u w:val="single"/>
          <w:lang w:val="fr"/>
        </w:rPr>
        <w:t>Interactions majeures</w:t>
      </w:r>
    </w:p>
    <w:p w14:paraId="68E94D97" w14:textId="77777777" w:rsidR="004D5C26" w:rsidRPr="00AE478A" w:rsidRDefault="004D5C26" w:rsidP="004D5C26">
      <w:pPr>
        <w:spacing w:line="240" w:lineRule="auto"/>
        <w:rPr>
          <w:i/>
          <w:iCs/>
          <w:u w:val="single"/>
        </w:rPr>
      </w:pPr>
      <w:r>
        <w:rPr>
          <w:i/>
          <w:iCs/>
          <w:u w:val="single"/>
          <w:lang w:val="fr"/>
        </w:rPr>
        <w:t xml:space="preserve">Autres </w:t>
      </w:r>
      <w:r>
        <w:rPr>
          <w:i/>
          <w:iCs/>
          <w:noProof/>
          <w:u w:val="single"/>
          <w:lang w:val="fr"/>
        </w:rPr>
        <w:t>analogues</w:t>
      </w:r>
      <w:r>
        <w:rPr>
          <w:i/>
          <w:iCs/>
          <w:noProof/>
          <w:u w:val="single"/>
          <w:vertAlign w:val="subscript"/>
          <w:lang w:val="fr"/>
        </w:rPr>
        <w:t xml:space="preserve"> </w:t>
      </w:r>
      <w:r>
        <w:rPr>
          <w:i/>
          <w:iCs/>
          <w:u w:val="single"/>
          <w:lang w:val="fr"/>
        </w:rPr>
        <w:t>de la T</w:t>
      </w:r>
      <w:r>
        <w:rPr>
          <w:i/>
          <w:iCs/>
          <w:u w:val="single"/>
          <w:vertAlign w:val="subscript"/>
          <w:lang w:val="fr"/>
        </w:rPr>
        <w:t>3</w:t>
      </w:r>
      <w:r>
        <w:rPr>
          <w:i/>
          <w:iCs/>
          <w:u w:val="single"/>
          <w:lang w:val="fr"/>
        </w:rPr>
        <w:t xml:space="preserve"> et de la LT</w:t>
      </w:r>
      <w:r>
        <w:rPr>
          <w:i/>
          <w:iCs/>
          <w:u w:val="single"/>
          <w:vertAlign w:val="subscript"/>
          <w:lang w:val="fr"/>
        </w:rPr>
        <w:t>4</w:t>
      </w:r>
      <w:r>
        <w:rPr>
          <w:i/>
          <w:iCs/>
          <w:u w:val="single"/>
          <w:lang w:val="fr"/>
        </w:rPr>
        <w:t xml:space="preserve"> </w:t>
      </w:r>
    </w:p>
    <w:p w14:paraId="59529A48" w14:textId="77777777" w:rsidR="004D5C26" w:rsidRPr="00687165" w:rsidRDefault="004D5C26" w:rsidP="004D5C26">
      <w:pPr>
        <w:spacing w:line="240" w:lineRule="auto"/>
      </w:pPr>
      <w:r>
        <w:rPr>
          <w:lang w:val="fr"/>
        </w:rPr>
        <w:t xml:space="preserve">La prise de </w:t>
      </w:r>
      <w:proofErr w:type="spellStart"/>
      <w:r>
        <w:rPr>
          <w:lang w:val="fr"/>
        </w:rPr>
        <w:t>tiratricol</w:t>
      </w:r>
      <w:proofErr w:type="spellEnd"/>
      <w:r>
        <w:rPr>
          <w:lang w:val="fr"/>
        </w:rPr>
        <w:t xml:space="preserve"> conjointement avec d’autres </w:t>
      </w:r>
      <w:proofErr w:type="spellStart"/>
      <w:r>
        <w:rPr>
          <w:lang w:val="fr"/>
        </w:rPr>
        <w:t>thyromimétiques</w:t>
      </w:r>
      <w:proofErr w:type="spellEnd"/>
      <w:r>
        <w:rPr>
          <w:lang w:val="fr"/>
        </w:rPr>
        <w:t xml:space="preserve"> peut accroître le risque de symptômes </w:t>
      </w:r>
      <w:proofErr w:type="spellStart"/>
      <w:r>
        <w:rPr>
          <w:lang w:val="fr"/>
        </w:rPr>
        <w:t>thyrotoxiques</w:t>
      </w:r>
      <w:proofErr w:type="spellEnd"/>
      <w:r>
        <w:rPr>
          <w:lang w:val="fr"/>
        </w:rPr>
        <w:t>.</w:t>
      </w:r>
    </w:p>
    <w:p w14:paraId="50F5A2BB" w14:textId="77777777" w:rsidR="004D5C26" w:rsidRPr="00687165" w:rsidRDefault="004D5C26" w:rsidP="004D5C26">
      <w:pPr>
        <w:spacing w:line="240" w:lineRule="auto"/>
        <w:rPr>
          <w:u w:val="single"/>
        </w:rPr>
      </w:pPr>
      <w:r>
        <w:rPr>
          <w:u w:val="single"/>
          <w:lang w:val="fr"/>
        </w:rPr>
        <w:t>Interactions mineures</w:t>
      </w:r>
    </w:p>
    <w:p w14:paraId="7A70D352" w14:textId="77777777" w:rsidR="004D5C26" w:rsidRPr="00687165" w:rsidRDefault="004D5C26" w:rsidP="004D5C26">
      <w:pPr>
        <w:spacing w:line="240" w:lineRule="auto"/>
      </w:pPr>
      <w:r>
        <w:rPr>
          <w:lang w:val="fr"/>
        </w:rPr>
        <w:t xml:space="preserve">Les antiacides, le charbon, le calcium, les résines cationiques (par ex., la </w:t>
      </w:r>
      <w:proofErr w:type="spellStart"/>
      <w:r>
        <w:rPr>
          <w:lang w:val="fr"/>
        </w:rPr>
        <w:t>cholestyramine</w:t>
      </w:r>
      <w:proofErr w:type="spellEnd"/>
      <w:r>
        <w:rPr>
          <w:lang w:val="fr"/>
        </w:rPr>
        <w:t xml:space="preserve">), le fer, le </w:t>
      </w:r>
      <w:proofErr w:type="spellStart"/>
      <w:r>
        <w:rPr>
          <w:lang w:val="fr"/>
        </w:rPr>
        <w:t>sucralfate</w:t>
      </w:r>
      <w:proofErr w:type="spellEnd"/>
      <w:r>
        <w:rPr>
          <w:lang w:val="fr"/>
        </w:rPr>
        <w:t xml:space="preserve"> et les agents gastro-intestinaux topiques peuvent interférer avec l'absorption gastro-intestinale du </w:t>
      </w:r>
      <w:proofErr w:type="spellStart"/>
      <w:r>
        <w:rPr>
          <w:lang w:val="fr"/>
        </w:rPr>
        <w:t>tiratricol</w:t>
      </w:r>
      <w:proofErr w:type="spellEnd"/>
      <w:r>
        <w:rPr>
          <w:lang w:val="fr"/>
        </w:rPr>
        <w:t xml:space="preserve">. Un ajustement de la dose de </w:t>
      </w:r>
      <w:proofErr w:type="spellStart"/>
      <w:r>
        <w:rPr>
          <w:lang w:val="fr"/>
        </w:rPr>
        <w:t>tiratricol</w:t>
      </w:r>
      <w:proofErr w:type="spellEnd"/>
      <w:r>
        <w:rPr>
          <w:lang w:val="fr"/>
        </w:rPr>
        <w:t xml:space="preserve"> peut être nécessaire pour obtenir les effets souhaités. Ces traitements doivent être pris un certain temps avant ou après les hormones thyroïdiennes (plus de 2 heures si possible). Dans le cas de la </w:t>
      </w:r>
      <w:proofErr w:type="spellStart"/>
      <w:r>
        <w:rPr>
          <w:lang w:val="fr"/>
        </w:rPr>
        <w:t>cholestyramine</w:t>
      </w:r>
      <w:proofErr w:type="spellEnd"/>
      <w:r>
        <w:rPr>
          <w:lang w:val="fr"/>
        </w:rPr>
        <w:t xml:space="preserve">, le </w:t>
      </w:r>
      <w:proofErr w:type="spellStart"/>
      <w:r>
        <w:rPr>
          <w:lang w:val="fr"/>
        </w:rPr>
        <w:t>tiratricol</w:t>
      </w:r>
      <w:proofErr w:type="spellEnd"/>
      <w:r>
        <w:rPr>
          <w:lang w:val="fr"/>
        </w:rPr>
        <w:t xml:space="preserve"> doit être pris 1 heure avant ou 4 heures après la dose de résine. Il convient d'optimiser le moment de prise du </w:t>
      </w:r>
      <w:proofErr w:type="spellStart"/>
      <w:r>
        <w:rPr>
          <w:lang w:val="fr"/>
        </w:rPr>
        <w:t>tiratricol</w:t>
      </w:r>
      <w:proofErr w:type="spellEnd"/>
      <w:r>
        <w:rPr>
          <w:lang w:val="fr"/>
        </w:rPr>
        <w:t xml:space="preserve"> par rapport à l'antiacide.</w:t>
      </w:r>
    </w:p>
    <w:p w14:paraId="5567E680" w14:textId="77777777" w:rsidR="004D5C26" w:rsidRPr="00687165" w:rsidRDefault="004D5C26" w:rsidP="004D5C26">
      <w:pPr>
        <w:spacing w:line="240" w:lineRule="auto"/>
        <w:rPr>
          <w:i/>
          <w:iCs/>
          <w:u w:val="single"/>
        </w:rPr>
      </w:pPr>
      <w:r>
        <w:rPr>
          <w:i/>
          <w:iCs/>
          <w:u w:val="single"/>
          <w:lang w:val="fr"/>
        </w:rPr>
        <w:t xml:space="preserve">Carbonate de </w:t>
      </w:r>
      <w:proofErr w:type="spellStart"/>
      <w:r>
        <w:rPr>
          <w:i/>
          <w:iCs/>
          <w:u w:val="single"/>
          <w:lang w:val="fr"/>
        </w:rPr>
        <w:t>sévélamer</w:t>
      </w:r>
      <w:proofErr w:type="spellEnd"/>
    </w:p>
    <w:p w14:paraId="0E02A421" w14:textId="77777777" w:rsidR="004D5C26" w:rsidRPr="00687165" w:rsidRDefault="004D5C26" w:rsidP="004D5C26">
      <w:pPr>
        <w:spacing w:line="240" w:lineRule="auto"/>
      </w:pPr>
      <w:r>
        <w:rPr>
          <w:lang w:val="fr"/>
        </w:rPr>
        <w:t xml:space="preserve">Diminution des concentrations des hormones thyroïdiennes, avec risque de baisse d'efficacité. Prendre le </w:t>
      </w:r>
      <w:proofErr w:type="spellStart"/>
      <w:r>
        <w:rPr>
          <w:lang w:val="fr"/>
        </w:rPr>
        <w:t>sévélamer</w:t>
      </w:r>
      <w:proofErr w:type="spellEnd"/>
      <w:r>
        <w:rPr>
          <w:lang w:val="fr"/>
        </w:rPr>
        <w:t xml:space="preserve"> un certain temps avant ou après les hormones thyroïdiennes (plus de 2 heures si possible). </w:t>
      </w:r>
    </w:p>
    <w:p w14:paraId="165F417C" w14:textId="77777777" w:rsidR="004D5C26" w:rsidRPr="00687165" w:rsidRDefault="004D5C26" w:rsidP="004D5C26">
      <w:pPr>
        <w:spacing w:line="240" w:lineRule="auto"/>
        <w:rPr>
          <w:bCs/>
          <w:i/>
          <w:u w:val="single"/>
        </w:rPr>
      </w:pPr>
      <w:r>
        <w:rPr>
          <w:i/>
          <w:iCs/>
          <w:u w:val="single"/>
          <w:lang w:val="fr"/>
        </w:rPr>
        <w:t>Anticoagulants oraux</w:t>
      </w:r>
    </w:p>
    <w:p w14:paraId="5F5FEE10" w14:textId="77777777" w:rsidR="004D5C26" w:rsidRPr="00687165" w:rsidRDefault="004D5C26" w:rsidP="004D5C26">
      <w:pPr>
        <w:spacing w:line="240" w:lineRule="auto"/>
        <w:rPr>
          <w:bCs/>
          <w:iCs/>
        </w:rPr>
      </w:pPr>
      <w:r>
        <w:rPr>
          <w:lang w:val="fr"/>
        </w:rPr>
        <w:lastRenderedPageBreak/>
        <w:t>Augmentation de l'effet de l'anticoagulant oral et du risque hémorragique (augmentation du métabolisme des facteurs du complexe de la thrombine).</w:t>
      </w:r>
    </w:p>
    <w:p w14:paraId="7E3CC89B" w14:textId="77777777" w:rsidR="004D5C26" w:rsidRPr="00687165" w:rsidRDefault="004D5C26" w:rsidP="004D5C26">
      <w:pPr>
        <w:spacing w:line="240" w:lineRule="auto"/>
        <w:rPr>
          <w:bCs/>
          <w:i/>
          <w:u w:val="single"/>
        </w:rPr>
      </w:pPr>
      <w:r>
        <w:rPr>
          <w:i/>
          <w:iCs/>
          <w:u w:val="single"/>
          <w:lang w:val="fr"/>
        </w:rPr>
        <w:t>Anticonvulsivants inducteurs enzymatiques</w:t>
      </w:r>
    </w:p>
    <w:p w14:paraId="7CE8D89E" w14:textId="77777777" w:rsidR="004D5C26" w:rsidRPr="00687165" w:rsidRDefault="004D5C26" w:rsidP="004D5C26">
      <w:pPr>
        <w:spacing w:line="240" w:lineRule="auto"/>
      </w:pPr>
      <w:r>
        <w:rPr>
          <w:lang w:val="fr"/>
        </w:rPr>
        <w:t>Surveillance des concentrations sériques de la T</w:t>
      </w:r>
      <w:r>
        <w:rPr>
          <w:vertAlign w:val="subscript"/>
          <w:lang w:val="fr"/>
        </w:rPr>
        <w:t>3</w:t>
      </w:r>
      <w:r>
        <w:rPr>
          <w:lang w:val="fr"/>
        </w:rPr>
        <w:t xml:space="preserve"> et de l T</w:t>
      </w:r>
      <w:r>
        <w:rPr>
          <w:vertAlign w:val="subscript"/>
          <w:lang w:val="fr"/>
        </w:rPr>
        <w:t>4</w:t>
      </w:r>
      <w:r>
        <w:rPr>
          <w:lang w:val="fr"/>
        </w:rPr>
        <w:t xml:space="preserve"> et adaptation, si besoin, de la posologie des hormones thyroïdiennes pendant le traitement par l'inducteur et après son arrêt.</w:t>
      </w:r>
    </w:p>
    <w:p w14:paraId="0BCB1E69" w14:textId="77777777" w:rsidR="004D5C26" w:rsidRPr="00687165" w:rsidRDefault="004D5C26" w:rsidP="004D5C26">
      <w:pPr>
        <w:spacing w:line="240" w:lineRule="auto"/>
        <w:rPr>
          <w:bCs/>
          <w:i/>
          <w:u w:val="single"/>
        </w:rPr>
      </w:pPr>
      <w:proofErr w:type="spellStart"/>
      <w:r>
        <w:rPr>
          <w:i/>
          <w:iCs/>
          <w:u w:val="single"/>
          <w:lang w:val="fr"/>
        </w:rPr>
        <w:t>Orlistat</w:t>
      </w:r>
      <w:proofErr w:type="spellEnd"/>
    </w:p>
    <w:p w14:paraId="0A5A631C" w14:textId="77777777" w:rsidR="004D5C26" w:rsidRPr="00687165" w:rsidRDefault="004D5C26" w:rsidP="004D5C26">
      <w:pPr>
        <w:spacing w:line="240" w:lineRule="auto"/>
        <w:rPr>
          <w:bCs/>
          <w:iCs/>
        </w:rPr>
      </w:pPr>
      <w:r>
        <w:rPr>
          <w:lang w:val="fr"/>
        </w:rPr>
        <w:t xml:space="preserve">Risque de déséquilibre du traitement thyroïdien substitutif en cas de traitement par </w:t>
      </w:r>
      <w:proofErr w:type="spellStart"/>
      <w:r>
        <w:rPr>
          <w:lang w:val="fr"/>
        </w:rPr>
        <w:t>orlistat</w:t>
      </w:r>
      <w:proofErr w:type="spellEnd"/>
      <w:r>
        <w:rPr>
          <w:lang w:val="fr"/>
        </w:rPr>
        <w:t>.</w:t>
      </w:r>
    </w:p>
    <w:p w14:paraId="4898EF28" w14:textId="77777777" w:rsidR="004D5C26" w:rsidRPr="00687165" w:rsidRDefault="004D5C26" w:rsidP="004D5C26">
      <w:pPr>
        <w:spacing w:line="240" w:lineRule="auto"/>
      </w:pPr>
    </w:p>
    <w:p w14:paraId="2E1B9E09" w14:textId="77777777" w:rsidR="004D5C26" w:rsidRPr="00687165" w:rsidRDefault="004D5C26" w:rsidP="004D5C26">
      <w:pPr>
        <w:spacing w:line="240" w:lineRule="auto"/>
        <w:ind w:left="567" w:hanging="567"/>
        <w:outlineLvl w:val="0"/>
        <w:rPr>
          <w:noProof/>
        </w:rPr>
      </w:pPr>
      <w:r>
        <w:rPr>
          <w:b/>
          <w:bCs/>
          <w:noProof/>
          <w:lang w:val="fr"/>
        </w:rPr>
        <w:t>4.6</w:t>
      </w:r>
      <w:r>
        <w:rPr>
          <w:b/>
          <w:bCs/>
          <w:noProof/>
          <w:lang w:val="fr"/>
        </w:rPr>
        <w:tab/>
      </w:r>
      <w:r>
        <w:rPr>
          <w:b/>
          <w:bCs/>
          <w:lang w:val="fr"/>
        </w:rPr>
        <w:t>Fertilité, g</w:t>
      </w:r>
      <w:r>
        <w:rPr>
          <w:b/>
          <w:bCs/>
          <w:noProof/>
          <w:lang w:val="fr"/>
        </w:rPr>
        <w:t>rossesse et allaitement</w:t>
      </w:r>
    </w:p>
    <w:p w14:paraId="748A8433" w14:textId="77777777" w:rsidR="004D5C26" w:rsidRPr="00687165" w:rsidRDefault="004D5C26" w:rsidP="004D5C26">
      <w:pPr>
        <w:spacing w:before="60" w:after="60" w:line="259" w:lineRule="auto"/>
        <w:rPr>
          <w:noProof/>
        </w:rPr>
      </w:pPr>
      <w:r>
        <w:rPr>
          <w:noProof/>
          <w:lang w:val="fr"/>
        </w:rPr>
        <w:t>Le déficit en MCT8 est une maladie liée au chromosome X, qui touche principalement les hommes.</w:t>
      </w:r>
    </w:p>
    <w:p w14:paraId="00FE9CEE" w14:textId="77777777" w:rsidR="004D5C26" w:rsidRPr="00687165" w:rsidRDefault="004D5C26" w:rsidP="004D5C26">
      <w:pPr>
        <w:spacing w:before="60" w:after="60" w:line="259" w:lineRule="auto"/>
        <w:rPr>
          <w:bCs/>
          <w:iCs/>
          <w:u w:val="single"/>
        </w:rPr>
      </w:pPr>
      <w:r>
        <w:rPr>
          <w:u w:val="single"/>
          <w:lang w:val="fr"/>
        </w:rPr>
        <w:t>Grossesse</w:t>
      </w:r>
    </w:p>
    <w:p w14:paraId="42D70870" w14:textId="77777777" w:rsidR="004D5C26" w:rsidRPr="00687165" w:rsidRDefault="004D5C26" w:rsidP="004D5C26">
      <w:pPr>
        <w:spacing w:before="60" w:after="60" w:line="259" w:lineRule="auto"/>
        <w:rPr>
          <w:rFonts w:eastAsia="Calibri"/>
          <w:iCs/>
        </w:rPr>
      </w:pPr>
      <w:r>
        <w:rPr>
          <w:rFonts w:eastAsia="Calibri"/>
          <w:lang w:val="fr"/>
        </w:rPr>
        <w:t xml:space="preserve">Il n'existe aucune donnée ou seulement des données limitées sur l’utilisation du </w:t>
      </w:r>
      <w:proofErr w:type="spellStart"/>
      <w:r>
        <w:rPr>
          <w:rFonts w:eastAsia="Calibri"/>
          <w:lang w:val="fr"/>
        </w:rPr>
        <w:t>tiratricol</w:t>
      </w:r>
      <w:proofErr w:type="spellEnd"/>
      <w:r>
        <w:rPr>
          <w:rFonts w:eastAsia="Calibri"/>
          <w:lang w:val="fr"/>
        </w:rPr>
        <w:t xml:space="preserve"> chez la femme enceinte. On sait que le </w:t>
      </w:r>
      <w:proofErr w:type="spellStart"/>
      <w:r>
        <w:rPr>
          <w:rFonts w:eastAsia="Calibri"/>
          <w:lang w:val="fr"/>
        </w:rPr>
        <w:t>tiratricol</w:t>
      </w:r>
      <w:proofErr w:type="spellEnd"/>
      <w:r>
        <w:rPr>
          <w:rFonts w:eastAsia="Calibri"/>
          <w:lang w:val="fr"/>
        </w:rPr>
        <w:t xml:space="preserve"> traverse le placenta dans une plus large mesure que la T</w:t>
      </w:r>
      <w:r>
        <w:rPr>
          <w:rFonts w:eastAsia="Calibri"/>
          <w:vertAlign w:val="subscript"/>
          <w:lang w:val="fr"/>
        </w:rPr>
        <w:t>3</w:t>
      </w:r>
      <w:r>
        <w:rPr>
          <w:rFonts w:eastAsia="Calibri"/>
          <w:lang w:val="fr"/>
        </w:rPr>
        <w:t xml:space="preserve"> et la T</w:t>
      </w:r>
      <w:r>
        <w:rPr>
          <w:rFonts w:eastAsia="Calibri"/>
          <w:vertAlign w:val="subscript"/>
          <w:lang w:val="fr"/>
        </w:rPr>
        <w:t>4</w:t>
      </w:r>
      <w:r>
        <w:rPr>
          <w:rFonts w:eastAsia="Calibri"/>
          <w:lang w:val="fr"/>
        </w:rPr>
        <w:t>. Par mesure de précaution, il est préférable d'éviter l'utilisation d'</w:t>
      </w:r>
      <w:proofErr w:type="spellStart"/>
      <w:r>
        <w:rPr>
          <w:rFonts w:eastAsia="Calibri"/>
          <w:lang w:val="fr"/>
        </w:rPr>
        <w:t>Emcitate</w:t>
      </w:r>
      <w:proofErr w:type="spellEnd"/>
      <w:r>
        <w:rPr>
          <w:rFonts w:eastAsia="Calibri"/>
          <w:lang w:val="fr"/>
        </w:rPr>
        <w:t xml:space="preserve"> pendant la grossesse. En cas d'exposition pendant la grossesse, une surveillance fœtale et néonatale est souhaitable.</w:t>
      </w:r>
    </w:p>
    <w:p w14:paraId="4E6B9072" w14:textId="77777777" w:rsidR="004D5C26" w:rsidRPr="00687165" w:rsidRDefault="004D5C26" w:rsidP="004D5C26">
      <w:pPr>
        <w:spacing w:before="60" w:after="60" w:line="259" w:lineRule="auto"/>
        <w:rPr>
          <w:rFonts w:eastAsia="Calibri"/>
          <w:iCs/>
          <w:u w:val="single"/>
        </w:rPr>
      </w:pPr>
      <w:r>
        <w:rPr>
          <w:rFonts w:eastAsia="Calibri"/>
          <w:u w:val="single"/>
          <w:lang w:val="fr"/>
        </w:rPr>
        <w:t>Allaitement</w:t>
      </w:r>
    </w:p>
    <w:p w14:paraId="0F914FF7" w14:textId="77777777" w:rsidR="004D5C26" w:rsidRPr="000D0830" w:rsidRDefault="004D5C26" w:rsidP="004D5C26">
      <w:pPr>
        <w:spacing w:before="60" w:after="60" w:line="259" w:lineRule="auto"/>
        <w:rPr>
          <w:rFonts w:eastAsia="Calibri"/>
          <w:iCs/>
          <w:lang w:val="fr"/>
        </w:rPr>
      </w:pPr>
      <w:r>
        <w:rPr>
          <w:lang w:val="fr"/>
        </w:rPr>
        <w:t xml:space="preserve">On ne sait pas si le </w:t>
      </w:r>
      <w:proofErr w:type="spellStart"/>
      <w:r>
        <w:rPr>
          <w:lang w:val="fr"/>
        </w:rPr>
        <w:t>tiratricol</w:t>
      </w:r>
      <w:proofErr w:type="spellEnd"/>
      <w:r>
        <w:rPr>
          <w:lang w:val="fr"/>
        </w:rPr>
        <w:t xml:space="preserve"> est excrété dans le lait maternel. Un risque pour l'enfant allaité ne peut être exclu. Une décision doit être prise quant à savoir si l'allaitement doit être arrêté ou si le traitement par </w:t>
      </w:r>
      <w:proofErr w:type="spellStart"/>
      <w:r>
        <w:rPr>
          <w:lang w:val="fr"/>
        </w:rPr>
        <w:t>Emcitate</w:t>
      </w:r>
      <w:proofErr w:type="spellEnd"/>
      <w:r>
        <w:rPr>
          <w:lang w:val="fr"/>
        </w:rPr>
        <w:t xml:space="preserve"> doit être arrêté / s'il faut s'en abstenir, en tenant compte du bénéfice de l'allaitement pour l'enfant et du bénéfice du traitement pour la femme.</w:t>
      </w:r>
    </w:p>
    <w:p w14:paraId="54B57572" w14:textId="77777777" w:rsidR="004D5C26" w:rsidRPr="00687165" w:rsidRDefault="004D5C26" w:rsidP="004D5C26">
      <w:pPr>
        <w:spacing w:before="60" w:after="60" w:line="259" w:lineRule="auto"/>
        <w:rPr>
          <w:rFonts w:eastAsia="Calibri"/>
          <w:iCs/>
          <w:u w:val="single"/>
        </w:rPr>
      </w:pPr>
      <w:r>
        <w:rPr>
          <w:rFonts w:eastAsia="Calibri"/>
          <w:u w:val="single"/>
          <w:lang w:val="fr"/>
        </w:rPr>
        <w:t>Fertilité</w:t>
      </w:r>
    </w:p>
    <w:p w14:paraId="50677187" w14:textId="77777777" w:rsidR="004D5C26" w:rsidRPr="000D0830" w:rsidRDefault="004D5C26" w:rsidP="004D5C26">
      <w:pPr>
        <w:spacing w:before="60" w:after="60" w:line="259" w:lineRule="auto"/>
        <w:rPr>
          <w:rFonts w:eastAsia="Calibri"/>
          <w:iCs/>
          <w:lang w:val="fr"/>
        </w:rPr>
      </w:pPr>
      <w:r>
        <w:rPr>
          <w:rFonts w:eastAsia="Calibri"/>
          <w:lang w:val="fr"/>
        </w:rPr>
        <w:t xml:space="preserve">L'effet du </w:t>
      </w:r>
      <w:proofErr w:type="spellStart"/>
      <w:r>
        <w:rPr>
          <w:rFonts w:eastAsia="Calibri"/>
          <w:lang w:val="fr"/>
        </w:rPr>
        <w:t>tiratricol</w:t>
      </w:r>
      <w:proofErr w:type="spellEnd"/>
      <w:r>
        <w:rPr>
          <w:rFonts w:eastAsia="Calibri"/>
          <w:lang w:val="fr"/>
        </w:rPr>
        <w:t xml:space="preserve"> sur la fertilité n'a pas été évalué. Aucune donnée n’est disponible. </w:t>
      </w:r>
    </w:p>
    <w:p w14:paraId="2B7B1D17" w14:textId="77777777" w:rsidR="004D5C26" w:rsidRPr="000D0830" w:rsidRDefault="004D5C26" w:rsidP="004D5C26">
      <w:pPr>
        <w:spacing w:line="240" w:lineRule="auto"/>
        <w:rPr>
          <w:i/>
          <w:noProof/>
          <w:lang w:val="fr"/>
        </w:rPr>
      </w:pPr>
    </w:p>
    <w:p w14:paraId="2D17B50D" w14:textId="77777777" w:rsidR="004D5C26" w:rsidRPr="000D0830" w:rsidRDefault="004D5C26" w:rsidP="004D5C26">
      <w:pPr>
        <w:spacing w:line="240" w:lineRule="auto"/>
        <w:ind w:left="567" w:hanging="567"/>
        <w:outlineLvl w:val="0"/>
        <w:rPr>
          <w:noProof/>
          <w:lang w:val="fr"/>
        </w:rPr>
      </w:pPr>
      <w:r>
        <w:rPr>
          <w:b/>
          <w:bCs/>
          <w:noProof/>
          <w:lang w:val="fr"/>
        </w:rPr>
        <w:t>4.7</w:t>
      </w:r>
      <w:r>
        <w:rPr>
          <w:b/>
          <w:bCs/>
          <w:noProof/>
          <w:lang w:val="fr"/>
        </w:rPr>
        <w:tab/>
        <w:t>Effets sur l'aptitude à conduire des véhicules et à utiliser des machines</w:t>
      </w:r>
    </w:p>
    <w:p w14:paraId="01898852" w14:textId="77777777" w:rsidR="004D5C26" w:rsidRPr="000D0830" w:rsidRDefault="004D5C26" w:rsidP="004D5C26">
      <w:pPr>
        <w:spacing w:line="240" w:lineRule="auto"/>
        <w:outlineLvl w:val="0"/>
        <w:rPr>
          <w:bCs/>
          <w:noProof/>
          <w:lang w:val="fr"/>
        </w:rPr>
      </w:pPr>
      <w:r>
        <w:rPr>
          <w:noProof/>
          <w:highlight w:val="lightGray"/>
          <w:lang w:val="fr"/>
        </w:rPr>
        <w:t>L'effet du tiratricol sur l'aptitude à conduire ou à utiliser des machines n'a pas été étudié.</w:t>
      </w:r>
      <w:r>
        <w:rPr>
          <w:noProof/>
          <w:lang w:val="fr"/>
        </w:rPr>
        <w:t xml:space="preserve"> </w:t>
      </w:r>
    </w:p>
    <w:p w14:paraId="143F680A" w14:textId="77777777" w:rsidR="004D5C26" w:rsidRPr="000D0830" w:rsidRDefault="004D5C26" w:rsidP="004D5C26">
      <w:pPr>
        <w:spacing w:line="240" w:lineRule="auto"/>
        <w:rPr>
          <w:noProof/>
          <w:lang w:val="fr"/>
        </w:rPr>
      </w:pPr>
    </w:p>
    <w:p w14:paraId="5F870E97" w14:textId="77777777" w:rsidR="004D5C26" w:rsidRPr="00855059" w:rsidRDefault="004D5C26" w:rsidP="004D5C26">
      <w:pPr>
        <w:spacing w:line="240" w:lineRule="auto"/>
        <w:outlineLvl w:val="0"/>
        <w:rPr>
          <w:b/>
          <w:noProof/>
        </w:rPr>
      </w:pPr>
      <w:r>
        <w:rPr>
          <w:b/>
          <w:bCs/>
          <w:noProof/>
          <w:lang w:val="fr"/>
        </w:rPr>
        <w:t>4.8</w:t>
      </w:r>
      <w:r>
        <w:rPr>
          <w:b/>
          <w:bCs/>
          <w:noProof/>
          <w:lang w:val="fr"/>
        </w:rPr>
        <w:tab/>
        <w:t>Effets indésirables</w:t>
      </w:r>
    </w:p>
    <w:p w14:paraId="5B479CB8" w14:textId="77777777" w:rsidR="004D5C26" w:rsidRPr="00687165" w:rsidRDefault="004D5C26" w:rsidP="004D5C26">
      <w:pPr>
        <w:autoSpaceDE w:val="0"/>
        <w:autoSpaceDN w:val="0"/>
        <w:adjustRightInd w:val="0"/>
        <w:spacing w:line="240" w:lineRule="auto"/>
        <w:rPr>
          <w:noProof/>
          <w:u w:val="single"/>
        </w:rPr>
      </w:pPr>
      <w:r>
        <w:rPr>
          <w:noProof/>
          <w:u w:val="single"/>
          <w:lang w:val="fr"/>
        </w:rPr>
        <w:t>Résumé du profil de sécurité</w:t>
      </w:r>
    </w:p>
    <w:p w14:paraId="6554298A" w14:textId="77777777" w:rsidR="004D5C26" w:rsidRPr="00687165" w:rsidRDefault="004D5C26" w:rsidP="004D5C26">
      <w:pPr>
        <w:autoSpaceDE w:val="0"/>
        <w:autoSpaceDN w:val="0"/>
        <w:adjustRightInd w:val="0"/>
        <w:spacing w:line="240" w:lineRule="auto"/>
        <w:rPr>
          <w:noProof/>
        </w:rPr>
      </w:pPr>
      <w:r>
        <w:rPr>
          <w:noProof/>
          <w:lang w:val="fr"/>
        </w:rPr>
        <w:t>Les réactions indésirables les plus fréquemment rapportées pendant le traitement par Emcitate sont une augmentation de la transpiration (7 %) et une irritabilité (4 %). Ces réactions surviennent généralement au début du traitement ou lors d'une augmentation de la dose. Elles disparaissent généralement en quelques jours, même si le traitement est poursuivi.</w:t>
      </w:r>
    </w:p>
    <w:p w14:paraId="68CA8625" w14:textId="77777777" w:rsidR="004D5C26" w:rsidRPr="00687165" w:rsidRDefault="004D5C26" w:rsidP="004D5C26">
      <w:pPr>
        <w:autoSpaceDE w:val="0"/>
        <w:autoSpaceDN w:val="0"/>
        <w:adjustRightInd w:val="0"/>
        <w:spacing w:line="240" w:lineRule="auto"/>
        <w:rPr>
          <w:noProof/>
        </w:rPr>
      </w:pPr>
    </w:p>
    <w:p w14:paraId="3C8932AD" w14:textId="77777777" w:rsidR="004D5C26" w:rsidRPr="00687165" w:rsidRDefault="004D5C26" w:rsidP="004D5C26">
      <w:pPr>
        <w:autoSpaceDE w:val="0"/>
        <w:autoSpaceDN w:val="0"/>
        <w:adjustRightInd w:val="0"/>
        <w:spacing w:line="240" w:lineRule="auto"/>
        <w:rPr>
          <w:noProof/>
          <w:u w:val="single"/>
        </w:rPr>
      </w:pPr>
      <w:r>
        <w:rPr>
          <w:noProof/>
          <w:u w:val="single"/>
          <w:lang w:val="fr"/>
        </w:rPr>
        <w:t>Tableau récapitulatif des effets indésirables</w:t>
      </w:r>
    </w:p>
    <w:p w14:paraId="7669ECA3" w14:textId="77777777" w:rsidR="004D5C26" w:rsidRDefault="004D5C26" w:rsidP="004D5C26">
      <w:pPr>
        <w:autoSpaceDE w:val="0"/>
        <w:autoSpaceDN w:val="0"/>
        <w:adjustRightInd w:val="0"/>
        <w:spacing w:line="240" w:lineRule="auto"/>
        <w:rPr>
          <w:color w:val="000000"/>
          <w:lang w:val="fr"/>
        </w:rPr>
      </w:pPr>
      <w:r>
        <w:rPr>
          <w:color w:val="000000"/>
          <w:lang w:val="fr"/>
        </w:rPr>
        <w:t xml:space="preserve">Le tableau liste les effets indésirables rapportés au cours du développement clinique du </w:t>
      </w:r>
      <w:proofErr w:type="spellStart"/>
      <w:r>
        <w:rPr>
          <w:color w:val="000000"/>
          <w:lang w:val="fr"/>
        </w:rPr>
        <w:t>tiratricol</w:t>
      </w:r>
      <w:proofErr w:type="spellEnd"/>
      <w:r>
        <w:rPr>
          <w:color w:val="000000"/>
          <w:lang w:val="fr"/>
        </w:rPr>
        <w:t xml:space="preserve"> chez 46 patients présentant un déficit en MCT8, dont 40 sont parvenus au terme des 12 mois de traitement prévus. Les doses étaient comprises, après titration, entre 175 et 2100 microgrammes. Les patients étaient âgés de 10 mois à 66 ans. </w:t>
      </w:r>
    </w:p>
    <w:p w14:paraId="3E6F9825" w14:textId="77777777" w:rsidR="004D5C26" w:rsidRDefault="004D5C26" w:rsidP="004D5C26">
      <w:pPr>
        <w:autoSpaceDE w:val="0"/>
        <w:autoSpaceDN w:val="0"/>
        <w:adjustRightInd w:val="0"/>
        <w:spacing w:line="240" w:lineRule="auto"/>
        <w:rPr>
          <w:color w:val="000000"/>
          <w:lang w:val="fr"/>
        </w:rPr>
      </w:pPr>
    </w:p>
    <w:p w14:paraId="7A2AE0E3" w14:textId="77777777" w:rsidR="004D5C26" w:rsidRPr="00687165" w:rsidRDefault="004D5C26" w:rsidP="004D5C26">
      <w:pPr>
        <w:autoSpaceDE w:val="0"/>
        <w:autoSpaceDN w:val="0"/>
        <w:adjustRightInd w:val="0"/>
        <w:spacing w:line="240" w:lineRule="auto"/>
        <w:rPr>
          <w:color w:val="000000"/>
        </w:rPr>
      </w:pPr>
    </w:p>
    <w:p w14:paraId="58A82897" w14:textId="77777777" w:rsidR="004D5C26" w:rsidRPr="00687165" w:rsidRDefault="004D5C26" w:rsidP="004D5C26">
      <w:pPr>
        <w:autoSpaceDE w:val="0"/>
        <w:autoSpaceDN w:val="0"/>
        <w:adjustRightInd w:val="0"/>
        <w:spacing w:line="240" w:lineRule="auto"/>
        <w:rPr>
          <w:rFonts w:ascii="Source Sans Pro" w:hAnsi="Source Sans Pro" w:cs="Arial"/>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23"/>
        <w:gridCol w:w="3008"/>
      </w:tblGrid>
      <w:tr w:rsidR="004D5C26" w:rsidRPr="00BE1D97" w14:paraId="4C3EEAFE" w14:textId="77777777" w:rsidTr="009310FF">
        <w:tc>
          <w:tcPr>
            <w:tcW w:w="3095" w:type="dxa"/>
            <w:shd w:val="clear" w:color="auto" w:fill="auto"/>
          </w:tcPr>
          <w:p w14:paraId="462A20F7" w14:textId="77777777" w:rsidR="004D5C26" w:rsidRPr="00BE1D97" w:rsidRDefault="004D5C26" w:rsidP="009310FF">
            <w:pPr>
              <w:autoSpaceDE w:val="0"/>
              <w:autoSpaceDN w:val="0"/>
              <w:adjustRightInd w:val="0"/>
              <w:spacing w:before="60" w:after="60" w:line="240" w:lineRule="auto"/>
              <w:jc w:val="center"/>
              <w:rPr>
                <w:b/>
                <w:noProof/>
              </w:rPr>
            </w:pPr>
            <w:r>
              <w:rPr>
                <w:b/>
                <w:bCs/>
                <w:noProof/>
                <w:lang w:val="fr"/>
              </w:rPr>
              <w:lastRenderedPageBreak/>
              <w:t>Classe de système d'organes</w:t>
            </w:r>
          </w:p>
        </w:tc>
        <w:tc>
          <w:tcPr>
            <w:tcW w:w="3096" w:type="dxa"/>
            <w:shd w:val="clear" w:color="auto" w:fill="auto"/>
          </w:tcPr>
          <w:p w14:paraId="593F8416" w14:textId="77777777" w:rsidR="004D5C26" w:rsidRPr="00BE1D97" w:rsidRDefault="004D5C26" w:rsidP="009310FF">
            <w:pPr>
              <w:autoSpaceDE w:val="0"/>
              <w:autoSpaceDN w:val="0"/>
              <w:adjustRightInd w:val="0"/>
              <w:spacing w:before="60" w:after="60" w:line="240" w:lineRule="auto"/>
              <w:jc w:val="center"/>
              <w:rPr>
                <w:b/>
                <w:noProof/>
              </w:rPr>
            </w:pPr>
            <w:r>
              <w:rPr>
                <w:b/>
                <w:bCs/>
                <w:noProof/>
                <w:lang w:val="fr"/>
              </w:rPr>
              <w:t>Réaction indésirable</w:t>
            </w:r>
          </w:p>
        </w:tc>
        <w:tc>
          <w:tcPr>
            <w:tcW w:w="3096" w:type="dxa"/>
            <w:shd w:val="clear" w:color="auto" w:fill="auto"/>
          </w:tcPr>
          <w:p w14:paraId="74BB3075" w14:textId="77777777" w:rsidR="004D5C26" w:rsidRPr="00BE1D97" w:rsidRDefault="004D5C26" w:rsidP="009310FF">
            <w:pPr>
              <w:autoSpaceDE w:val="0"/>
              <w:autoSpaceDN w:val="0"/>
              <w:adjustRightInd w:val="0"/>
              <w:spacing w:before="60" w:after="60" w:line="240" w:lineRule="auto"/>
              <w:jc w:val="center"/>
              <w:rPr>
                <w:b/>
                <w:noProof/>
              </w:rPr>
            </w:pPr>
            <w:r>
              <w:rPr>
                <w:b/>
                <w:bCs/>
                <w:noProof/>
                <w:lang w:val="fr"/>
              </w:rPr>
              <w:t>Catégorie de fréquence</w:t>
            </w:r>
          </w:p>
        </w:tc>
      </w:tr>
      <w:tr w:rsidR="004D5C26" w:rsidRPr="00BE1D97" w14:paraId="61F43904" w14:textId="77777777" w:rsidTr="009310FF">
        <w:tc>
          <w:tcPr>
            <w:tcW w:w="3095" w:type="dxa"/>
            <w:shd w:val="clear" w:color="auto" w:fill="auto"/>
          </w:tcPr>
          <w:p w14:paraId="24CA0118" w14:textId="77777777" w:rsidR="004D5C26" w:rsidRPr="00BE1D97" w:rsidRDefault="004D5C26" w:rsidP="009310FF">
            <w:pPr>
              <w:autoSpaceDE w:val="0"/>
              <w:autoSpaceDN w:val="0"/>
              <w:adjustRightInd w:val="0"/>
              <w:spacing w:before="60" w:after="60" w:line="240" w:lineRule="auto"/>
              <w:rPr>
                <w:noProof/>
              </w:rPr>
            </w:pPr>
            <w:r>
              <w:rPr>
                <w:noProof/>
                <w:lang w:val="fr"/>
              </w:rPr>
              <w:t>Affections psychiatriques</w:t>
            </w:r>
          </w:p>
        </w:tc>
        <w:tc>
          <w:tcPr>
            <w:tcW w:w="3096" w:type="dxa"/>
            <w:shd w:val="clear" w:color="auto" w:fill="auto"/>
          </w:tcPr>
          <w:p w14:paraId="7498C1FE" w14:textId="77777777" w:rsidR="004D5C26" w:rsidRPr="00BE1D97" w:rsidRDefault="004D5C26" w:rsidP="009310FF">
            <w:pPr>
              <w:autoSpaceDE w:val="0"/>
              <w:autoSpaceDN w:val="0"/>
              <w:adjustRightInd w:val="0"/>
              <w:spacing w:before="60" w:after="60" w:line="240" w:lineRule="auto"/>
              <w:rPr>
                <w:noProof/>
              </w:rPr>
            </w:pPr>
            <w:r>
              <w:rPr>
                <w:noProof/>
                <w:lang w:val="fr"/>
              </w:rPr>
              <w:t xml:space="preserve">Irritabilité transitoire </w:t>
            </w:r>
          </w:p>
        </w:tc>
        <w:tc>
          <w:tcPr>
            <w:tcW w:w="3096" w:type="dxa"/>
            <w:shd w:val="clear" w:color="auto" w:fill="auto"/>
          </w:tcPr>
          <w:p w14:paraId="23572A08" w14:textId="77777777" w:rsidR="004D5C26" w:rsidRPr="00BE1D97" w:rsidRDefault="004D5C26" w:rsidP="009310FF">
            <w:pPr>
              <w:autoSpaceDE w:val="0"/>
              <w:autoSpaceDN w:val="0"/>
              <w:adjustRightInd w:val="0"/>
              <w:spacing w:before="60" w:after="60" w:line="240" w:lineRule="auto"/>
              <w:rPr>
                <w:noProof/>
              </w:rPr>
            </w:pPr>
            <w:r>
              <w:rPr>
                <w:noProof/>
                <w:lang w:val="fr"/>
              </w:rPr>
              <w:t>Fréquent</w:t>
            </w:r>
          </w:p>
        </w:tc>
      </w:tr>
      <w:tr w:rsidR="004D5C26" w:rsidRPr="00BE1D97" w14:paraId="01A6587F" w14:textId="77777777" w:rsidTr="009310FF">
        <w:tc>
          <w:tcPr>
            <w:tcW w:w="3095" w:type="dxa"/>
            <w:shd w:val="clear" w:color="auto" w:fill="auto"/>
          </w:tcPr>
          <w:p w14:paraId="713C2C8F" w14:textId="77777777" w:rsidR="004D5C26" w:rsidRPr="00687165" w:rsidRDefault="004D5C26" w:rsidP="009310FF">
            <w:pPr>
              <w:autoSpaceDE w:val="0"/>
              <w:autoSpaceDN w:val="0"/>
              <w:adjustRightInd w:val="0"/>
              <w:spacing w:before="60" w:after="60" w:line="240" w:lineRule="auto"/>
              <w:rPr>
                <w:noProof/>
              </w:rPr>
            </w:pPr>
            <w:r>
              <w:rPr>
                <w:noProof/>
                <w:lang w:val="fr"/>
              </w:rPr>
              <w:t xml:space="preserve">Troubles généraux et anomalies au site d'administration  </w:t>
            </w:r>
          </w:p>
        </w:tc>
        <w:tc>
          <w:tcPr>
            <w:tcW w:w="3096" w:type="dxa"/>
            <w:shd w:val="clear" w:color="auto" w:fill="auto"/>
          </w:tcPr>
          <w:p w14:paraId="2C866F8C" w14:textId="77777777" w:rsidR="004D5C26" w:rsidRPr="00687165" w:rsidRDefault="004D5C26" w:rsidP="009310FF">
            <w:pPr>
              <w:autoSpaceDE w:val="0"/>
              <w:autoSpaceDN w:val="0"/>
              <w:adjustRightInd w:val="0"/>
              <w:spacing w:before="60" w:after="60" w:line="240" w:lineRule="auto"/>
              <w:rPr>
                <w:noProof/>
              </w:rPr>
            </w:pPr>
            <w:r>
              <w:rPr>
                <w:noProof/>
                <w:lang w:val="fr"/>
              </w:rPr>
              <w:t>Augmentation transitoire de la transpiration</w:t>
            </w:r>
          </w:p>
        </w:tc>
        <w:tc>
          <w:tcPr>
            <w:tcW w:w="3096" w:type="dxa"/>
            <w:shd w:val="clear" w:color="auto" w:fill="auto"/>
          </w:tcPr>
          <w:p w14:paraId="3C72229B" w14:textId="77777777" w:rsidR="004D5C26" w:rsidRPr="00BE1D97" w:rsidRDefault="004D5C26" w:rsidP="009310FF">
            <w:pPr>
              <w:autoSpaceDE w:val="0"/>
              <w:autoSpaceDN w:val="0"/>
              <w:adjustRightInd w:val="0"/>
              <w:spacing w:before="60" w:after="60" w:line="240" w:lineRule="auto"/>
              <w:rPr>
                <w:noProof/>
              </w:rPr>
            </w:pPr>
            <w:r>
              <w:rPr>
                <w:noProof/>
                <w:lang w:val="fr"/>
              </w:rPr>
              <w:t>Fréquent</w:t>
            </w:r>
          </w:p>
        </w:tc>
      </w:tr>
    </w:tbl>
    <w:p w14:paraId="659DBEDA" w14:textId="77777777" w:rsidR="004D5C26" w:rsidRPr="00687165" w:rsidRDefault="004D5C26" w:rsidP="004D5C26">
      <w:pPr>
        <w:autoSpaceDE w:val="0"/>
        <w:autoSpaceDN w:val="0"/>
        <w:adjustRightInd w:val="0"/>
        <w:spacing w:line="240" w:lineRule="auto"/>
        <w:rPr>
          <w:noProof/>
          <w:sz w:val="18"/>
          <w:szCs w:val="18"/>
        </w:rPr>
      </w:pPr>
      <w:r>
        <w:rPr>
          <w:noProof/>
          <w:sz w:val="18"/>
          <w:szCs w:val="18"/>
          <w:lang w:val="fr"/>
        </w:rPr>
        <w:t>*Catégorie de fréquence : définie pour chaque effet indésirable par l'incidence rapportée dans la base de données des essais cliniques : Très fréquent (≥ 1/10), Fréquent (≥ 1/100 à &lt; 1/10), Peu fréquent (≥ 1/1000 à &lt; 1/100), Rare (≥ 1/10 000 à &lt; 1/1 000), Très rare (&lt; 1/10 000).</w:t>
      </w:r>
    </w:p>
    <w:p w14:paraId="6FAF8C4F" w14:textId="77777777" w:rsidR="004D5C26" w:rsidRPr="00687165" w:rsidRDefault="004D5C26" w:rsidP="004D5C26">
      <w:pPr>
        <w:autoSpaceDE w:val="0"/>
        <w:autoSpaceDN w:val="0"/>
        <w:adjustRightInd w:val="0"/>
        <w:spacing w:line="240" w:lineRule="auto"/>
        <w:rPr>
          <w:noProof/>
        </w:rPr>
      </w:pPr>
    </w:p>
    <w:p w14:paraId="3CA69335" w14:textId="77777777" w:rsidR="004D5C26" w:rsidRPr="00687165" w:rsidRDefault="004D5C26" w:rsidP="004D5C26">
      <w:pPr>
        <w:autoSpaceDE w:val="0"/>
        <w:autoSpaceDN w:val="0"/>
        <w:adjustRightInd w:val="0"/>
        <w:spacing w:line="240" w:lineRule="auto"/>
        <w:rPr>
          <w:noProof/>
        </w:rPr>
      </w:pPr>
      <w:r>
        <w:rPr>
          <w:noProof/>
          <w:lang w:val="fr"/>
        </w:rPr>
        <w:t>Les publications concernant l’utilisation historique du tiratricol dans des indications différentes à des posologies similaires décrivent les effets secondaires comme essentiellement dose-dépendants et identifient les effets possibles suivants : diarrhée, palpitations, tremblements, insomnie, nervosité, perte de poids, céphalées, hypertension artérielle, bouffées vasomotrices ou intolérance à la chaleur. Aucune donnée de fréquence n’est disponible. Ces publications indiquent généralement une atténuation probable des effets secondaires après diminution de la dose.</w:t>
      </w:r>
    </w:p>
    <w:p w14:paraId="5D6A304B" w14:textId="77777777" w:rsidR="004D5C26" w:rsidRPr="00687165" w:rsidRDefault="004D5C26" w:rsidP="004D5C26">
      <w:pPr>
        <w:autoSpaceDE w:val="0"/>
        <w:autoSpaceDN w:val="0"/>
        <w:adjustRightInd w:val="0"/>
        <w:spacing w:line="240" w:lineRule="auto"/>
        <w:rPr>
          <w:noProof/>
          <w:u w:val="single"/>
        </w:rPr>
      </w:pPr>
      <w:r>
        <w:rPr>
          <w:noProof/>
          <w:u w:val="single"/>
          <w:lang w:val="fr"/>
        </w:rPr>
        <w:t>Description d’effets indésirables sélectionnés</w:t>
      </w:r>
    </w:p>
    <w:p w14:paraId="4DCB977E" w14:textId="77777777" w:rsidR="004D5C26" w:rsidRPr="00687165" w:rsidRDefault="004D5C26" w:rsidP="004D5C26">
      <w:pPr>
        <w:autoSpaceDE w:val="0"/>
        <w:autoSpaceDN w:val="0"/>
        <w:adjustRightInd w:val="0"/>
        <w:spacing w:line="240" w:lineRule="auto"/>
        <w:rPr>
          <w:noProof/>
        </w:rPr>
      </w:pPr>
      <w:r>
        <w:rPr>
          <w:noProof/>
          <w:lang w:val="fr"/>
        </w:rPr>
        <w:t xml:space="preserve">L’apparition de la transpiration accrue et de l’irritabilité coïncidait avec l’initiation du traitement ou une modification de la dose. Dans tous les cas, les effets étaient légers et un rétablissement spontané a été observé en quelques jours. </w:t>
      </w:r>
    </w:p>
    <w:p w14:paraId="167FAC58" w14:textId="77777777" w:rsidR="004D5C26" w:rsidRPr="00687165" w:rsidRDefault="004D5C26" w:rsidP="004D5C26">
      <w:pPr>
        <w:autoSpaceDE w:val="0"/>
        <w:autoSpaceDN w:val="0"/>
        <w:adjustRightInd w:val="0"/>
        <w:spacing w:line="240" w:lineRule="auto"/>
        <w:rPr>
          <w:noProof/>
          <w:u w:val="single"/>
        </w:rPr>
      </w:pPr>
      <w:r>
        <w:rPr>
          <w:noProof/>
          <w:u w:val="single"/>
          <w:lang w:val="fr"/>
        </w:rPr>
        <w:t>Population pédiatrique</w:t>
      </w:r>
    </w:p>
    <w:p w14:paraId="3B037134" w14:textId="77777777" w:rsidR="004D5C26" w:rsidRPr="00687165" w:rsidRDefault="004D5C26" w:rsidP="004D5C26">
      <w:pPr>
        <w:autoSpaceDE w:val="0"/>
        <w:autoSpaceDN w:val="0"/>
        <w:adjustRightInd w:val="0"/>
        <w:spacing w:line="240" w:lineRule="auto"/>
        <w:rPr>
          <w:noProof/>
        </w:rPr>
      </w:pPr>
      <w:r>
        <w:rPr>
          <w:noProof/>
          <w:lang w:val="fr"/>
        </w:rPr>
        <w:t>La population étudiée était presque exclusivement pédiatrique (n = 46 ; âge médian 7,1 ans, fourchette 0,8 à 66 ans ; n = 41 âge &lt; 18 ans). La fréquence, le type et la sévérité des effets indésirables devraient, selon les attentes, être les mêmes chez les adultes et les patients pédiatriques de tous âges.</w:t>
      </w:r>
    </w:p>
    <w:p w14:paraId="0E1AAB70" w14:textId="77777777" w:rsidR="004D5C26" w:rsidRPr="00855059" w:rsidRDefault="004D5C26" w:rsidP="004D5C26">
      <w:pPr>
        <w:autoSpaceDE w:val="0"/>
        <w:autoSpaceDN w:val="0"/>
        <w:adjustRightInd w:val="0"/>
        <w:spacing w:line="240" w:lineRule="auto"/>
        <w:rPr>
          <w:noProof/>
          <w:u w:val="single"/>
        </w:rPr>
      </w:pPr>
      <w:r>
        <w:rPr>
          <w:noProof/>
          <w:u w:val="single"/>
          <w:lang w:val="fr"/>
        </w:rPr>
        <w:t>Autres populations particulières</w:t>
      </w:r>
    </w:p>
    <w:p w14:paraId="302FAF78" w14:textId="77777777" w:rsidR="004D5C26" w:rsidRPr="00687165" w:rsidRDefault="004D5C26" w:rsidP="004D5C26">
      <w:pPr>
        <w:autoSpaceDE w:val="0"/>
        <w:autoSpaceDN w:val="0"/>
        <w:adjustRightInd w:val="0"/>
        <w:spacing w:line="240" w:lineRule="auto"/>
        <w:rPr>
          <w:bCs/>
          <w:iCs/>
          <w:noProof/>
        </w:rPr>
      </w:pPr>
      <w:r>
        <w:rPr>
          <w:noProof/>
          <w:lang w:val="fr"/>
        </w:rPr>
        <w:t xml:space="preserve">Il n’existe aucune donnée de sécurité supplémentaire concernant des populations particulières. </w:t>
      </w:r>
    </w:p>
    <w:p w14:paraId="306B68E2" w14:textId="77777777" w:rsidR="004D5C26" w:rsidRPr="00687165" w:rsidRDefault="004D5C26" w:rsidP="004D5C26">
      <w:pPr>
        <w:autoSpaceDE w:val="0"/>
        <w:autoSpaceDN w:val="0"/>
        <w:adjustRightInd w:val="0"/>
        <w:spacing w:line="240" w:lineRule="auto"/>
        <w:rPr>
          <w:noProof/>
        </w:rPr>
      </w:pPr>
    </w:p>
    <w:p w14:paraId="23A37B39" w14:textId="77777777" w:rsidR="004D5C26" w:rsidRPr="00687165" w:rsidRDefault="004D5C26" w:rsidP="004D5C26">
      <w:pPr>
        <w:spacing w:line="240" w:lineRule="auto"/>
        <w:ind w:left="567" w:hanging="567"/>
        <w:outlineLvl w:val="0"/>
        <w:rPr>
          <w:noProof/>
        </w:rPr>
      </w:pPr>
      <w:r>
        <w:rPr>
          <w:b/>
          <w:bCs/>
          <w:noProof/>
          <w:lang w:val="fr"/>
        </w:rPr>
        <w:t>4.9</w:t>
      </w:r>
      <w:r>
        <w:rPr>
          <w:b/>
          <w:bCs/>
          <w:noProof/>
          <w:lang w:val="fr"/>
        </w:rPr>
        <w:tab/>
        <w:t>Surdosage</w:t>
      </w:r>
    </w:p>
    <w:p w14:paraId="51BAFA5F" w14:textId="77777777" w:rsidR="004D5C26" w:rsidRPr="000D0830" w:rsidRDefault="004D5C26" w:rsidP="004D5C26">
      <w:pPr>
        <w:spacing w:line="240" w:lineRule="auto"/>
        <w:rPr>
          <w:noProof/>
          <w:lang w:val="fr"/>
        </w:rPr>
      </w:pPr>
      <w:r>
        <w:rPr>
          <w:noProof/>
          <w:lang w:val="fr"/>
        </w:rPr>
        <w:t xml:space="preserve">Des signes d'hypermétabolisme peuvent apparaître en cas de surdosage. La diminution de la posologie et l'interruption du traitement entraînent la régression de ces symptômes. </w:t>
      </w:r>
    </w:p>
    <w:p w14:paraId="0D23DEFD" w14:textId="77777777" w:rsidR="004D5C26" w:rsidRPr="000D0830" w:rsidRDefault="004D5C26" w:rsidP="004D5C26">
      <w:pPr>
        <w:spacing w:line="240" w:lineRule="auto"/>
        <w:rPr>
          <w:noProof/>
          <w:lang w:val="fr"/>
        </w:rPr>
      </w:pPr>
    </w:p>
    <w:p w14:paraId="342E4689" w14:textId="77777777" w:rsidR="004D5C26" w:rsidRPr="000D0830" w:rsidRDefault="004D5C26" w:rsidP="004D5C26">
      <w:pPr>
        <w:spacing w:line="240" w:lineRule="auto"/>
        <w:rPr>
          <w:lang w:val="fr"/>
        </w:rPr>
      </w:pPr>
      <w:r>
        <w:rPr>
          <w:b/>
          <w:bCs/>
          <w:lang w:val="fr"/>
        </w:rPr>
        <w:t>5.</w:t>
      </w:r>
      <w:r>
        <w:rPr>
          <w:b/>
          <w:bCs/>
          <w:lang w:val="fr"/>
        </w:rPr>
        <w:tab/>
        <w:t>PROPRIÉTÉS PHARMACOLOGIQUES</w:t>
      </w:r>
    </w:p>
    <w:p w14:paraId="6E54B934" w14:textId="77777777" w:rsidR="004D5C26" w:rsidRDefault="004D5C26" w:rsidP="004D5C26">
      <w:pPr>
        <w:spacing w:line="240" w:lineRule="auto"/>
        <w:ind w:left="567" w:hanging="567"/>
        <w:outlineLvl w:val="0"/>
        <w:rPr>
          <w:b/>
          <w:bCs/>
          <w:lang w:val="fr"/>
        </w:rPr>
      </w:pPr>
      <w:r>
        <w:rPr>
          <w:b/>
          <w:bCs/>
          <w:lang w:val="fr"/>
        </w:rPr>
        <w:t xml:space="preserve">5.1 </w:t>
      </w:r>
      <w:r>
        <w:rPr>
          <w:b/>
          <w:bCs/>
          <w:lang w:val="fr"/>
        </w:rPr>
        <w:tab/>
      </w:r>
      <w:r w:rsidRPr="0095092F">
        <w:rPr>
          <w:b/>
          <w:bCs/>
          <w:lang w:val="fr"/>
        </w:rPr>
        <w:t>Propriétés pharmacodynamiques</w:t>
      </w:r>
    </w:p>
    <w:p w14:paraId="4351EC03" w14:textId="77777777" w:rsidR="004D5C26" w:rsidRPr="0095092F" w:rsidRDefault="004D5C26" w:rsidP="004D5C26">
      <w:pPr>
        <w:spacing w:line="240" w:lineRule="auto"/>
        <w:ind w:left="567" w:hanging="567"/>
        <w:outlineLvl w:val="0"/>
        <w:rPr>
          <w:lang w:val="fr"/>
        </w:rPr>
      </w:pPr>
    </w:p>
    <w:p w14:paraId="38D80D20" w14:textId="77777777" w:rsidR="004D5C26" w:rsidRPr="0095092F" w:rsidRDefault="004D5C26" w:rsidP="006D737F">
      <w:pPr>
        <w:spacing w:line="240" w:lineRule="auto"/>
        <w:outlineLvl w:val="0"/>
        <w:rPr>
          <w:rFonts w:cs="Arial"/>
          <w:noProof/>
          <w:lang w:val="fr"/>
        </w:rPr>
      </w:pPr>
      <w:r w:rsidRPr="0095092F">
        <w:rPr>
          <w:rFonts w:cs="Arial"/>
          <w:lang w:val="fr"/>
        </w:rPr>
        <w:t xml:space="preserve">Classe </w:t>
      </w:r>
      <w:proofErr w:type="spellStart"/>
      <w:r w:rsidRPr="0095092F">
        <w:rPr>
          <w:rFonts w:cs="Arial"/>
          <w:lang w:val="fr"/>
        </w:rPr>
        <w:t>pharmacothérapeutique</w:t>
      </w:r>
      <w:proofErr w:type="spellEnd"/>
      <w:r w:rsidRPr="0095092F">
        <w:rPr>
          <w:rFonts w:cs="Arial"/>
          <w:lang w:val="fr"/>
        </w:rPr>
        <w:t xml:space="preserve"> : </w:t>
      </w:r>
      <w:r w:rsidRPr="0095092F">
        <w:rPr>
          <w:rStyle w:val="normaltextrun"/>
          <w:rFonts w:cs="Arial"/>
          <w:color w:val="000000"/>
          <w:shd w:val="clear" w:color="auto" w:fill="FFFFFF"/>
          <w:lang w:val="fr"/>
        </w:rPr>
        <w:t>hormones thyroïdiennes, code ATC : H03AA04 </w:t>
      </w:r>
    </w:p>
    <w:p w14:paraId="537C5CE4" w14:textId="77777777" w:rsidR="004D5C26" w:rsidRPr="0095092F" w:rsidRDefault="004D5C26" w:rsidP="006D737F">
      <w:pPr>
        <w:pStyle w:val="paragraph"/>
        <w:spacing w:beforeAutospacing="0" w:after="0" w:afterAutospacing="0"/>
        <w:textAlignment w:val="baseline"/>
        <w:rPr>
          <w:rFonts w:ascii="Arial" w:hAnsi="Arial" w:cs="Arial"/>
          <w:sz w:val="22"/>
          <w:szCs w:val="22"/>
        </w:rPr>
      </w:pPr>
      <w:r w:rsidRPr="0095092F">
        <w:rPr>
          <w:rStyle w:val="normaltextrun"/>
          <w:rFonts w:ascii="Arial" w:eastAsiaTheme="majorEastAsia" w:hAnsi="Arial" w:cs="Arial"/>
          <w:color w:val="000000"/>
          <w:sz w:val="22"/>
          <w:szCs w:val="22"/>
          <w:u w:val="single"/>
          <w:shd w:val="clear" w:color="auto" w:fill="FFFFFF"/>
          <w:lang w:val="fr"/>
        </w:rPr>
        <w:t>Mécanisme d'action</w:t>
      </w:r>
      <w:r w:rsidRPr="0095092F">
        <w:rPr>
          <w:rStyle w:val="eop"/>
          <w:rFonts w:ascii="Arial" w:eastAsiaTheme="minorEastAsia" w:hAnsi="Arial" w:cs="Arial"/>
          <w:color w:val="000000"/>
          <w:sz w:val="22"/>
          <w:szCs w:val="22"/>
          <w:shd w:val="clear" w:color="auto" w:fill="FFFFFF"/>
          <w:lang w:val="fr"/>
        </w:rPr>
        <w:t> </w:t>
      </w:r>
      <w:r w:rsidRPr="0095092F">
        <w:rPr>
          <w:rStyle w:val="eop"/>
          <w:rFonts w:ascii="Arial" w:eastAsiaTheme="minorEastAsia" w:hAnsi="Arial" w:cs="Arial"/>
          <w:sz w:val="22"/>
          <w:szCs w:val="22"/>
          <w:lang w:val="fr"/>
        </w:rPr>
        <w:t> </w:t>
      </w:r>
    </w:p>
    <w:p w14:paraId="65046F9E" w14:textId="77777777" w:rsidR="004D5C26" w:rsidRDefault="004D5C26" w:rsidP="006D737F">
      <w:pPr>
        <w:pStyle w:val="paragraph"/>
        <w:spacing w:before="240" w:beforeAutospacing="0" w:after="240" w:afterAutospacing="0"/>
        <w:jc w:val="both"/>
        <w:textAlignment w:val="baseline"/>
        <w:rPr>
          <w:rStyle w:val="eop"/>
          <w:rFonts w:ascii="Arial" w:eastAsiaTheme="minorEastAsia" w:hAnsi="Arial" w:cs="Arial"/>
          <w:sz w:val="22"/>
          <w:szCs w:val="22"/>
          <w:lang w:val="fr"/>
        </w:rPr>
      </w:pPr>
      <w:r w:rsidRPr="0095092F">
        <w:rPr>
          <w:rStyle w:val="normaltextrun"/>
          <w:rFonts w:ascii="Arial" w:eastAsiaTheme="majorEastAsia" w:hAnsi="Arial" w:cs="Arial"/>
          <w:sz w:val="22"/>
          <w:szCs w:val="22"/>
          <w:lang w:val="fr"/>
        </w:rPr>
        <w:t xml:space="preserve">Le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(acide 3,3',5-triiodothyroacétique) est un analogue structurel de la </w:t>
      </w:r>
      <w:proofErr w:type="spellStart"/>
      <w:r w:rsidRPr="0095092F">
        <w:rPr>
          <w:rStyle w:val="normaltextrun"/>
          <w:rFonts w:ascii="Arial" w:eastAsiaTheme="majorEastAsia" w:hAnsi="Arial" w:cs="Arial"/>
          <w:sz w:val="22"/>
          <w:szCs w:val="22"/>
          <w:lang w:val="fr"/>
        </w:rPr>
        <w:t>triiodothyronine</w:t>
      </w:r>
      <w:proofErr w:type="spellEnd"/>
      <w:r w:rsidRPr="0095092F">
        <w:rPr>
          <w:rStyle w:val="normaltextrun"/>
          <w:rFonts w:ascii="Arial" w:eastAsiaTheme="majorEastAsia" w:hAnsi="Arial" w:cs="Arial"/>
          <w:sz w:val="22"/>
          <w:szCs w:val="22"/>
          <w:lang w:val="fr"/>
        </w:rPr>
        <w:t xml:space="preserve"> (T</w:t>
      </w:r>
      <w:r w:rsidRPr="0095092F">
        <w:rPr>
          <w:rStyle w:val="normaltextrun"/>
          <w:rFonts w:ascii="Arial" w:eastAsiaTheme="majorEastAsia" w:hAnsi="Arial" w:cs="Arial"/>
          <w:sz w:val="22"/>
          <w:szCs w:val="22"/>
          <w:vertAlign w:val="subscript"/>
          <w:lang w:val="fr"/>
        </w:rPr>
        <w:t>3</w:t>
      </w:r>
      <w:r w:rsidRPr="0095092F">
        <w:rPr>
          <w:rStyle w:val="normaltextrun"/>
          <w:rFonts w:ascii="Arial" w:eastAsiaTheme="majorEastAsia" w:hAnsi="Arial" w:cs="Arial"/>
          <w:sz w:val="22"/>
          <w:szCs w:val="22"/>
          <w:lang w:val="fr"/>
        </w:rPr>
        <w:t>), qui est présent naturellement dans l’espèce humaine sous forme de métabolite physiologique de la T</w:t>
      </w:r>
      <w:r w:rsidRPr="0095092F">
        <w:rPr>
          <w:rStyle w:val="normaltextrun"/>
          <w:rFonts w:ascii="Arial" w:eastAsiaTheme="majorEastAsia" w:hAnsi="Arial" w:cs="Arial"/>
          <w:sz w:val="22"/>
          <w:szCs w:val="22"/>
          <w:vertAlign w:val="subscript"/>
          <w:lang w:val="fr"/>
        </w:rPr>
        <w:t>3</w:t>
      </w:r>
      <w:r w:rsidRPr="0095092F">
        <w:rPr>
          <w:rStyle w:val="normaltextrun"/>
          <w:rFonts w:ascii="Arial" w:eastAsiaTheme="majorEastAsia" w:hAnsi="Arial" w:cs="Arial"/>
          <w:sz w:val="22"/>
          <w:szCs w:val="22"/>
          <w:lang w:val="fr"/>
        </w:rPr>
        <w:t>, dérivé par désamination et décarboxylation oxydative de la chaîne alanine. Il est présent naturellement à des concentrations sériques ~50 fois inférieures à la T</w:t>
      </w:r>
      <w:r w:rsidRPr="0095092F">
        <w:rPr>
          <w:rStyle w:val="normaltextrun"/>
          <w:rFonts w:ascii="Arial" w:eastAsiaTheme="majorEastAsia" w:hAnsi="Arial" w:cs="Arial"/>
          <w:sz w:val="22"/>
          <w:szCs w:val="22"/>
          <w:vertAlign w:val="subscript"/>
          <w:lang w:val="fr"/>
        </w:rPr>
        <w:t>3</w:t>
      </w:r>
      <w:r w:rsidRPr="0095092F">
        <w:rPr>
          <w:rStyle w:val="normaltextrun"/>
          <w:rFonts w:ascii="Arial" w:eastAsiaTheme="majorEastAsia" w:hAnsi="Arial" w:cs="Arial"/>
          <w:sz w:val="22"/>
          <w:szCs w:val="22"/>
          <w:lang w:val="fr"/>
        </w:rPr>
        <w:t xml:space="preserve">. Les taux sériques sont compris entre 26 – 87 </w:t>
      </w:r>
      <w:proofErr w:type="spellStart"/>
      <w:r w:rsidRPr="0095092F">
        <w:rPr>
          <w:rStyle w:val="normaltextrun"/>
          <w:rFonts w:ascii="Arial" w:eastAsiaTheme="majorEastAsia" w:hAnsi="Arial" w:cs="Arial"/>
          <w:sz w:val="22"/>
          <w:szCs w:val="22"/>
          <w:lang w:val="fr"/>
        </w:rPr>
        <w:t>ng</w:t>
      </w:r>
      <w:proofErr w:type="spellEnd"/>
      <w:r w:rsidRPr="0095092F">
        <w:rPr>
          <w:rStyle w:val="normaltextrun"/>
          <w:rFonts w:ascii="Arial" w:eastAsiaTheme="majorEastAsia" w:hAnsi="Arial" w:cs="Arial"/>
          <w:sz w:val="22"/>
          <w:szCs w:val="22"/>
          <w:lang w:val="fr"/>
        </w:rPr>
        <w:t xml:space="preserve">/l (42–140 </w:t>
      </w:r>
      <w:proofErr w:type="spellStart"/>
      <w:r w:rsidRPr="0095092F">
        <w:rPr>
          <w:rStyle w:val="normaltextrun"/>
          <w:rFonts w:ascii="Arial" w:eastAsiaTheme="majorEastAsia" w:hAnsi="Arial" w:cs="Arial"/>
          <w:sz w:val="22"/>
          <w:szCs w:val="22"/>
          <w:lang w:val="fr"/>
        </w:rPr>
        <w:t>pmol</w:t>
      </w:r>
      <w:proofErr w:type="spellEnd"/>
      <w:r w:rsidRPr="0095092F">
        <w:rPr>
          <w:rStyle w:val="normaltextrun"/>
          <w:rFonts w:ascii="Arial" w:eastAsiaTheme="majorEastAsia" w:hAnsi="Arial" w:cs="Arial"/>
          <w:sz w:val="22"/>
          <w:szCs w:val="22"/>
          <w:lang w:val="fr"/>
        </w:rPr>
        <w:t xml:space="preserve">/l) chez les sujets humains sains. Pour exercer sa fonction biologique, le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traverse la membrane cellulaire et se lie aux récepteurs nucléaires des hormones thyroïdiennes (TR), puis aux éléments sensibles sur </w:t>
      </w:r>
      <w:r w:rsidRPr="0095092F">
        <w:rPr>
          <w:rStyle w:val="normaltextrun"/>
          <w:rFonts w:ascii="Arial" w:eastAsiaTheme="majorEastAsia" w:hAnsi="Arial" w:cs="Arial"/>
          <w:sz w:val="22"/>
          <w:szCs w:val="22"/>
          <w:lang w:val="fr"/>
        </w:rPr>
        <w:lastRenderedPageBreak/>
        <w:t xml:space="preserve">l’ADN, entraînant une régulation de la transcription des gènes </w:t>
      </w:r>
      <w:proofErr w:type="gramStart"/>
      <w:r w:rsidRPr="0095092F">
        <w:rPr>
          <w:rStyle w:val="normaltextrun"/>
          <w:rFonts w:ascii="Arial" w:eastAsiaTheme="majorEastAsia" w:hAnsi="Arial" w:cs="Arial"/>
          <w:sz w:val="22"/>
          <w:szCs w:val="22"/>
          <w:lang w:val="fr"/>
        </w:rPr>
        <w:t>cibles</w:t>
      </w:r>
      <w:proofErr w:type="gramEnd"/>
      <w:r w:rsidRPr="0095092F">
        <w:rPr>
          <w:rStyle w:val="normaltextrun"/>
          <w:rFonts w:ascii="Arial" w:eastAsiaTheme="majorEastAsia" w:hAnsi="Arial" w:cs="Arial"/>
          <w:sz w:val="22"/>
          <w:szCs w:val="22"/>
          <w:lang w:val="fr"/>
        </w:rPr>
        <w:t xml:space="preserve"> des hormones thyroïdiennes. Les caractéristiques d'iodation en 3,3’,5 étant conservées, le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possède une activité physiologique très similaire à celle de la T</w:t>
      </w:r>
      <w:r w:rsidRPr="0095092F">
        <w:rPr>
          <w:rStyle w:val="normaltextrun"/>
          <w:rFonts w:ascii="Arial" w:eastAsiaTheme="majorEastAsia" w:hAnsi="Arial" w:cs="Arial"/>
          <w:sz w:val="22"/>
          <w:szCs w:val="22"/>
          <w:vertAlign w:val="subscript"/>
          <w:lang w:val="fr"/>
        </w:rPr>
        <w:t>3</w:t>
      </w:r>
      <w:r w:rsidRPr="0095092F">
        <w:rPr>
          <w:rStyle w:val="normaltextrun"/>
          <w:rFonts w:ascii="Arial" w:eastAsiaTheme="majorEastAsia" w:hAnsi="Arial" w:cs="Arial"/>
          <w:sz w:val="22"/>
          <w:szCs w:val="22"/>
          <w:lang w:val="fr"/>
        </w:rPr>
        <w:t>, avec une affinité similaire pour le récepteur TRα et une affinité légèrement supérieure pour le récepteur TRβ. Alors que la T</w:t>
      </w:r>
      <w:r w:rsidRPr="0095092F">
        <w:rPr>
          <w:rStyle w:val="normaltextrun"/>
          <w:rFonts w:ascii="Arial" w:eastAsiaTheme="majorEastAsia" w:hAnsi="Arial" w:cs="Arial"/>
          <w:sz w:val="22"/>
          <w:szCs w:val="22"/>
          <w:vertAlign w:val="subscript"/>
          <w:lang w:val="fr"/>
        </w:rPr>
        <w:t>3</w:t>
      </w:r>
      <w:r w:rsidRPr="0095092F">
        <w:rPr>
          <w:rStyle w:val="normaltextrun"/>
          <w:rFonts w:ascii="Arial" w:eastAsiaTheme="majorEastAsia" w:hAnsi="Arial" w:cs="Arial"/>
          <w:sz w:val="22"/>
          <w:szCs w:val="22"/>
          <w:lang w:val="fr"/>
        </w:rPr>
        <w:t xml:space="preserve"> et la T</w:t>
      </w:r>
      <w:r w:rsidRPr="0095092F">
        <w:rPr>
          <w:rStyle w:val="normaltextrun"/>
          <w:rFonts w:ascii="Arial" w:eastAsiaTheme="majorEastAsia" w:hAnsi="Arial" w:cs="Arial"/>
          <w:sz w:val="22"/>
          <w:szCs w:val="22"/>
          <w:vertAlign w:val="subscript"/>
          <w:lang w:val="fr"/>
        </w:rPr>
        <w:t>4</w:t>
      </w:r>
      <w:r w:rsidRPr="0095092F">
        <w:rPr>
          <w:rStyle w:val="normaltextrun"/>
          <w:rFonts w:ascii="Arial" w:eastAsiaTheme="majorEastAsia" w:hAnsi="Arial" w:cs="Arial"/>
          <w:sz w:val="22"/>
          <w:szCs w:val="22"/>
          <w:lang w:val="fr"/>
        </w:rPr>
        <w:t xml:space="preserve"> dépendent de protéines de transport spécifiques, telles que MCT8, MCT10 ou OATP1C1 pour le transport cellulaire actif, on suppose que le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est transporté à travers les membranes cellulaires par différentes protéines de transport. L'absorption du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n'est pas affectée par les mutations du gène MCT8. Alors que la T</w:t>
      </w:r>
      <w:r w:rsidRPr="0095092F">
        <w:rPr>
          <w:rStyle w:val="normaltextrun"/>
          <w:rFonts w:ascii="Arial" w:eastAsiaTheme="majorEastAsia" w:hAnsi="Arial" w:cs="Arial"/>
          <w:sz w:val="22"/>
          <w:szCs w:val="22"/>
          <w:vertAlign w:val="subscript"/>
          <w:lang w:val="fr"/>
        </w:rPr>
        <w:t xml:space="preserve">3 </w:t>
      </w:r>
      <w:r w:rsidRPr="0095092F">
        <w:rPr>
          <w:rStyle w:val="normaltextrun"/>
          <w:rFonts w:ascii="Arial" w:eastAsiaTheme="majorEastAsia" w:hAnsi="Arial" w:cs="Arial"/>
          <w:sz w:val="22"/>
          <w:szCs w:val="22"/>
          <w:lang w:val="fr"/>
        </w:rPr>
        <w:t xml:space="preserve">dépend du transport par la protéine MCT8 pour traverser la barrière hématoencéphalique (BHE), le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peut entrer dans le cerveau sans le transporteur MCT8. </w:t>
      </w:r>
      <w:r w:rsidRPr="0095092F">
        <w:rPr>
          <w:rStyle w:val="eop"/>
          <w:rFonts w:ascii="Arial" w:eastAsiaTheme="minorEastAsia" w:hAnsi="Arial" w:cs="Arial"/>
          <w:sz w:val="22"/>
          <w:szCs w:val="22"/>
          <w:lang w:val="fr"/>
        </w:rPr>
        <w:t> </w:t>
      </w:r>
    </w:p>
    <w:p w14:paraId="083823F5" w14:textId="77777777" w:rsidR="006D02E7" w:rsidRPr="0095092F" w:rsidRDefault="006D02E7" w:rsidP="00B44B17">
      <w:pPr>
        <w:pStyle w:val="paragraph"/>
        <w:spacing w:before="0" w:beforeAutospacing="0" w:after="0" w:afterAutospacing="0"/>
        <w:jc w:val="both"/>
        <w:textAlignment w:val="baseline"/>
        <w:rPr>
          <w:rFonts w:ascii="Arial" w:hAnsi="Arial" w:cs="Arial"/>
          <w:sz w:val="22"/>
          <w:szCs w:val="22"/>
        </w:rPr>
      </w:pPr>
    </w:p>
    <w:p w14:paraId="763AE39A" w14:textId="77777777" w:rsidR="004D5C26" w:rsidRPr="0095092F" w:rsidRDefault="004D5C26" w:rsidP="00B44B17">
      <w:pPr>
        <w:pStyle w:val="paragraph"/>
        <w:spacing w:before="0" w:beforeAutospacing="0" w:after="0" w:afterAutospacing="0"/>
        <w:jc w:val="both"/>
        <w:textAlignment w:val="baseline"/>
        <w:rPr>
          <w:rFonts w:ascii="Arial" w:hAnsi="Arial" w:cs="Arial"/>
          <w:sz w:val="22"/>
          <w:szCs w:val="22"/>
        </w:rPr>
      </w:pPr>
      <w:r w:rsidRPr="0095092F">
        <w:rPr>
          <w:rStyle w:val="normaltextrun"/>
          <w:rFonts w:ascii="Arial" w:eastAsiaTheme="majorEastAsia" w:hAnsi="Arial" w:cs="Arial"/>
          <w:sz w:val="22"/>
          <w:szCs w:val="22"/>
          <w:u w:val="single"/>
          <w:lang w:val="fr"/>
        </w:rPr>
        <w:t>Effets pharmacodynamiques</w:t>
      </w:r>
      <w:r w:rsidRPr="0095092F">
        <w:rPr>
          <w:rStyle w:val="eop"/>
          <w:rFonts w:ascii="Arial" w:eastAsiaTheme="minorEastAsia" w:hAnsi="Arial" w:cs="Arial"/>
          <w:sz w:val="22"/>
          <w:szCs w:val="22"/>
          <w:lang w:val="fr"/>
        </w:rPr>
        <w:t>  </w:t>
      </w:r>
    </w:p>
    <w:p w14:paraId="4C3A77AA" w14:textId="77777777" w:rsidR="004D5C26" w:rsidRPr="0095092F" w:rsidRDefault="004D5C26" w:rsidP="00D81440">
      <w:pPr>
        <w:pStyle w:val="paragraph"/>
        <w:spacing w:before="240" w:beforeAutospacing="0" w:after="240" w:afterAutospacing="0"/>
        <w:jc w:val="both"/>
        <w:textAlignment w:val="baseline"/>
        <w:rPr>
          <w:rFonts w:ascii="Arial" w:hAnsi="Arial" w:cs="Arial"/>
          <w:sz w:val="22"/>
          <w:szCs w:val="22"/>
        </w:rPr>
      </w:pPr>
      <w:r w:rsidRPr="0095092F">
        <w:rPr>
          <w:rStyle w:val="normaltextrun"/>
          <w:rFonts w:ascii="Arial" w:eastAsiaTheme="majorEastAsia" w:hAnsi="Arial" w:cs="Arial"/>
          <w:sz w:val="22"/>
          <w:szCs w:val="22"/>
          <w:lang w:val="fr"/>
        </w:rPr>
        <w:t xml:space="preserve">Les hormones thyroïdiennes jouent un rôle clé dans la régulation métabolique dans l’organisme, et elles régulent l’expression génique dans presque toutes les cellules des vertébrés. </w:t>
      </w:r>
    </w:p>
    <w:p w14:paraId="7A0DA42C" w14:textId="77777777" w:rsidR="004D5C26" w:rsidRPr="0095092F" w:rsidRDefault="004D5C26" w:rsidP="00D81440">
      <w:pPr>
        <w:pStyle w:val="paragraph"/>
        <w:spacing w:before="240" w:beforeAutospacing="0" w:after="240" w:afterAutospacing="0"/>
        <w:jc w:val="both"/>
        <w:textAlignment w:val="baseline"/>
        <w:rPr>
          <w:rFonts w:ascii="Arial" w:hAnsi="Arial" w:cs="Arial"/>
          <w:sz w:val="22"/>
          <w:szCs w:val="22"/>
        </w:rPr>
      </w:pPr>
      <w:r w:rsidRPr="0095092F">
        <w:rPr>
          <w:rStyle w:val="normaltextrun"/>
          <w:rFonts w:ascii="Arial" w:eastAsiaTheme="majorEastAsia" w:hAnsi="Arial" w:cs="Arial"/>
          <w:sz w:val="22"/>
          <w:szCs w:val="22"/>
          <w:lang w:val="fr"/>
        </w:rPr>
        <w:t xml:space="preserve">Dans la plupart des études cliniques, dans d'autres indications que le déficit en MCT8, le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a été administré dans le but de réduire les taux sériques de TSH. Par conséquent, les taux sériques de TSH et d'autres paramètres liés aux hormones thyroïdiennes ont été utilisés pour déterminer la relation dose-effet du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w:t>
      </w:r>
      <w:r w:rsidRPr="0095092F">
        <w:rPr>
          <w:rStyle w:val="eop"/>
          <w:rFonts w:ascii="Arial" w:eastAsiaTheme="minorEastAsia" w:hAnsi="Arial" w:cs="Arial"/>
          <w:sz w:val="22"/>
          <w:szCs w:val="22"/>
          <w:lang w:val="fr"/>
        </w:rPr>
        <w:t> </w:t>
      </w:r>
    </w:p>
    <w:p w14:paraId="78603001" w14:textId="77777777" w:rsidR="004D5C26" w:rsidRPr="0095092F" w:rsidRDefault="004D5C26" w:rsidP="00D81440">
      <w:pPr>
        <w:pStyle w:val="paragraph"/>
        <w:spacing w:before="240" w:beforeAutospacing="0" w:after="240" w:afterAutospacing="0"/>
        <w:jc w:val="both"/>
        <w:textAlignment w:val="baseline"/>
        <w:rPr>
          <w:rFonts w:ascii="Arial" w:hAnsi="Arial" w:cs="Arial"/>
          <w:sz w:val="22"/>
          <w:szCs w:val="22"/>
        </w:rPr>
      </w:pPr>
      <w:r w:rsidRPr="0095092F">
        <w:rPr>
          <w:rStyle w:val="normaltextrun"/>
          <w:rFonts w:ascii="Arial" w:eastAsiaTheme="majorEastAsia" w:hAnsi="Arial" w:cs="Arial"/>
          <w:sz w:val="22"/>
          <w:szCs w:val="22"/>
          <w:lang w:val="fr"/>
        </w:rPr>
        <w:t>L’effet d’une dose unique de 1 050 </w:t>
      </w:r>
      <w:proofErr w:type="spellStart"/>
      <w:r w:rsidRPr="0095092F">
        <w:rPr>
          <w:rStyle w:val="spellingerror"/>
          <w:rFonts w:ascii="Arial" w:eastAsiaTheme="minorEastAsia" w:hAnsi="Arial" w:cs="Arial"/>
          <w:sz w:val="22"/>
          <w:szCs w:val="22"/>
          <w:lang w:val="fr"/>
        </w:rPr>
        <w:t>μg</w:t>
      </w:r>
      <w:proofErr w:type="spellEnd"/>
      <w:r w:rsidRPr="0095092F">
        <w:rPr>
          <w:rStyle w:val="normaltextrun"/>
          <w:rFonts w:ascii="Arial" w:eastAsiaTheme="majorEastAsia" w:hAnsi="Arial" w:cs="Arial"/>
          <w:sz w:val="22"/>
          <w:szCs w:val="22"/>
          <w:lang w:val="fr"/>
        </w:rPr>
        <w:t xml:space="preserve"> de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a été étudié chez huit sujets sains. Les taux de TSH ont diminué significativement de 1,75 ± 0,40 </w:t>
      </w:r>
      <w:proofErr w:type="spellStart"/>
      <w:r w:rsidRPr="0095092F">
        <w:rPr>
          <w:rStyle w:val="spellingerror"/>
          <w:rFonts w:ascii="Arial" w:eastAsiaTheme="minorEastAsia" w:hAnsi="Arial" w:cs="Arial"/>
          <w:sz w:val="22"/>
          <w:szCs w:val="22"/>
          <w:lang w:val="fr"/>
        </w:rPr>
        <w:t>mU</w:t>
      </w:r>
      <w:proofErr w:type="spellEnd"/>
      <w:r w:rsidRPr="0095092F">
        <w:rPr>
          <w:rStyle w:val="normaltextrun"/>
          <w:rFonts w:ascii="Arial" w:eastAsiaTheme="majorEastAsia" w:hAnsi="Arial" w:cs="Arial"/>
          <w:sz w:val="22"/>
          <w:szCs w:val="22"/>
          <w:lang w:val="fr"/>
        </w:rPr>
        <w:t>/l à un nadir de 0,72 ± 0,14 </w:t>
      </w:r>
      <w:proofErr w:type="spellStart"/>
      <w:r w:rsidRPr="0095092F">
        <w:rPr>
          <w:rStyle w:val="spellingerror"/>
          <w:rFonts w:ascii="Arial" w:eastAsiaTheme="minorEastAsia" w:hAnsi="Arial" w:cs="Arial"/>
          <w:sz w:val="22"/>
          <w:szCs w:val="22"/>
          <w:lang w:val="fr"/>
        </w:rPr>
        <w:t>mU</w:t>
      </w:r>
      <w:proofErr w:type="spellEnd"/>
      <w:r w:rsidRPr="0095092F">
        <w:rPr>
          <w:rStyle w:val="normaltextrun"/>
          <w:rFonts w:ascii="Arial" w:eastAsiaTheme="majorEastAsia" w:hAnsi="Arial" w:cs="Arial"/>
          <w:sz w:val="22"/>
          <w:szCs w:val="22"/>
          <w:lang w:val="fr"/>
        </w:rPr>
        <w:t xml:space="preserve">/l six heures après l'administration de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Ensuite, les taux de TSH sont revenus aux niveaux initiaux 24 heures après l’ingestion de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w:t>
      </w:r>
      <w:r w:rsidRPr="0095092F">
        <w:rPr>
          <w:rStyle w:val="eop"/>
          <w:rFonts w:ascii="Arial" w:eastAsiaTheme="minorEastAsia" w:hAnsi="Arial" w:cs="Arial"/>
          <w:sz w:val="22"/>
          <w:szCs w:val="22"/>
          <w:lang w:val="fr"/>
        </w:rPr>
        <w:t> </w:t>
      </w:r>
    </w:p>
    <w:p w14:paraId="1D1E98AB" w14:textId="77777777" w:rsidR="004D5C26" w:rsidRPr="0095092F" w:rsidRDefault="004D5C26" w:rsidP="00D81440">
      <w:pPr>
        <w:pStyle w:val="paragraph"/>
        <w:spacing w:before="240" w:beforeAutospacing="0" w:after="240" w:afterAutospacing="0"/>
        <w:jc w:val="both"/>
        <w:textAlignment w:val="baseline"/>
        <w:rPr>
          <w:rFonts w:ascii="Arial" w:hAnsi="Arial" w:cs="Arial"/>
          <w:sz w:val="22"/>
          <w:szCs w:val="22"/>
        </w:rPr>
      </w:pPr>
      <w:r w:rsidRPr="0095092F">
        <w:rPr>
          <w:rStyle w:val="normaltextrun"/>
          <w:rFonts w:ascii="Arial" w:eastAsiaTheme="majorEastAsia" w:hAnsi="Arial" w:cs="Arial"/>
          <w:sz w:val="22"/>
          <w:szCs w:val="22"/>
          <w:lang w:val="fr"/>
        </w:rPr>
        <w:t xml:space="preserve">Les effets de différentes doses de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ont été analysés chez 34 sujets, neuf heures après une administration orale unique des doses indiquées de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Aucun effet indésirable n’est survenu pendant cette étude. Une diminution significative de la TSH sérique était déjà observée après une dose orale unique de 350 microgrammes de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w:t>
      </w:r>
      <w:r w:rsidRPr="0095092F">
        <w:rPr>
          <w:rStyle w:val="eop"/>
          <w:rFonts w:ascii="Arial" w:eastAsiaTheme="minorEastAsia" w:hAnsi="Arial" w:cs="Arial"/>
          <w:sz w:val="22"/>
          <w:szCs w:val="22"/>
          <w:lang w:val="fr"/>
        </w:rPr>
        <w:t> </w:t>
      </w:r>
    </w:p>
    <w:p w14:paraId="02E74689" w14:textId="673CFE05" w:rsidR="004D5C26" w:rsidRPr="0095092F" w:rsidRDefault="004D5C26" w:rsidP="00D81440">
      <w:pPr>
        <w:pStyle w:val="paragraph"/>
        <w:spacing w:before="240" w:beforeAutospacing="0" w:after="240" w:afterAutospacing="0"/>
        <w:jc w:val="both"/>
        <w:textAlignment w:val="baseline"/>
        <w:rPr>
          <w:rFonts w:ascii="Arial" w:hAnsi="Arial" w:cs="Arial"/>
          <w:sz w:val="22"/>
          <w:szCs w:val="22"/>
        </w:rPr>
      </w:pPr>
      <w:r w:rsidRPr="0095092F">
        <w:rPr>
          <w:rStyle w:val="normaltextrun"/>
          <w:rFonts w:ascii="Arial" w:eastAsiaTheme="majorEastAsia" w:hAnsi="Arial" w:cs="Arial"/>
          <w:sz w:val="22"/>
          <w:szCs w:val="22"/>
          <w:lang w:val="fr"/>
        </w:rPr>
        <w:t xml:space="preserve">Le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possède une demi-vie relativement courte de 6 heures, ce qui a des répercussions importantes sur le schéma posologique nécessaire pour maintenir des taux stables de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et une suppression constante des taux sériques de TSH. Aucune étude n’a été conduite pour déterminer la fréquence d'administration optimale, afin de maintenir des taux sériques stables de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mais, en raison de la courte demi-vie du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il a été montré qu’une administration fréquente augmente l’effet suppresseur de la TSH. Ces données sont corroborées par les résultats d’un essai clinique conduit chez des patients atteints d’un déficit en MCT8, ayant montré une réduction significative des taux de T</w:t>
      </w:r>
      <w:r w:rsidRPr="0095092F">
        <w:rPr>
          <w:rStyle w:val="normaltextrun"/>
          <w:rFonts w:ascii="Arial" w:eastAsiaTheme="majorEastAsia" w:hAnsi="Arial" w:cs="Arial"/>
          <w:sz w:val="22"/>
          <w:szCs w:val="22"/>
          <w:vertAlign w:val="subscript"/>
          <w:lang w:val="fr"/>
        </w:rPr>
        <w:t>3</w:t>
      </w:r>
      <w:r w:rsidRPr="0095092F">
        <w:rPr>
          <w:rStyle w:val="normaltextrun"/>
          <w:rFonts w:ascii="Arial" w:eastAsiaTheme="majorEastAsia" w:hAnsi="Arial" w:cs="Arial"/>
          <w:sz w:val="22"/>
          <w:szCs w:val="22"/>
          <w:lang w:val="fr"/>
        </w:rPr>
        <w:t>, T</w:t>
      </w:r>
      <w:r w:rsidRPr="0095092F">
        <w:rPr>
          <w:rStyle w:val="normaltextrun"/>
          <w:rFonts w:ascii="Arial" w:eastAsiaTheme="majorEastAsia" w:hAnsi="Arial" w:cs="Arial"/>
          <w:sz w:val="22"/>
          <w:szCs w:val="22"/>
          <w:vertAlign w:val="subscript"/>
          <w:lang w:val="fr"/>
        </w:rPr>
        <w:t>4</w:t>
      </w:r>
      <w:r w:rsidRPr="0095092F">
        <w:rPr>
          <w:rStyle w:val="normaltextrun"/>
          <w:rFonts w:ascii="Arial" w:eastAsiaTheme="majorEastAsia" w:hAnsi="Arial" w:cs="Arial"/>
          <w:sz w:val="22"/>
          <w:szCs w:val="22"/>
          <w:lang w:val="fr"/>
        </w:rPr>
        <w:t xml:space="preserve"> et TSH pendant le traitement par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La dose utilisée dans l'étude a été titrée individuellement sur la base des taux sériques de </w:t>
      </w:r>
      <w:proofErr w:type="gramStart"/>
      <w:r w:rsidRPr="0095092F">
        <w:rPr>
          <w:rStyle w:val="normaltextrun"/>
          <w:rFonts w:ascii="Arial" w:eastAsiaTheme="majorEastAsia" w:hAnsi="Arial" w:cs="Arial"/>
          <w:sz w:val="22"/>
          <w:szCs w:val="22"/>
          <w:lang w:val="fr"/>
        </w:rPr>
        <w:t>T</w:t>
      </w:r>
      <w:r w:rsidRPr="0095092F">
        <w:rPr>
          <w:rStyle w:val="normaltextrun"/>
          <w:rFonts w:ascii="Arial" w:eastAsiaTheme="majorEastAsia" w:hAnsi="Arial" w:cs="Arial"/>
          <w:sz w:val="22"/>
          <w:szCs w:val="22"/>
          <w:vertAlign w:val="subscript"/>
          <w:lang w:val="fr"/>
        </w:rPr>
        <w:t xml:space="preserve">3 </w:t>
      </w:r>
      <w:r w:rsidRPr="0095092F">
        <w:rPr>
          <w:rStyle w:val="normaltextrun"/>
          <w:rFonts w:ascii="Arial" w:eastAsiaTheme="majorEastAsia" w:hAnsi="Arial" w:cs="Arial"/>
          <w:sz w:val="22"/>
          <w:szCs w:val="22"/>
          <w:lang w:val="fr"/>
        </w:rPr>
        <w:t>,</w:t>
      </w:r>
      <w:proofErr w:type="gramEnd"/>
      <w:r w:rsidRPr="0095092F">
        <w:rPr>
          <w:rStyle w:val="normaltextrun"/>
          <w:rFonts w:ascii="Arial" w:eastAsiaTheme="majorEastAsia" w:hAnsi="Arial" w:cs="Arial"/>
          <w:sz w:val="22"/>
          <w:szCs w:val="22"/>
          <w:lang w:val="fr"/>
        </w:rPr>
        <w:t xml:space="preserve"> et la dose quotidienne a été divisée en 1 à 3 administrations par jour. </w:t>
      </w:r>
      <w:r w:rsidRPr="0095092F">
        <w:rPr>
          <w:rStyle w:val="eop"/>
          <w:rFonts w:ascii="Arial" w:eastAsiaTheme="minorEastAsia" w:hAnsi="Arial" w:cs="Arial"/>
          <w:sz w:val="22"/>
          <w:szCs w:val="22"/>
          <w:lang w:val="fr"/>
        </w:rPr>
        <w:t> </w:t>
      </w:r>
    </w:p>
    <w:p w14:paraId="7D89A3FF" w14:textId="77777777" w:rsidR="004D5C26" w:rsidRPr="0095092F" w:rsidRDefault="004D5C26" w:rsidP="00D81440">
      <w:pPr>
        <w:pStyle w:val="paragraph"/>
        <w:keepNext/>
        <w:spacing w:before="240" w:beforeAutospacing="0" w:after="240" w:afterAutospacing="0"/>
        <w:jc w:val="both"/>
        <w:textAlignment w:val="baseline"/>
        <w:rPr>
          <w:rStyle w:val="normaltextrun"/>
          <w:rFonts w:ascii="Arial" w:eastAsiaTheme="majorEastAsia" w:hAnsi="Arial" w:cs="Arial"/>
          <w:sz w:val="22"/>
          <w:szCs w:val="22"/>
        </w:rPr>
      </w:pPr>
      <w:r w:rsidRPr="0095092F">
        <w:rPr>
          <w:rStyle w:val="normaltextrun"/>
          <w:rFonts w:ascii="Arial" w:eastAsiaTheme="majorEastAsia" w:hAnsi="Arial" w:cs="Arial"/>
          <w:sz w:val="22"/>
          <w:szCs w:val="22"/>
          <w:u w:val="single"/>
          <w:lang w:val="fr"/>
        </w:rPr>
        <w:t>Efficacité clinique et sécurité</w:t>
      </w:r>
      <w:r w:rsidRPr="0095092F">
        <w:rPr>
          <w:rStyle w:val="eop"/>
          <w:rFonts w:ascii="Arial" w:eastAsiaTheme="minorEastAsia" w:hAnsi="Arial" w:cs="Arial"/>
          <w:sz w:val="22"/>
          <w:szCs w:val="22"/>
          <w:lang w:val="fr"/>
        </w:rPr>
        <w:t>  </w:t>
      </w:r>
    </w:p>
    <w:p w14:paraId="2465709E" w14:textId="77777777" w:rsidR="004D5C26" w:rsidRPr="0095092F" w:rsidRDefault="004D5C26" w:rsidP="00D81440">
      <w:pPr>
        <w:pStyle w:val="paragraph"/>
        <w:keepNext/>
        <w:spacing w:before="240" w:beforeAutospacing="0" w:after="240" w:afterAutospacing="0"/>
        <w:jc w:val="both"/>
        <w:textAlignment w:val="baseline"/>
        <w:rPr>
          <w:rStyle w:val="eop"/>
          <w:rFonts w:ascii="Arial" w:eastAsiaTheme="minorEastAsia" w:hAnsi="Arial" w:cs="Arial"/>
          <w:sz w:val="22"/>
          <w:szCs w:val="22"/>
        </w:rPr>
      </w:pPr>
      <w:r w:rsidRPr="0095092F">
        <w:rPr>
          <w:rStyle w:val="normaltextrun"/>
          <w:rFonts w:ascii="Arial" w:eastAsiaTheme="majorEastAsia" w:hAnsi="Arial" w:cs="Arial"/>
          <w:sz w:val="22"/>
          <w:szCs w:val="22"/>
          <w:lang w:val="fr"/>
        </w:rPr>
        <w:t xml:space="preserve">L’effet du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dans le traitement de patients présentant un déficit en MCT8 a été évalué dans une étude clinique de phase II à un seul bras, en ouvert, multicentrique, incluant 46 patients (essai Triac I). L'âge médian des patients recrutés dans l'essai Triac I était de 7,1 ans, avec une fourchette allant de 0,8 à 66,8 ans. Les patients ont été traités pendant au moins 12 mois, avec une dose titrée individuellement sur la base des taux de T</w:t>
      </w:r>
      <w:r w:rsidRPr="0095092F">
        <w:rPr>
          <w:rStyle w:val="normaltextrun"/>
          <w:rFonts w:ascii="Arial" w:eastAsiaTheme="majorEastAsia" w:hAnsi="Arial" w:cs="Arial"/>
          <w:sz w:val="22"/>
          <w:szCs w:val="22"/>
          <w:vertAlign w:val="subscript"/>
          <w:lang w:val="fr"/>
        </w:rPr>
        <w:t>3</w:t>
      </w:r>
      <w:r w:rsidRPr="0095092F">
        <w:rPr>
          <w:rStyle w:val="normaltextrun"/>
          <w:rFonts w:ascii="Arial" w:eastAsiaTheme="majorEastAsia" w:hAnsi="Arial" w:cs="Arial"/>
          <w:sz w:val="22"/>
          <w:szCs w:val="22"/>
          <w:lang w:val="fr"/>
        </w:rPr>
        <w:t>, T</w:t>
      </w:r>
      <w:r w:rsidRPr="0095092F">
        <w:rPr>
          <w:rStyle w:val="normaltextrun"/>
          <w:rFonts w:ascii="Arial" w:eastAsiaTheme="majorEastAsia" w:hAnsi="Arial" w:cs="Arial"/>
          <w:sz w:val="22"/>
          <w:szCs w:val="22"/>
          <w:vertAlign w:val="subscript"/>
          <w:lang w:val="fr"/>
        </w:rPr>
        <w:t>4</w:t>
      </w:r>
      <w:r w:rsidRPr="0095092F">
        <w:rPr>
          <w:rStyle w:val="normaltextrun"/>
          <w:rFonts w:ascii="Arial" w:eastAsiaTheme="majorEastAsia" w:hAnsi="Arial" w:cs="Arial"/>
          <w:sz w:val="22"/>
          <w:szCs w:val="22"/>
          <w:lang w:val="fr"/>
        </w:rPr>
        <w:t xml:space="preserve"> et TSH. Le traitement par </w:t>
      </w:r>
      <w:proofErr w:type="spellStart"/>
      <w:r w:rsidRPr="0095092F">
        <w:rPr>
          <w:rStyle w:val="normaltextrun"/>
          <w:rFonts w:ascii="Arial" w:eastAsiaTheme="majorEastAsia" w:hAnsi="Arial" w:cs="Arial"/>
          <w:sz w:val="22"/>
          <w:szCs w:val="22"/>
          <w:lang w:val="fr"/>
        </w:rPr>
        <w:t>tiratricol</w:t>
      </w:r>
      <w:proofErr w:type="spellEnd"/>
      <w:r w:rsidRPr="0095092F">
        <w:rPr>
          <w:rStyle w:val="normaltextrun"/>
          <w:rFonts w:ascii="Arial" w:eastAsiaTheme="majorEastAsia" w:hAnsi="Arial" w:cs="Arial"/>
          <w:sz w:val="22"/>
          <w:szCs w:val="22"/>
          <w:lang w:val="fr"/>
        </w:rPr>
        <w:t xml:space="preserve"> a entraîné une réduction significative des taux de T</w:t>
      </w:r>
      <w:r w:rsidRPr="0095092F">
        <w:rPr>
          <w:rStyle w:val="normaltextrun"/>
          <w:rFonts w:ascii="Arial" w:eastAsiaTheme="majorEastAsia" w:hAnsi="Arial" w:cs="Arial"/>
          <w:sz w:val="22"/>
          <w:szCs w:val="22"/>
          <w:vertAlign w:val="subscript"/>
          <w:lang w:val="fr"/>
        </w:rPr>
        <w:t xml:space="preserve">3 </w:t>
      </w:r>
      <w:r w:rsidRPr="0095092F">
        <w:rPr>
          <w:rStyle w:val="normaltextrun"/>
          <w:rFonts w:ascii="Arial" w:eastAsiaTheme="majorEastAsia" w:hAnsi="Arial" w:cs="Arial"/>
          <w:sz w:val="22"/>
          <w:szCs w:val="22"/>
          <w:lang w:val="fr"/>
        </w:rPr>
        <w:t xml:space="preserve">et TSH, soutenue pendant au moins 12 mois (voir Tableau 2), ainsi que des améliorations des paramètres secondaires à l'état d'hyperthyroïdie périphérique, comme une augmentation du poids corporel et de l’IMC et </w:t>
      </w:r>
      <w:r w:rsidRPr="0095092F">
        <w:rPr>
          <w:rStyle w:val="normaltextrun"/>
          <w:rFonts w:ascii="Arial" w:eastAsiaTheme="majorEastAsia" w:hAnsi="Arial" w:cs="Arial"/>
          <w:sz w:val="22"/>
          <w:szCs w:val="22"/>
          <w:lang w:val="fr"/>
        </w:rPr>
        <w:lastRenderedPageBreak/>
        <w:t xml:space="preserve">une diminution de la fréquence cardiaque. L'hypertension a été résolue au </w:t>
      </w:r>
      <w:proofErr w:type="spellStart"/>
      <w:r w:rsidRPr="0095092F">
        <w:rPr>
          <w:rStyle w:val="normaltextrun"/>
          <w:rFonts w:ascii="Arial" w:eastAsiaTheme="majorEastAsia" w:hAnsi="Arial" w:cs="Arial"/>
          <w:sz w:val="22"/>
          <w:szCs w:val="22"/>
          <w:lang w:val="fr"/>
        </w:rPr>
        <w:t>mois</w:t>
      </w:r>
      <w:proofErr w:type="spellEnd"/>
      <w:r w:rsidRPr="0095092F">
        <w:rPr>
          <w:rStyle w:val="normaltextrun"/>
          <w:rFonts w:ascii="Arial" w:eastAsiaTheme="majorEastAsia" w:hAnsi="Arial" w:cs="Arial"/>
          <w:sz w:val="22"/>
          <w:szCs w:val="22"/>
          <w:lang w:val="fr"/>
        </w:rPr>
        <w:t xml:space="preserve"> 12 chez 64,4 % des patients hypertendus au début de l'étude. Les taux de créatinine kinase et de créatinine ont augmenté chez les patients pendant le traitement, indiquant un effet positif sur l'état des hormones thyroïdiennes dans les muscles et les reins, tandis que les taux de SHBG (</w:t>
      </w:r>
      <w:proofErr w:type="spellStart"/>
      <w:r w:rsidRPr="0095092F">
        <w:rPr>
          <w:rStyle w:val="normaltextrun"/>
          <w:rFonts w:ascii="Arial" w:eastAsiaTheme="majorEastAsia" w:hAnsi="Arial" w:cs="Arial"/>
          <w:sz w:val="22"/>
          <w:szCs w:val="22"/>
          <w:lang w:val="fr"/>
        </w:rPr>
        <w:t>Sex</w:t>
      </w:r>
      <w:proofErr w:type="spellEnd"/>
      <w:r w:rsidRPr="0095092F">
        <w:rPr>
          <w:rStyle w:val="normaltextrun"/>
          <w:rFonts w:ascii="Arial" w:eastAsiaTheme="majorEastAsia" w:hAnsi="Arial" w:cs="Arial"/>
          <w:sz w:val="22"/>
          <w:szCs w:val="22"/>
          <w:lang w:val="fr"/>
        </w:rPr>
        <w:t xml:space="preserve"> Hormone </w:t>
      </w:r>
      <w:proofErr w:type="spellStart"/>
      <w:r w:rsidRPr="0095092F">
        <w:rPr>
          <w:rStyle w:val="normaltextrun"/>
          <w:rFonts w:ascii="Arial" w:eastAsiaTheme="majorEastAsia" w:hAnsi="Arial" w:cs="Arial"/>
          <w:sz w:val="22"/>
          <w:szCs w:val="22"/>
          <w:lang w:val="fr"/>
        </w:rPr>
        <w:t>Binding</w:t>
      </w:r>
      <w:proofErr w:type="spellEnd"/>
      <w:r w:rsidRPr="0095092F">
        <w:rPr>
          <w:rStyle w:val="normaltextrun"/>
          <w:rFonts w:ascii="Arial" w:eastAsiaTheme="majorEastAsia" w:hAnsi="Arial" w:cs="Arial"/>
          <w:sz w:val="22"/>
          <w:szCs w:val="22"/>
          <w:lang w:val="fr"/>
        </w:rPr>
        <w:t xml:space="preserve"> Globulin) ont diminué, indiquant un effet positif sur le foie. </w:t>
      </w:r>
      <w:r w:rsidRPr="0095092F">
        <w:rPr>
          <w:rStyle w:val="eop"/>
          <w:rFonts w:ascii="Arial" w:eastAsiaTheme="minorEastAsia" w:hAnsi="Arial" w:cs="Arial"/>
          <w:sz w:val="22"/>
          <w:szCs w:val="22"/>
          <w:lang w:val="fr"/>
        </w:rPr>
        <w:t> </w:t>
      </w:r>
    </w:p>
    <w:p w14:paraId="629E1512" w14:textId="77777777" w:rsidR="004D5C26" w:rsidRPr="003F20EE" w:rsidRDefault="004D5C26" w:rsidP="004D5C26">
      <w:pPr>
        <w:pStyle w:val="paragraph"/>
        <w:keepNext/>
        <w:spacing w:before="0" w:beforeAutospacing="0" w:after="0" w:afterAutospacing="0"/>
        <w:textAlignment w:val="baseline"/>
        <w:rPr>
          <w:rStyle w:val="eop"/>
          <w:rFonts w:eastAsiaTheme="minorEastAsia" w:cs="Arial"/>
          <w:color w:val="000000" w:themeColor="text1"/>
          <w:sz w:val="22"/>
          <w:szCs w:val="22"/>
        </w:rPr>
      </w:pPr>
    </w:p>
    <w:p w14:paraId="659B2BCD" w14:textId="77777777" w:rsidR="004D5C26" w:rsidRPr="003F20EE" w:rsidRDefault="004D5C26" w:rsidP="004D5C26">
      <w:pPr>
        <w:keepNext/>
        <w:keepLines/>
        <w:spacing w:line="240" w:lineRule="auto"/>
        <w:textAlignment w:val="baseline"/>
        <w:rPr>
          <w:rFonts w:cs="Arial"/>
          <w:b/>
          <w:bCs/>
          <w:color w:val="000000" w:themeColor="text1"/>
        </w:rPr>
      </w:pPr>
      <w:r w:rsidRPr="003F20EE">
        <w:rPr>
          <w:rFonts w:cs="Arial"/>
          <w:b/>
          <w:bCs/>
          <w:color w:val="000000" w:themeColor="text1"/>
          <w:lang w:val="fr"/>
        </w:rPr>
        <w:t xml:space="preserve">Tableau 2. </w:t>
      </w:r>
    </w:p>
    <w:p w14:paraId="0CEC56A1" w14:textId="77777777" w:rsidR="004D5C26" w:rsidRPr="003F20EE" w:rsidRDefault="004D5C26" w:rsidP="004D5C26">
      <w:pPr>
        <w:keepNext/>
        <w:keepLines/>
        <w:spacing w:line="240" w:lineRule="auto"/>
        <w:textAlignment w:val="baseline"/>
        <w:rPr>
          <w:rFonts w:cs="Arial"/>
          <w:b/>
          <w:bCs/>
          <w:color w:val="000000" w:themeColor="text1"/>
          <w:sz w:val="16"/>
          <w:szCs w:val="16"/>
        </w:rPr>
      </w:pPr>
      <w:r w:rsidRPr="003F20EE">
        <w:rPr>
          <w:rFonts w:cs="Arial"/>
          <w:b/>
          <w:bCs/>
          <w:color w:val="000000" w:themeColor="text1"/>
          <w:lang w:val="fr"/>
        </w:rPr>
        <w:t>Concentrations sériques de T</w:t>
      </w:r>
      <w:r w:rsidRPr="003F20EE">
        <w:rPr>
          <w:rFonts w:cs="Arial"/>
          <w:b/>
          <w:bCs/>
          <w:color w:val="000000" w:themeColor="text1"/>
          <w:vertAlign w:val="subscript"/>
          <w:lang w:val="fr"/>
        </w:rPr>
        <w:t>3</w:t>
      </w:r>
      <w:r w:rsidRPr="003F20EE">
        <w:rPr>
          <w:rFonts w:cs="Arial"/>
          <w:b/>
          <w:bCs/>
          <w:color w:val="000000" w:themeColor="text1"/>
          <w:lang w:val="fr"/>
        </w:rPr>
        <w:t xml:space="preserve"> au début de l'étude et au </w:t>
      </w:r>
      <w:proofErr w:type="spellStart"/>
      <w:r w:rsidRPr="003F20EE">
        <w:rPr>
          <w:rFonts w:cs="Arial"/>
          <w:b/>
          <w:bCs/>
          <w:color w:val="000000" w:themeColor="text1"/>
          <w:lang w:val="fr"/>
        </w:rPr>
        <w:t>mois</w:t>
      </w:r>
      <w:proofErr w:type="spellEnd"/>
      <w:r w:rsidRPr="003F20EE">
        <w:rPr>
          <w:rFonts w:cs="Arial"/>
          <w:b/>
          <w:bCs/>
          <w:color w:val="000000" w:themeColor="text1"/>
          <w:lang w:val="fr"/>
        </w:rPr>
        <w:t xml:space="preserve"> 12 dans l'essai Triac 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9"/>
        <w:gridCol w:w="1526"/>
        <w:gridCol w:w="1655"/>
        <w:gridCol w:w="1937"/>
        <w:gridCol w:w="1745"/>
      </w:tblGrid>
      <w:tr w:rsidR="004D5C26" w:rsidRPr="003F20EE" w14:paraId="3EF26DFD" w14:textId="77777777" w:rsidTr="009310FF">
        <w:trPr>
          <w:trHeight w:val="270"/>
        </w:trPr>
        <w:tc>
          <w:tcPr>
            <w:tcW w:w="2265" w:type="dxa"/>
            <w:tcBorders>
              <w:top w:val="single" w:sz="12" w:space="0" w:color="auto"/>
              <w:left w:val="nil"/>
              <w:bottom w:val="single" w:sz="6" w:space="0" w:color="auto"/>
              <w:right w:val="nil"/>
            </w:tcBorders>
            <w:shd w:val="clear" w:color="auto" w:fill="auto"/>
            <w:hideMark/>
          </w:tcPr>
          <w:p w14:paraId="61C41B54" w14:textId="77777777" w:rsidR="004D5C26" w:rsidRPr="003F20EE" w:rsidRDefault="004D5C26" w:rsidP="009310FF">
            <w:pPr>
              <w:keepNext/>
              <w:keepLines/>
              <w:spacing w:line="240" w:lineRule="auto"/>
              <w:textAlignment w:val="baseline"/>
              <w:rPr>
                <w:rFonts w:cs="Arial"/>
                <w:b/>
                <w:bCs/>
                <w:sz w:val="24"/>
                <w:szCs w:val="24"/>
              </w:rPr>
            </w:pPr>
            <w:r w:rsidRPr="003F20EE">
              <w:rPr>
                <w:rFonts w:cs="Arial"/>
                <w:b/>
                <w:bCs/>
                <w:sz w:val="18"/>
                <w:szCs w:val="18"/>
                <w:lang w:val="fr"/>
              </w:rPr>
              <w:t>Évaluation </w:t>
            </w:r>
          </w:p>
        </w:tc>
        <w:tc>
          <w:tcPr>
            <w:tcW w:w="1560" w:type="dxa"/>
            <w:tcBorders>
              <w:top w:val="single" w:sz="12" w:space="0" w:color="auto"/>
              <w:left w:val="nil"/>
              <w:bottom w:val="single" w:sz="6" w:space="0" w:color="auto"/>
              <w:right w:val="nil"/>
            </w:tcBorders>
            <w:shd w:val="clear" w:color="auto" w:fill="auto"/>
            <w:hideMark/>
          </w:tcPr>
          <w:p w14:paraId="3B59523D" w14:textId="77777777" w:rsidR="004D5C26" w:rsidRPr="00AE478A" w:rsidRDefault="004D5C26" w:rsidP="009310FF">
            <w:pPr>
              <w:keepNext/>
              <w:keepLines/>
              <w:spacing w:line="240" w:lineRule="auto"/>
              <w:textAlignment w:val="baseline"/>
              <w:rPr>
                <w:rFonts w:cs="Arial"/>
                <w:b/>
                <w:bCs/>
                <w:sz w:val="24"/>
                <w:szCs w:val="24"/>
              </w:rPr>
            </w:pPr>
            <w:r w:rsidRPr="003F20EE">
              <w:rPr>
                <w:rFonts w:cs="Arial"/>
                <w:b/>
                <w:bCs/>
                <w:sz w:val="18"/>
                <w:szCs w:val="18"/>
                <w:lang w:val="fr"/>
              </w:rPr>
              <w:t>Début de l'étude </w:t>
            </w:r>
          </w:p>
          <w:p w14:paraId="6CB4B723" w14:textId="77777777" w:rsidR="004D5C26" w:rsidRPr="00AE478A" w:rsidRDefault="004D5C26" w:rsidP="009310FF">
            <w:pPr>
              <w:keepNext/>
              <w:keepLines/>
              <w:spacing w:line="240" w:lineRule="auto"/>
              <w:textAlignment w:val="baseline"/>
              <w:rPr>
                <w:rFonts w:cs="Arial"/>
                <w:b/>
                <w:bCs/>
                <w:sz w:val="24"/>
                <w:szCs w:val="24"/>
              </w:rPr>
            </w:pPr>
            <w:r w:rsidRPr="003F20EE">
              <w:rPr>
                <w:rFonts w:cs="Arial"/>
                <w:b/>
                <w:bCs/>
                <w:sz w:val="18"/>
                <w:szCs w:val="18"/>
                <w:lang w:val="fr"/>
              </w:rPr>
              <w:t>N = </w:t>
            </w:r>
          </w:p>
          <w:p w14:paraId="6BE2B6C5" w14:textId="77777777" w:rsidR="004D5C26" w:rsidRPr="00AE478A" w:rsidRDefault="004D5C26" w:rsidP="009310FF">
            <w:pPr>
              <w:keepNext/>
              <w:keepLines/>
              <w:spacing w:line="240" w:lineRule="auto"/>
              <w:textAlignment w:val="baseline"/>
              <w:rPr>
                <w:rFonts w:cs="Arial"/>
                <w:b/>
                <w:bCs/>
                <w:sz w:val="24"/>
                <w:szCs w:val="24"/>
              </w:rPr>
            </w:pPr>
            <w:r w:rsidRPr="003F20EE">
              <w:rPr>
                <w:rFonts w:cs="Arial"/>
                <w:b/>
                <w:bCs/>
                <w:sz w:val="18"/>
                <w:szCs w:val="18"/>
                <w:lang w:val="fr"/>
              </w:rPr>
              <w:t>Moyenne (± ET) </w:t>
            </w:r>
          </w:p>
        </w:tc>
        <w:tc>
          <w:tcPr>
            <w:tcW w:w="1695" w:type="dxa"/>
            <w:tcBorders>
              <w:top w:val="single" w:sz="12" w:space="0" w:color="auto"/>
              <w:left w:val="nil"/>
              <w:bottom w:val="single" w:sz="6" w:space="0" w:color="auto"/>
              <w:right w:val="nil"/>
            </w:tcBorders>
            <w:shd w:val="clear" w:color="auto" w:fill="auto"/>
            <w:hideMark/>
          </w:tcPr>
          <w:p w14:paraId="738A838C" w14:textId="77777777" w:rsidR="004D5C26" w:rsidRPr="003F20EE" w:rsidRDefault="004D5C26" w:rsidP="009310FF">
            <w:pPr>
              <w:keepNext/>
              <w:keepLines/>
              <w:spacing w:line="240" w:lineRule="auto"/>
              <w:textAlignment w:val="baseline"/>
              <w:rPr>
                <w:rFonts w:cs="Arial"/>
                <w:b/>
                <w:bCs/>
                <w:sz w:val="24"/>
                <w:szCs w:val="24"/>
              </w:rPr>
            </w:pPr>
            <w:r w:rsidRPr="003F20EE">
              <w:rPr>
                <w:rFonts w:cs="Arial"/>
                <w:b/>
                <w:bCs/>
                <w:sz w:val="18"/>
                <w:szCs w:val="18"/>
                <w:lang w:val="fr"/>
              </w:rPr>
              <w:t>12 mois  </w:t>
            </w:r>
          </w:p>
          <w:p w14:paraId="23E585ED" w14:textId="77777777" w:rsidR="004D5C26" w:rsidRPr="003F20EE" w:rsidRDefault="004D5C26" w:rsidP="009310FF">
            <w:pPr>
              <w:keepNext/>
              <w:keepLines/>
              <w:spacing w:line="240" w:lineRule="auto"/>
              <w:textAlignment w:val="baseline"/>
              <w:rPr>
                <w:rFonts w:cs="Arial"/>
                <w:b/>
                <w:bCs/>
                <w:sz w:val="24"/>
                <w:szCs w:val="24"/>
              </w:rPr>
            </w:pPr>
            <w:r w:rsidRPr="003F20EE">
              <w:rPr>
                <w:rFonts w:cs="Arial"/>
                <w:sz w:val="18"/>
                <w:szCs w:val="18"/>
                <w:lang w:val="fr"/>
              </w:rPr>
              <w:t>N =</w:t>
            </w:r>
            <w:r w:rsidRPr="003F20EE">
              <w:rPr>
                <w:rFonts w:cs="Arial"/>
                <w:b/>
                <w:bCs/>
                <w:sz w:val="18"/>
                <w:szCs w:val="18"/>
                <w:lang w:val="fr"/>
              </w:rPr>
              <w:t> </w:t>
            </w:r>
          </w:p>
          <w:p w14:paraId="374F9683" w14:textId="77777777" w:rsidR="004D5C26" w:rsidRPr="003F20EE" w:rsidRDefault="004D5C26" w:rsidP="009310FF">
            <w:pPr>
              <w:keepNext/>
              <w:keepLines/>
              <w:spacing w:line="240" w:lineRule="auto"/>
              <w:textAlignment w:val="baseline"/>
              <w:rPr>
                <w:rFonts w:cs="Arial"/>
                <w:b/>
                <w:bCs/>
                <w:sz w:val="24"/>
                <w:szCs w:val="24"/>
              </w:rPr>
            </w:pPr>
            <w:r w:rsidRPr="003F20EE">
              <w:rPr>
                <w:rFonts w:cs="Arial"/>
                <w:b/>
                <w:bCs/>
                <w:sz w:val="18"/>
                <w:szCs w:val="18"/>
                <w:lang w:val="fr"/>
              </w:rPr>
              <w:t>Moyenne (± ET) </w:t>
            </w:r>
          </w:p>
        </w:tc>
        <w:tc>
          <w:tcPr>
            <w:tcW w:w="1980" w:type="dxa"/>
            <w:tcBorders>
              <w:top w:val="single" w:sz="12" w:space="0" w:color="auto"/>
              <w:left w:val="nil"/>
              <w:bottom w:val="single" w:sz="6" w:space="0" w:color="auto"/>
              <w:right w:val="nil"/>
            </w:tcBorders>
            <w:shd w:val="clear" w:color="auto" w:fill="auto"/>
            <w:hideMark/>
          </w:tcPr>
          <w:p w14:paraId="034DE906" w14:textId="77777777" w:rsidR="004D5C26" w:rsidRPr="003F20EE" w:rsidRDefault="004D5C26" w:rsidP="009310FF">
            <w:pPr>
              <w:keepNext/>
              <w:keepLines/>
              <w:spacing w:line="240" w:lineRule="auto"/>
              <w:textAlignment w:val="baseline"/>
              <w:rPr>
                <w:rFonts w:cs="Arial"/>
                <w:b/>
                <w:bCs/>
                <w:sz w:val="24"/>
                <w:szCs w:val="24"/>
              </w:rPr>
            </w:pPr>
            <w:r w:rsidRPr="003F20EE">
              <w:rPr>
                <w:rFonts w:cs="Arial"/>
                <w:b/>
                <w:bCs/>
                <w:sz w:val="18"/>
                <w:szCs w:val="18"/>
                <w:lang w:val="fr"/>
              </w:rPr>
              <w:t>Différence  </w:t>
            </w:r>
          </w:p>
          <w:p w14:paraId="5EF13EF4" w14:textId="77777777" w:rsidR="004D5C26" w:rsidRPr="003F20EE" w:rsidRDefault="004D5C26" w:rsidP="009310FF">
            <w:pPr>
              <w:keepNext/>
              <w:keepLines/>
              <w:spacing w:line="240" w:lineRule="auto"/>
              <w:textAlignment w:val="baseline"/>
              <w:rPr>
                <w:rFonts w:cs="Arial"/>
                <w:b/>
                <w:bCs/>
                <w:sz w:val="24"/>
                <w:szCs w:val="24"/>
              </w:rPr>
            </w:pPr>
            <w:r w:rsidRPr="003F20EE">
              <w:rPr>
                <w:rFonts w:cs="Arial"/>
                <w:b/>
                <w:bCs/>
                <w:sz w:val="18"/>
                <w:szCs w:val="18"/>
                <w:lang w:val="fr"/>
              </w:rPr>
              <w:t>N = </w:t>
            </w:r>
          </w:p>
          <w:p w14:paraId="68090430" w14:textId="77777777" w:rsidR="004D5C26" w:rsidRPr="003F20EE" w:rsidRDefault="004D5C26" w:rsidP="009310FF">
            <w:pPr>
              <w:keepNext/>
              <w:keepLines/>
              <w:spacing w:line="240" w:lineRule="auto"/>
              <w:textAlignment w:val="baseline"/>
              <w:rPr>
                <w:rFonts w:cs="Arial"/>
                <w:b/>
                <w:bCs/>
                <w:sz w:val="24"/>
                <w:szCs w:val="24"/>
              </w:rPr>
            </w:pPr>
            <w:r w:rsidRPr="003F20EE">
              <w:rPr>
                <w:rFonts w:cs="Arial"/>
                <w:b/>
                <w:bCs/>
                <w:sz w:val="18"/>
                <w:szCs w:val="18"/>
                <w:lang w:val="fr"/>
              </w:rPr>
              <w:t>Moyenne (IC à 95 %) </w:t>
            </w:r>
          </w:p>
        </w:tc>
        <w:tc>
          <w:tcPr>
            <w:tcW w:w="1800" w:type="dxa"/>
            <w:tcBorders>
              <w:top w:val="single" w:sz="12" w:space="0" w:color="auto"/>
              <w:left w:val="nil"/>
              <w:bottom w:val="single" w:sz="6" w:space="0" w:color="auto"/>
              <w:right w:val="nil"/>
            </w:tcBorders>
            <w:shd w:val="clear" w:color="auto" w:fill="auto"/>
            <w:hideMark/>
          </w:tcPr>
          <w:p w14:paraId="3CF28559" w14:textId="77777777" w:rsidR="004D5C26" w:rsidRPr="003F20EE" w:rsidRDefault="004D5C26" w:rsidP="009310FF">
            <w:pPr>
              <w:keepNext/>
              <w:keepLines/>
              <w:spacing w:line="240" w:lineRule="auto"/>
              <w:textAlignment w:val="baseline"/>
              <w:rPr>
                <w:rFonts w:cs="Arial"/>
                <w:b/>
                <w:bCs/>
                <w:sz w:val="24"/>
                <w:szCs w:val="24"/>
              </w:rPr>
            </w:pPr>
            <w:r w:rsidRPr="003F20EE">
              <w:rPr>
                <w:rFonts w:cs="Arial"/>
                <w:b/>
                <w:bCs/>
                <w:sz w:val="18"/>
                <w:szCs w:val="18"/>
                <w:lang w:val="fr"/>
              </w:rPr>
              <w:t>valeur de p </w:t>
            </w:r>
          </w:p>
        </w:tc>
      </w:tr>
      <w:tr w:rsidR="004D5C26" w:rsidRPr="003F20EE" w14:paraId="74DD8E34" w14:textId="77777777" w:rsidTr="009310FF">
        <w:trPr>
          <w:trHeight w:val="262"/>
        </w:trPr>
        <w:tc>
          <w:tcPr>
            <w:tcW w:w="2265" w:type="dxa"/>
            <w:tcBorders>
              <w:top w:val="nil"/>
              <w:left w:val="nil"/>
              <w:bottom w:val="single" w:sz="12" w:space="0" w:color="auto"/>
              <w:right w:val="nil"/>
            </w:tcBorders>
            <w:shd w:val="clear" w:color="auto" w:fill="auto"/>
            <w:hideMark/>
          </w:tcPr>
          <w:p w14:paraId="757267C3" w14:textId="77777777" w:rsidR="004D5C26" w:rsidRPr="003F20EE" w:rsidRDefault="004D5C26" w:rsidP="009310FF">
            <w:pPr>
              <w:keepNext/>
              <w:keepLines/>
              <w:spacing w:line="240" w:lineRule="auto"/>
              <w:textAlignment w:val="baseline"/>
              <w:rPr>
                <w:rFonts w:cs="Arial"/>
                <w:sz w:val="24"/>
                <w:szCs w:val="24"/>
              </w:rPr>
            </w:pPr>
            <w:r w:rsidRPr="003F20EE">
              <w:rPr>
                <w:rFonts w:cs="Arial"/>
                <w:sz w:val="18"/>
                <w:szCs w:val="18"/>
                <w:lang w:val="fr"/>
              </w:rPr>
              <w:t>T</w:t>
            </w:r>
            <w:r w:rsidRPr="003F20EE">
              <w:rPr>
                <w:rFonts w:cs="Arial"/>
                <w:sz w:val="18"/>
                <w:szCs w:val="18"/>
                <w:vertAlign w:val="subscript"/>
                <w:lang w:val="fr"/>
              </w:rPr>
              <w:t>3</w:t>
            </w:r>
            <w:r w:rsidRPr="003F20EE">
              <w:rPr>
                <w:rFonts w:cs="Arial"/>
                <w:sz w:val="18"/>
                <w:szCs w:val="18"/>
                <w:lang w:val="fr"/>
              </w:rPr>
              <w:t xml:space="preserve"> (</w:t>
            </w:r>
            <w:proofErr w:type="spellStart"/>
            <w:r w:rsidRPr="003F20EE">
              <w:rPr>
                <w:rFonts w:cs="Arial"/>
                <w:sz w:val="18"/>
                <w:szCs w:val="18"/>
                <w:lang w:val="fr"/>
              </w:rPr>
              <w:t>ng</w:t>
            </w:r>
            <w:proofErr w:type="spellEnd"/>
            <w:r w:rsidRPr="003F20EE">
              <w:rPr>
                <w:rFonts w:cs="Arial"/>
                <w:sz w:val="18"/>
                <w:szCs w:val="18"/>
                <w:lang w:val="fr"/>
              </w:rPr>
              <w:t>/dl) </w:t>
            </w:r>
          </w:p>
        </w:tc>
        <w:tc>
          <w:tcPr>
            <w:tcW w:w="1560" w:type="dxa"/>
            <w:tcBorders>
              <w:top w:val="nil"/>
              <w:left w:val="nil"/>
              <w:bottom w:val="single" w:sz="12" w:space="0" w:color="auto"/>
              <w:right w:val="nil"/>
            </w:tcBorders>
            <w:shd w:val="clear" w:color="auto" w:fill="auto"/>
            <w:hideMark/>
          </w:tcPr>
          <w:p w14:paraId="41039069" w14:textId="77777777" w:rsidR="004D5C26" w:rsidRPr="003F20EE" w:rsidRDefault="004D5C26" w:rsidP="009310FF">
            <w:pPr>
              <w:keepNext/>
              <w:keepLines/>
              <w:spacing w:line="240" w:lineRule="auto"/>
              <w:textAlignment w:val="baseline"/>
              <w:rPr>
                <w:rFonts w:cs="Arial"/>
                <w:sz w:val="24"/>
                <w:szCs w:val="24"/>
              </w:rPr>
            </w:pPr>
            <w:r w:rsidRPr="003F20EE">
              <w:rPr>
                <w:rFonts w:cs="Arial"/>
                <w:sz w:val="18"/>
                <w:szCs w:val="18"/>
                <w:lang w:val="fr"/>
              </w:rPr>
              <w:t>323 (± 101) </w:t>
            </w:r>
          </w:p>
        </w:tc>
        <w:tc>
          <w:tcPr>
            <w:tcW w:w="1695" w:type="dxa"/>
            <w:tcBorders>
              <w:top w:val="nil"/>
              <w:left w:val="nil"/>
              <w:bottom w:val="single" w:sz="12" w:space="0" w:color="auto"/>
              <w:right w:val="nil"/>
            </w:tcBorders>
            <w:shd w:val="clear" w:color="auto" w:fill="auto"/>
            <w:hideMark/>
          </w:tcPr>
          <w:p w14:paraId="40C7EDA0" w14:textId="77777777" w:rsidR="004D5C26" w:rsidRPr="003F20EE" w:rsidRDefault="004D5C26" w:rsidP="009310FF">
            <w:pPr>
              <w:keepNext/>
              <w:keepLines/>
              <w:spacing w:line="240" w:lineRule="auto"/>
              <w:textAlignment w:val="baseline"/>
              <w:rPr>
                <w:rFonts w:cs="Arial"/>
                <w:sz w:val="24"/>
                <w:szCs w:val="24"/>
              </w:rPr>
            </w:pPr>
            <w:r w:rsidRPr="003F20EE">
              <w:rPr>
                <w:rFonts w:cs="Arial"/>
                <w:sz w:val="18"/>
                <w:szCs w:val="18"/>
                <w:lang w:val="fr"/>
              </w:rPr>
              <w:t>118 (± 45) </w:t>
            </w:r>
          </w:p>
        </w:tc>
        <w:tc>
          <w:tcPr>
            <w:tcW w:w="1980" w:type="dxa"/>
            <w:tcBorders>
              <w:top w:val="nil"/>
              <w:left w:val="nil"/>
              <w:bottom w:val="single" w:sz="12" w:space="0" w:color="auto"/>
              <w:right w:val="nil"/>
            </w:tcBorders>
            <w:shd w:val="clear" w:color="auto" w:fill="auto"/>
            <w:hideMark/>
          </w:tcPr>
          <w:p w14:paraId="50F3F907" w14:textId="77777777" w:rsidR="004D5C26" w:rsidRPr="003F20EE" w:rsidRDefault="004D5C26" w:rsidP="009310FF">
            <w:pPr>
              <w:keepNext/>
              <w:keepLines/>
              <w:spacing w:line="240" w:lineRule="auto"/>
              <w:textAlignment w:val="baseline"/>
              <w:rPr>
                <w:rFonts w:cs="Arial"/>
                <w:sz w:val="24"/>
                <w:szCs w:val="24"/>
              </w:rPr>
            </w:pPr>
            <w:r w:rsidRPr="003F20EE">
              <w:rPr>
                <w:rFonts w:cs="Arial"/>
                <w:sz w:val="18"/>
                <w:szCs w:val="18"/>
                <w:lang w:val="fr"/>
              </w:rPr>
              <w:t>-205 (-236, -175)  </w:t>
            </w:r>
          </w:p>
        </w:tc>
        <w:tc>
          <w:tcPr>
            <w:tcW w:w="1800" w:type="dxa"/>
            <w:tcBorders>
              <w:top w:val="nil"/>
              <w:left w:val="nil"/>
              <w:bottom w:val="single" w:sz="12" w:space="0" w:color="auto"/>
              <w:right w:val="nil"/>
            </w:tcBorders>
            <w:shd w:val="clear" w:color="auto" w:fill="auto"/>
            <w:hideMark/>
          </w:tcPr>
          <w:p w14:paraId="3AA55C95" w14:textId="77777777" w:rsidR="004D5C26" w:rsidRPr="003F20EE" w:rsidRDefault="004D5C26" w:rsidP="009310FF">
            <w:pPr>
              <w:keepNext/>
              <w:keepLines/>
              <w:spacing w:line="240" w:lineRule="auto"/>
              <w:textAlignment w:val="baseline"/>
              <w:rPr>
                <w:rFonts w:cs="Arial"/>
                <w:sz w:val="24"/>
                <w:szCs w:val="24"/>
              </w:rPr>
            </w:pPr>
            <w:r w:rsidRPr="003F20EE">
              <w:rPr>
                <w:rFonts w:cs="Arial"/>
                <w:sz w:val="18"/>
                <w:szCs w:val="18"/>
                <w:lang w:val="fr"/>
              </w:rPr>
              <w:t>&lt; 0,001 </w:t>
            </w:r>
          </w:p>
        </w:tc>
      </w:tr>
    </w:tbl>
    <w:p w14:paraId="72A54511" w14:textId="77777777" w:rsidR="004D5C26" w:rsidRPr="003F20EE" w:rsidRDefault="004D5C26" w:rsidP="004D5C26">
      <w:pPr>
        <w:keepNext/>
        <w:keepLines/>
        <w:spacing w:line="240" w:lineRule="auto"/>
        <w:textAlignment w:val="baseline"/>
        <w:rPr>
          <w:rFonts w:cs="Arial"/>
          <w:sz w:val="18"/>
          <w:szCs w:val="18"/>
        </w:rPr>
      </w:pPr>
      <w:r w:rsidRPr="003F20EE">
        <w:rPr>
          <w:rFonts w:cs="Arial"/>
          <w:sz w:val="18"/>
          <w:szCs w:val="18"/>
          <w:lang w:val="fr"/>
        </w:rPr>
        <w:t>Source : Triac Trial I CSR </w:t>
      </w:r>
    </w:p>
    <w:p w14:paraId="495797D5" w14:textId="77777777" w:rsidR="004D5C26" w:rsidRPr="003F20EE" w:rsidRDefault="004D5C26" w:rsidP="004D5C26">
      <w:pPr>
        <w:pStyle w:val="paragraph"/>
        <w:keepNext/>
        <w:spacing w:before="0" w:beforeAutospacing="0" w:after="0" w:afterAutospacing="0"/>
        <w:textAlignment w:val="baseline"/>
        <w:rPr>
          <w:rFonts w:ascii="Arial" w:hAnsi="Arial" w:cs="Arial"/>
          <w:sz w:val="18"/>
          <w:szCs w:val="18"/>
        </w:rPr>
      </w:pPr>
    </w:p>
    <w:p w14:paraId="4068AD8E" w14:textId="77777777" w:rsidR="004D5C26" w:rsidRPr="003F20EE" w:rsidRDefault="004D5C26" w:rsidP="004D5C26">
      <w:pPr>
        <w:spacing w:line="240" w:lineRule="auto"/>
        <w:ind w:left="567" w:hanging="567"/>
        <w:outlineLvl w:val="0"/>
        <w:rPr>
          <w:rFonts w:cs="Arial"/>
          <w:b/>
          <w:noProof/>
        </w:rPr>
      </w:pPr>
      <w:r w:rsidRPr="003F20EE">
        <w:rPr>
          <w:rFonts w:cs="Arial"/>
          <w:b/>
          <w:bCs/>
          <w:noProof/>
          <w:lang w:val="fr"/>
        </w:rPr>
        <w:t>5.2</w:t>
      </w:r>
      <w:r w:rsidRPr="003F20EE">
        <w:rPr>
          <w:rFonts w:cs="Arial"/>
          <w:b/>
          <w:bCs/>
          <w:noProof/>
          <w:lang w:val="fr"/>
        </w:rPr>
        <w:tab/>
        <w:t>Propriétés pharmacocinétiques</w:t>
      </w:r>
    </w:p>
    <w:p w14:paraId="4D0B643F" w14:textId="0C4FEE20" w:rsidR="004D5C26" w:rsidRPr="00CC0885" w:rsidRDefault="004D5C26" w:rsidP="004D5C26">
      <w:pPr>
        <w:spacing w:line="240" w:lineRule="auto"/>
        <w:rPr>
          <w:rFonts w:cs="Arial"/>
          <w:lang w:val="fr"/>
        </w:rPr>
      </w:pPr>
      <w:r w:rsidRPr="003F20EE">
        <w:rPr>
          <w:rFonts w:cs="Arial"/>
          <w:lang w:val="fr"/>
        </w:rPr>
        <w:t xml:space="preserve">Les concentrations sériques endogènes de </w:t>
      </w:r>
      <w:proofErr w:type="spellStart"/>
      <w:r w:rsidRPr="003F20EE">
        <w:rPr>
          <w:rFonts w:cs="Arial"/>
          <w:lang w:val="fr"/>
        </w:rPr>
        <w:t>tiratricol</w:t>
      </w:r>
      <w:proofErr w:type="spellEnd"/>
      <w:r w:rsidRPr="003F20EE">
        <w:rPr>
          <w:rFonts w:cs="Arial"/>
          <w:lang w:val="fr"/>
        </w:rPr>
        <w:t xml:space="preserve"> chez des sujets sains sont comprises entre 42 et 140 </w:t>
      </w:r>
      <w:proofErr w:type="spellStart"/>
      <w:r w:rsidRPr="003F20EE">
        <w:rPr>
          <w:rFonts w:cs="Arial"/>
          <w:lang w:val="fr"/>
        </w:rPr>
        <w:t>pmol</w:t>
      </w:r>
      <w:proofErr w:type="spellEnd"/>
      <w:r w:rsidRPr="003F20EE">
        <w:rPr>
          <w:rFonts w:cs="Arial"/>
          <w:lang w:val="fr"/>
        </w:rPr>
        <w:t xml:space="preserve">/l, bien que des taux inférieurs à la limite de détection du dosage de 50 </w:t>
      </w:r>
      <w:proofErr w:type="spellStart"/>
      <w:r w:rsidRPr="003F20EE">
        <w:rPr>
          <w:rFonts w:cs="Arial"/>
          <w:lang w:val="fr"/>
        </w:rPr>
        <w:t>pmol</w:t>
      </w:r>
      <w:proofErr w:type="spellEnd"/>
      <w:r w:rsidRPr="003F20EE">
        <w:rPr>
          <w:rFonts w:cs="Arial"/>
          <w:lang w:val="fr"/>
        </w:rPr>
        <w:t xml:space="preserve">/l aient également été rapportés. La fraction libre du </w:t>
      </w:r>
      <w:proofErr w:type="spellStart"/>
      <w:r w:rsidRPr="003F20EE">
        <w:rPr>
          <w:rFonts w:cs="Arial"/>
          <w:lang w:val="fr"/>
        </w:rPr>
        <w:t>tiratricol</w:t>
      </w:r>
      <w:proofErr w:type="spellEnd"/>
      <w:r w:rsidRPr="003F20EE">
        <w:rPr>
          <w:rFonts w:cs="Arial"/>
          <w:lang w:val="fr"/>
        </w:rPr>
        <w:t xml:space="preserve"> dans le sérum est inférieure à celle de la T</w:t>
      </w:r>
      <w:r w:rsidRPr="003F20EE">
        <w:rPr>
          <w:rFonts w:cs="Arial"/>
          <w:vertAlign w:val="subscript"/>
          <w:lang w:val="fr"/>
        </w:rPr>
        <w:t>3</w:t>
      </w:r>
      <w:r w:rsidRPr="003F20EE">
        <w:rPr>
          <w:rFonts w:cs="Arial"/>
          <w:lang w:val="fr"/>
        </w:rPr>
        <w:t xml:space="preserve"> en raison d’une fixation supérieure aux protéines plasmatiques.</w:t>
      </w:r>
    </w:p>
    <w:p w14:paraId="4911ADF0" w14:textId="77777777" w:rsidR="004D5C26" w:rsidRPr="003F20EE" w:rsidRDefault="004D5C26" w:rsidP="004D5C26">
      <w:pPr>
        <w:spacing w:line="240" w:lineRule="auto"/>
        <w:rPr>
          <w:rFonts w:cs="Arial"/>
          <w:iCs/>
          <w:noProof/>
          <w:u w:val="single"/>
          <w:lang w:val="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8"/>
        <w:gridCol w:w="4348"/>
      </w:tblGrid>
      <w:tr w:rsidR="004D5C26" w:rsidRPr="003F20EE" w14:paraId="30583E65" w14:textId="77777777" w:rsidTr="009310FF">
        <w:trPr>
          <w:trHeight w:val="87"/>
        </w:trPr>
        <w:tc>
          <w:tcPr>
            <w:tcW w:w="4348" w:type="dxa"/>
            <w:tcBorders>
              <w:top w:val="single" w:sz="4" w:space="0" w:color="auto"/>
              <w:left w:val="single" w:sz="4" w:space="0" w:color="auto"/>
              <w:bottom w:val="single" w:sz="4" w:space="0" w:color="auto"/>
              <w:right w:val="single" w:sz="4" w:space="0" w:color="auto"/>
            </w:tcBorders>
            <w:hideMark/>
          </w:tcPr>
          <w:p w14:paraId="464A9CFD" w14:textId="77777777" w:rsidR="004D5C26" w:rsidRPr="003F20EE" w:rsidRDefault="004D5C26" w:rsidP="009310FF">
            <w:pPr>
              <w:spacing w:before="60" w:after="60" w:line="240" w:lineRule="auto"/>
              <w:rPr>
                <w:rFonts w:cs="Arial"/>
                <w:iCs/>
                <w:noProof/>
              </w:rPr>
            </w:pPr>
            <w:r w:rsidRPr="003F20EE">
              <w:rPr>
                <w:rFonts w:cs="Arial"/>
                <w:noProof/>
                <w:lang w:val="fr"/>
              </w:rPr>
              <w:t xml:space="preserve">Absorption </w:t>
            </w:r>
          </w:p>
        </w:tc>
        <w:tc>
          <w:tcPr>
            <w:tcW w:w="4348" w:type="dxa"/>
            <w:tcBorders>
              <w:top w:val="single" w:sz="4" w:space="0" w:color="auto"/>
              <w:left w:val="single" w:sz="4" w:space="0" w:color="auto"/>
              <w:bottom w:val="single" w:sz="4" w:space="0" w:color="auto"/>
              <w:right w:val="single" w:sz="4" w:space="0" w:color="auto"/>
            </w:tcBorders>
            <w:hideMark/>
          </w:tcPr>
          <w:p w14:paraId="377576B8" w14:textId="77777777" w:rsidR="004D5C26" w:rsidRPr="003F20EE" w:rsidRDefault="004D5C26" w:rsidP="009310FF">
            <w:pPr>
              <w:spacing w:before="60" w:after="60" w:line="240" w:lineRule="auto"/>
              <w:rPr>
                <w:rFonts w:cs="Arial"/>
                <w:iCs/>
                <w:noProof/>
              </w:rPr>
            </w:pPr>
            <w:r w:rsidRPr="003F20EE">
              <w:rPr>
                <w:rFonts w:cs="Arial"/>
                <w:noProof/>
                <w:lang w:val="fr"/>
              </w:rPr>
              <w:t xml:space="preserve">67 % de la dose orale </w:t>
            </w:r>
          </w:p>
        </w:tc>
      </w:tr>
      <w:tr w:rsidR="004D5C26" w:rsidRPr="003F20EE" w14:paraId="679907C3" w14:textId="77777777" w:rsidTr="009310FF">
        <w:trPr>
          <w:trHeight w:val="87"/>
        </w:trPr>
        <w:tc>
          <w:tcPr>
            <w:tcW w:w="4348" w:type="dxa"/>
            <w:tcBorders>
              <w:top w:val="single" w:sz="4" w:space="0" w:color="auto"/>
              <w:left w:val="single" w:sz="4" w:space="0" w:color="auto"/>
              <w:bottom w:val="single" w:sz="4" w:space="0" w:color="auto"/>
              <w:right w:val="single" w:sz="4" w:space="0" w:color="auto"/>
            </w:tcBorders>
            <w:hideMark/>
          </w:tcPr>
          <w:p w14:paraId="445E8275" w14:textId="77777777" w:rsidR="004D5C26" w:rsidRPr="003F20EE" w:rsidRDefault="004D5C26" w:rsidP="009310FF">
            <w:pPr>
              <w:spacing w:before="60" w:after="60" w:line="240" w:lineRule="auto"/>
              <w:rPr>
                <w:rFonts w:cs="Arial"/>
                <w:iCs/>
                <w:noProof/>
              </w:rPr>
            </w:pPr>
            <w:r w:rsidRPr="003F20EE">
              <w:rPr>
                <w:rFonts w:cs="Arial"/>
                <w:noProof/>
                <w:lang w:val="fr"/>
              </w:rPr>
              <w:t xml:space="preserve">Volume de distribution </w:t>
            </w:r>
          </w:p>
        </w:tc>
        <w:tc>
          <w:tcPr>
            <w:tcW w:w="4348" w:type="dxa"/>
            <w:tcBorders>
              <w:top w:val="single" w:sz="4" w:space="0" w:color="auto"/>
              <w:left w:val="single" w:sz="4" w:space="0" w:color="auto"/>
              <w:bottom w:val="single" w:sz="4" w:space="0" w:color="auto"/>
              <w:right w:val="single" w:sz="4" w:space="0" w:color="auto"/>
            </w:tcBorders>
            <w:hideMark/>
          </w:tcPr>
          <w:p w14:paraId="78BF8D34" w14:textId="77777777" w:rsidR="004D5C26" w:rsidRPr="003F20EE" w:rsidRDefault="004D5C26" w:rsidP="009310FF">
            <w:pPr>
              <w:spacing w:before="60" w:after="60" w:line="240" w:lineRule="auto"/>
              <w:rPr>
                <w:rFonts w:cs="Arial"/>
                <w:iCs/>
                <w:noProof/>
              </w:rPr>
            </w:pPr>
            <w:r w:rsidRPr="003F20EE">
              <w:rPr>
                <w:rFonts w:cs="Arial"/>
                <w:noProof/>
                <w:lang w:val="fr"/>
              </w:rPr>
              <w:t xml:space="preserve">114 l/ 70 kg (ET 9) </w:t>
            </w:r>
          </w:p>
        </w:tc>
      </w:tr>
      <w:tr w:rsidR="004D5C26" w:rsidRPr="003F20EE" w14:paraId="08C06A28" w14:textId="77777777" w:rsidTr="009310FF">
        <w:trPr>
          <w:trHeight w:val="87"/>
        </w:trPr>
        <w:tc>
          <w:tcPr>
            <w:tcW w:w="4348" w:type="dxa"/>
            <w:tcBorders>
              <w:top w:val="single" w:sz="4" w:space="0" w:color="auto"/>
              <w:left w:val="single" w:sz="4" w:space="0" w:color="auto"/>
              <w:bottom w:val="single" w:sz="4" w:space="0" w:color="auto"/>
              <w:right w:val="single" w:sz="4" w:space="0" w:color="auto"/>
            </w:tcBorders>
            <w:hideMark/>
          </w:tcPr>
          <w:p w14:paraId="74CBB80D" w14:textId="77777777" w:rsidR="004D5C26" w:rsidRPr="003F20EE" w:rsidRDefault="004D5C26" w:rsidP="009310FF">
            <w:pPr>
              <w:spacing w:before="60" w:after="60" w:line="240" w:lineRule="auto"/>
              <w:rPr>
                <w:rFonts w:cs="Arial"/>
                <w:iCs/>
                <w:noProof/>
              </w:rPr>
            </w:pPr>
            <w:r w:rsidRPr="003F20EE">
              <w:rPr>
                <w:rFonts w:cs="Arial"/>
                <w:noProof/>
                <w:lang w:val="fr"/>
              </w:rPr>
              <w:t xml:space="preserve">Vitesse de clairance plasmatique </w:t>
            </w:r>
          </w:p>
        </w:tc>
        <w:tc>
          <w:tcPr>
            <w:tcW w:w="4348" w:type="dxa"/>
            <w:tcBorders>
              <w:top w:val="single" w:sz="4" w:space="0" w:color="auto"/>
              <w:left w:val="single" w:sz="4" w:space="0" w:color="auto"/>
              <w:bottom w:val="single" w:sz="4" w:space="0" w:color="auto"/>
              <w:right w:val="single" w:sz="4" w:space="0" w:color="auto"/>
            </w:tcBorders>
            <w:hideMark/>
          </w:tcPr>
          <w:p w14:paraId="4660C05C" w14:textId="77777777" w:rsidR="004D5C26" w:rsidRPr="003F20EE" w:rsidRDefault="004D5C26" w:rsidP="009310FF">
            <w:pPr>
              <w:spacing w:before="60" w:after="60" w:line="240" w:lineRule="auto"/>
              <w:rPr>
                <w:rFonts w:cs="Arial"/>
                <w:iCs/>
                <w:noProof/>
              </w:rPr>
            </w:pPr>
            <w:r w:rsidRPr="003F20EE">
              <w:rPr>
                <w:rFonts w:cs="Arial"/>
                <w:noProof/>
                <w:lang w:val="fr"/>
              </w:rPr>
              <w:t xml:space="preserve">Comprise entre 222 l/70 kg/jour (ET 37) et 298 l/70 kg/jour (ET 9) </w:t>
            </w:r>
          </w:p>
        </w:tc>
      </w:tr>
      <w:tr w:rsidR="004D5C26" w:rsidRPr="003F20EE" w14:paraId="7321568F" w14:textId="77777777" w:rsidTr="009310FF">
        <w:trPr>
          <w:trHeight w:val="87"/>
        </w:trPr>
        <w:tc>
          <w:tcPr>
            <w:tcW w:w="4348" w:type="dxa"/>
            <w:tcBorders>
              <w:top w:val="single" w:sz="4" w:space="0" w:color="auto"/>
              <w:left w:val="single" w:sz="4" w:space="0" w:color="auto"/>
              <w:bottom w:val="single" w:sz="4" w:space="0" w:color="auto"/>
              <w:right w:val="single" w:sz="4" w:space="0" w:color="auto"/>
            </w:tcBorders>
            <w:hideMark/>
          </w:tcPr>
          <w:p w14:paraId="58B5471D" w14:textId="77777777" w:rsidR="004D5C26" w:rsidRPr="003F20EE" w:rsidRDefault="004D5C26" w:rsidP="009310FF">
            <w:pPr>
              <w:spacing w:before="60" w:after="60" w:line="240" w:lineRule="auto"/>
              <w:rPr>
                <w:rFonts w:cs="Arial"/>
                <w:iCs/>
                <w:noProof/>
              </w:rPr>
            </w:pPr>
            <w:r w:rsidRPr="003F20EE">
              <w:rPr>
                <w:rFonts w:cs="Arial"/>
                <w:noProof/>
                <w:lang w:val="fr"/>
              </w:rPr>
              <w:t xml:space="preserve">Demi-vie plasmatique </w:t>
            </w:r>
          </w:p>
        </w:tc>
        <w:tc>
          <w:tcPr>
            <w:tcW w:w="4348" w:type="dxa"/>
            <w:tcBorders>
              <w:top w:val="single" w:sz="4" w:space="0" w:color="auto"/>
              <w:left w:val="single" w:sz="4" w:space="0" w:color="auto"/>
              <w:bottom w:val="single" w:sz="4" w:space="0" w:color="auto"/>
              <w:right w:val="single" w:sz="4" w:space="0" w:color="auto"/>
            </w:tcBorders>
            <w:hideMark/>
          </w:tcPr>
          <w:p w14:paraId="3D76016C" w14:textId="77777777" w:rsidR="004D5C26" w:rsidRPr="003F20EE" w:rsidRDefault="004D5C26" w:rsidP="009310FF">
            <w:pPr>
              <w:spacing w:before="60" w:after="60" w:line="240" w:lineRule="auto"/>
              <w:rPr>
                <w:rFonts w:cs="Arial"/>
                <w:iCs/>
                <w:noProof/>
              </w:rPr>
            </w:pPr>
            <w:r w:rsidRPr="003F20EE">
              <w:rPr>
                <w:rFonts w:cs="Arial"/>
                <w:noProof/>
                <w:lang w:val="fr"/>
              </w:rPr>
              <w:t xml:space="preserve">6 h 22 min (ET 29 min) </w:t>
            </w:r>
          </w:p>
        </w:tc>
      </w:tr>
      <w:tr w:rsidR="004D5C26" w:rsidRPr="003F20EE" w14:paraId="088A17DF" w14:textId="77777777" w:rsidTr="009310FF">
        <w:trPr>
          <w:trHeight w:val="87"/>
        </w:trPr>
        <w:tc>
          <w:tcPr>
            <w:tcW w:w="4348" w:type="dxa"/>
            <w:tcBorders>
              <w:top w:val="single" w:sz="4" w:space="0" w:color="auto"/>
              <w:left w:val="single" w:sz="4" w:space="0" w:color="auto"/>
              <w:bottom w:val="single" w:sz="4" w:space="0" w:color="auto"/>
              <w:right w:val="single" w:sz="4" w:space="0" w:color="auto"/>
            </w:tcBorders>
            <w:hideMark/>
          </w:tcPr>
          <w:p w14:paraId="6102B358" w14:textId="77777777" w:rsidR="004D5C26" w:rsidRPr="003F20EE" w:rsidRDefault="004D5C26" w:rsidP="009310FF">
            <w:pPr>
              <w:spacing w:before="60" w:after="60" w:line="240" w:lineRule="auto"/>
              <w:rPr>
                <w:rFonts w:cs="Arial"/>
                <w:iCs/>
                <w:noProof/>
              </w:rPr>
            </w:pPr>
            <w:r w:rsidRPr="003F20EE">
              <w:rPr>
                <w:rFonts w:cs="Arial"/>
                <w:noProof/>
                <w:lang w:val="fr"/>
              </w:rPr>
              <w:t>Voie métabolique</w:t>
            </w:r>
          </w:p>
        </w:tc>
        <w:tc>
          <w:tcPr>
            <w:tcW w:w="4348" w:type="dxa"/>
            <w:tcBorders>
              <w:top w:val="single" w:sz="4" w:space="0" w:color="auto"/>
              <w:left w:val="single" w:sz="4" w:space="0" w:color="auto"/>
              <w:bottom w:val="single" w:sz="4" w:space="0" w:color="auto"/>
              <w:right w:val="single" w:sz="4" w:space="0" w:color="auto"/>
            </w:tcBorders>
            <w:hideMark/>
          </w:tcPr>
          <w:p w14:paraId="3FA71980" w14:textId="77777777" w:rsidR="004D5C26" w:rsidRPr="003F20EE" w:rsidRDefault="004D5C26" w:rsidP="009310FF">
            <w:pPr>
              <w:spacing w:before="60" w:after="60" w:line="240" w:lineRule="auto"/>
              <w:rPr>
                <w:rFonts w:cs="Arial"/>
                <w:iCs/>
                <w:noProof/>
              </w:rPr>
            </w:pPr>
            <w:r w:rsidRPr="003F20EE">
              <w:rPr>
                <w:rFonts w:cs="Arial"/>
                <w:noProof/>
                <w:lang w:val="fr"/>
              </w:rPr>
              <w:t xml:space="preserve">Désiodation </w:t>
            </w:r>
          </w:p>
        </w:tc>
      </w:tr>
      <w:tr w:rsidR="004D5C26" w:rsidRPr="003F20EE" w14:paraId="39BDE780" w14:textId="77777777" w:rsidTr="009310FF">
        <w:trPr>
          <w:trHeight w:val="213"/>
        </w:trPr>
        <w:tc>
          <w:tcPr>
            <w:tcW w:w="4348" w:type="dxa"/>
            <w:tcBorders>
              <w:top w:val="single" w:sz="4" w:space="0" w:color="auto"/>
              <w:left w:val="single" w:sz="4" w:space="0" w:color="auto"/>
              <w:bottom w:val="single" w:sz="4" w:space="0" w:color="auto"/>
              <w:right w:val="single" w:sz="4" w:space="0" w:color="auto"/>
            </w:tcBorders>
            <w:hideMark/>
          </w:tcPr>
          <w:p w14:paraId="34C28DB8" w14:textId="77777777" w:rsidR="004D5C26" w:rsidRPr="003F20EE" w:rsidRDefault="004D5C26" w:rsidP="009310FF">
            <w:pPr>
              <w:spacing w:before="60" w:after="60" w:line="240" w:lineRule="auto"/>
              <w:rPr>
                <w:rFonts w:cs="Arial"/>
                <w:iCs/>
                <w:noProof/>
              </w:rPr>
            </w:pPr>
            <w:r w:rsidRPr="003F20EE">
              <w:rPr>
                <w:rFonts w:cs="Arial"/>
                <w:noProof/>
                <w:lang w:val="fr"/>
              </w:rPr>
              <w:t xml:space="preserve">Biodisponibilité </w:t>
            </w:r>
          </w:p>
        </w:tc>
        <w:tc>
          <w:tcPr>
            <w:tcW w:w="4348" w:type="dxa"/>
            <w:tcBorders>
              <w:top w:val="single" w:sz="4" w:space="0" w:color="auto"/>
              <w:left w:val="single" w:sz="4" w:space="0" w:color="auto"/>
              <w:bottom w:val="single" w:sz="4" w:space="0" w:color="auto"/>
              <w:right w:val="single" w:sz="4" w:space="0" w:color="auto"/>
            </w:tcBorders>
            <w:hideMark/>
          </w:tcPr>
          <w:p w14:paraId="26C39F2A" w14:textId="77777777" w:rsidR="004D5C26" w:rsidRPr="003F20EE" w:rsidRDefault="004D5C26" w:rsidP="009310FF">
            <w:pPr>
              <w:spacing w:before="60" w:after="60" w:line="240" w:lineRule="auto"/>
              <w:rPr>
                <w:rFonts w:cs="Arial"/>
                <w:iCs/>
                <w:noProof/>
              </w:rPr>
            </w:pPr>
            <w:r w:rsidRPr="003F20EE">
              <w:rPr>
                <w:rFonts w:cs="Arial"/>
                <w:noProof/>
                <w:lang w:val="fr"/>
              </w:rPr>
              <w:t xml:space="preserve">L’administration orale de 1 050 µg de tiratricol a conduit à des taux sériques pics de 60 nmol/l, 40 minutes après l’ingestion. </w:t>
            </w:r>
          </w:p>
        </w:tc>
      </w:tr>
      <w:tr w:rsidR="004D5C26" w:rsidRPr="003F20EE" w14:paraId="326ECA78" w14:textId="77777777" w:rsidTr="009310FF">
        <w:trPr>
          <w:trHeight w:val="212"/>
        </w:trPr>
        <w:tc>
          <w:tcPr>
            <w:tcW w:w="4348" w:type="dxa"/>
            <w:tcBorders>
              <w:top w:val="single" w:sz="4" w:space="0" w:color="auto"/>
              <w:left w:val="single" w:sz="4" w:space="0" w:color="auto"/>
              <w:bottom w:val="single" w:sz="4" w:space="0" w:color="auto"/>
              <w:right w:val="single" w:sz="4" w:space="0" w:color="auto"/>
            </w:tcBorders>
            <w:hideMark/>
          </w:tcPr>
          <w:p w14:paraId="4566D9CA" w14:textId="77777777" w:rsidR="004D5C26" w:rsidRPr="003F20EE" w:rsidRDefault="004D5C26" w:rsidP="009310FF">
            <w:pPr>
              <w:spacing w:before="60" w:after="60" w:line="240" w:lineRule="auto"/>
              <w:rPr>
                <w:rFonts w:cs="Arial"/>
                <w:iCs/>
                <w:noProof/>
              </w:rPr>
            </w:pPr>
            <w:r w:rsidRPr="003F20EE">
              <w:rPr>
                <w:rFonts w:cs="Arial"/>
                <w:noProof/>
                <w:lang w:val="fr"/>
              </w:rPr>
              <w:t xml:space="preserve">Fixation aux protéines plasmatiques </w:t>
            </w:r>
          </w:p>
        </w:tc>
        <w:tc>
          <w:tcPr>
            <w:tcW w:w="4348" w:type="dxa"/>
            <w:tcBorders>
              <w:top w:val="single" w:sz="4" w:space="0" w:color="auto"/>
              <w:left w:val="single" w:sz="4" w:space="0" w:color="auto"/>
              <w:bottom w:val="single" w:sz="4" w:space="0" w:color="auto"/>
              <w:right w:val="single" w:sz="4" w:space="0" w:color="auto"/>
            </w:tcBorders>
            <w:hideMark/>
          </w:tcPr>
          <w:p w14:paraId="15BDEE61" w14:textId="77777777" w:rsidR="004D5C26" w:rsidRPr="003F20EE" w:rsidRDefault="004D5C26" w:rsidP="009310FF">
            <w:pPr>
              <w:spacing w:before="60" w:after="60" w:line="240" w:lineRule="auto"/>
              <w:rPr>
                <w:rFonts w:cs="Arial"/>
                <w:iCs/>
                <w:noProof/>
              </w:rPr>
            </w:pPr>
            <w:r w:rsidRPr="003F20EE">
              <w:rPr>
                <w:rFonts w:cs="Arial"/>
                <w:noProof/>
                <w:lang w:val="fr"/>
              </w:rPr>
              <w:t xml:space="preserve">Chez le rat : rapport de fixation plasmatique 100 – 200 (= 1-fraction dialysable / fraction dialysable). Non décrit dans l’espèce humaine. </w:t>
            </w:r>
          </w:p>
        </w:tc>
      </w:tr>
    </w:tbl>
    <w:p w14:paraId="5F5A1F28" w14:textId="77777777" w:rsidR="004D5C26" w:rsidRPr="003F20EE" w:rsidRDefault="004D5C26" w:rsidP="004D5C26">
      <w:pPr>
        <w:spacing w:line="240" w:lineRule="auto"/>
        <w:rPr>
          <w:rFonts w:cs="Arial"/>
          <w:iCs/>
          <w:noProof/>
          <w:u w:val="single"/>
        </w:rPr>
      </w:pPr>
    </w:p>
    <w:p w14:paraId="1F6A18E6" w14:textId="77777777" w:rsidR="004D5C26" w:rsidRPr="003F20EE" w:rsidRDefault="004D5C26" w:rsidP="004D5C26">
      <w:pPr>
        <w:spacing w:line="240" w:lineRule="auto"/>
        <w:rPr>
          <w:rFonts w:cs="Arial"/>
          <w:iCs/>
          <w:noProof/>
        </w:rPr>
      </w:pPr>
      <w:r w:rsidRPr="003F20EE">
        <w:rPr>
          <w:rFonts w:cs="Arial"/>
          <w:noProof/>
          <w:lang w:val="fr"/>
        </w:rPr>
        <w:t>Les données pharmacocinétiques ont été obtenues chez des hommes en bonne santé (entre 30 et 50 ans ; poids moyen 69 kg ; ET 9 kg) sans altération connue de la fonction organique. Certaines caractéristiques n’ont pas été évaluées dans l’espèce humaine ; dans ce cas, les données mentionnées sont celles obtenues chez l’animal ou in vitro.</w:t>
      </w:r>
    </w:p>
    <w:p w14:paraId="444A0174" w14:textId="77777777" w:rsidR="004D5C26" w:rsidRPr="003F20EE" w:rsidRDefault="004D5C26" w:rsidP="004D5C26">
      <w:pPr>
        <w:spacing w:line="240" w:lineRule="auto"/>
        <w:rPr>
          <w:rFonts w:cs="Arial"/>
          <w:iCs/>
          <w:noProof/>
          <w:u w:val="single"/>
        </w:rPr>
      </w:pPr>
      <w:r w:rsidRPr="003F20EE">
        <w:rPr>
          <w:rFonts w:cs="Arial"/>
          <w:noProof/>
          <w:u w:val="single"/>
          <w:lang w:val="fr"/>
        </w:rPr>
        <w:t>Relation(s) pharmacocinétique/pharmacodynamique</w:t>
      </w:r>
    </w:p>
    <w:p w14:paraId="66268712" w14:textId="77777777" w:rsidR="004D5C26" w:rsidRPr="003F20EE" w:rsidRDefault="004D5C26" w:rsidP="004D5C26">
      <w:pPr>
        <w:spacing w:line="240" w:lineRule="auto"/>
        <w:rPr>
          <w:rFonts w:cs="Arial"/>
          <w:iCs/>
          <w:noProof/>
          <w:u w:val="single"/>
        </w:rPr>
      </w:pPr>
      <w:r w:rsidRPr="003F20EE">
        <w:rPr>
          <w:rFonts w:cs="Arial"/>
          <w:noProof/>
          <w:lang w:val="fr"/>
        </w:rPr>
        <w:t>Dans l’essai clinique étudiant l’effet du tiratricol chez des patients présentant un déficit en MCT8, la dose a été titrée individuellement sur la base des taux de T</w:t>
      </w:r>
      <w:r w:rsidRPr="003F20EE">
        <w:rPr>
          <w:rFonts w:cs="Arial"/>
          <w:noProof/>
          <w:vertAlign w:val="subscript"/>
          <w:lang w:val="fr"/>
        </w:rPr>
        <w:t>3</w:t>
      </w:r>
      <w:r w:rsidRPr="003F20EE">
        <w:rPr>
          <w:rFonts w:cs="Arial"/>
          <w:noProof/>
          <w:lang w:val="fr"/>
        </w:rPr>
        <w:t>, de TSH et de (F)T</w:t>
      </w:r>
      <w:r w:rsidRPr="003F20EE">
        <w:rPr>
          <w:rFonts w:cs="Arial"/>
          <w:noProof/>
          <w:vertAlign w:val="subscript"/>
          <w:lang w:val="fr"/>
        </w:rPr>
        <w:t>4</w:t>
      </w:r>
      <w:r w:rsidRPr="003F20EE">
        <w:rPr>
          <w:rFonts w:cs="Arial"/>
          <w:noProof/>
          <w:lang w:val="fr"/>
        </w:rPr>
        <w:t>.</w:t>
      </w:r>
    </w:p>
    <w:p w14:paraId="6F18A5C3" w14:textId="77777777" w:rsidR="004D5C26" w:rsidRPr="003F20EE" w:rsidRDefault="004D5C26" w:rsidP="004D5C26">
      <w:pPr>
        <w:numPr>
          <w:ilvl w:val="12"/>
          <w:numId w:val="0"/>
        </w:numPr>
        <w:spacing w:line="240" w:lineRule="auto"/>
        <w:ind w:right="-2"/>
        <w:rPr>
          <w:rFonts w:cs="Arial"/>
          <w:iCs/>
          <w:noProof/>
        </w:rPr>
      </w:pPr>
    </w:p>
    <w:p w14:paraId="1F9C1D15" w14:textId="77777777" w:rsidR="004D5C26" w:rsidRPr="003F20EE" w:rsidRDefault="004D5C26" w:rsidP="004D5C26">
      <w:pPr>
        <w:spacing w:line="240" w:lineRule="auto"/>
        <w:ind w:left="567" w:hanging="567"/>
        <w:outlineLvl w:val="0"/>
        <w:rPr>
          <w:rFonts w:cs="Arial"/>
          <w:noProof/>
        </w:rPr>
      </w:pPr>
      <w:r w:rsidRPr="003F20EE">
        <w:rPr>
          <w:rFonts w:cs="Arial"/>
          <w:b/>
          <w:bCs/>
          <w:noProof/>
          <w:lang w:val="fr"/>
        </w:rPr>
        <w:t>5.3</w:t>
      </w:r>
      <w:r w:rsidRPr="003F20EE">
        <w:rPr>
          <w:rFonts w:cs="Arial"/>
          <w:b/>
          <w:bCs/>
          <w:noProof/>
          <w:lang w:val="fr"/>
        </w:rPr>
        <w:tab/>
        <w:t>Données précliniques de sécurité</w:t>
      </w:r>
    </w:p>
    <w:p w14:paraId="43147031" w14:textId="77777777" w:rsidR="004D5C26" w:rsidRPr="003F20EE" w:rsidRDefault="004D5C26" w:rsidP="004D5C26">
      <w:pPr>
        <w:spacing w:line="240" w:lineRule="auto"/>
        <w:rPr>
          <w:rFonts w:cs="Arial"/>
          <w:noProof/>
        </w:rPr>
      </w:pPr>
      <w:r w:rsidRPr="003F20EE">
        <w:rPr>
          <w:rFonts w:cs="Arial"/>
          <w:noProof/>
          <w:lang w:val="fr"/>
        </w:rPr>
        <w:lastRenderedPageBreak/>
        <w:t xml:space="preserve">Aucune étude conventionnelle évaluant la génotoxicité, le potentiel carcinogène et la toxicité de reproduction du tiratricol n’a été conduite. </w:t>
      </w:r>
    </w:p>
    <w:p w14:paraId="0220DF2C" w14:textId="77777777" w:rsidR="004D5C26" w:rsidRPr="003F20EE" w:rsidRDefault="004D5C26" w:rsidP="004D5C26">
      <w:pPr>
        <w:spacing w:line="240" w:lineRule="auto"/>
        <w:rPr>
          <w:rFonts w:cs="Arial"/>
          <w:noProof/>
        </w:rPr>
      </w:pPr>
      <w:r w:rsidRPr="003F20EE">
        <w:rPr>
          <w:rFonts w:cs="Arial"/>
          <w:lang w:val="fr"/>
        </w:rPr>
        <w:t xml:space="preserve">Les données de la littérature ne révèlent pas de risque particulier, sur la base des études conventionnelles de toxicité de dose unique et de toxicité en administration répétée. </w:t>
      </w:r>
      <w:r w:rsidRPr="003F20EE">
        <w:rPr>
          <w:rFonts w:cs="Arial"/>
          <w:noProof/>
          <w:lang w:val="fr"/>
        </w:rPr>
        <w:t>Les effets notables liés à la sécurité du tiratricol dans les études non cliniques ayant été décrits dans la littérature peuvent être décrits au mieux comme des effets pharmacodynamiques secondaires ou exagérés, en ligne avec les effets physiologiques du tiratricol. Aucun effet toxique direct n’a été décrit. Le tiratricol étant une substance endogène chez les animaux et dans l’espèce humaine, les études de toxicité classiques ne sont pas justifiées.</w:t>
      </w:r>
    </w:p>
    <w:p w14:paraId="421E4685" w14:textId="77777777" w:rsidR="004D5C26" w:rsidRPr="00687165" w:rsidRDefault="004D5C26" w:rsidP="004D5C26">
      <w:pPr>
        <w:spacing w:line="240" w:lineRule="auto"/>
        <w:rPr>
          <w:noProof/>
        </w:rPr>
      </w:pPr>
    </w:p>
    <w:p w14:paraId="1E842441" w14:textId="77777777" w:rsidR="004D5C26" w:rsidRPr="00655A54" w:rsidRDefault="004D5C26" w:rsidP="004D5C26">
      <w:pPr>
        <w:suppressAutoHyphens/>
        <w:spacing w:line="240" w:lineRule="auto"/>
        <w:ind w:left="567" w:hanging="567"/>
        <w:rPr>
          <w:b/>
          <w:noProof/>
        </w:rPr>
      </w:pPr>
      <w:r>
        <w:rPr>
          <w:b/>
          <w:bCs/>
          <w:noProof/>
          <w:lang w:val="fr"/>
        </w:rPr>
        <w:t>6.</w:t>
      </w:r>
      <w:r>
        <w:rPr>
          <w:b/>
          <w:bCs/>
          <w:noProof/>
          <w:lang w:val="fr"/>
        </w:rPr>
        <w:tab/>
        <w:t>DONNÉES PHARMACEUTIQUES</w:t>
      </w:r>
    </w:p>
    <w:p w14:paraId="4E6F841D" w14:textId="77777777" w:rsidR="004D5C26" w:rsidRPr="00687165" w:rsidRDefault="004D5C26" w:rsidP="004D5C26">
      <w:pPr>
        <w:spacing w:line="240" w:lineRule="auto"/>
        <w:ind w:left="567" w:hanging="567"/>
        <w:outlineLvl w:val="0"/>
        <w:rPr>
          <w:noProof/>
        </w:rPr>
      </w:pPr>
      <w:r>
        <w:rPr>
          <w:b/>
          <w:bCs/>
          <w:noProof/>
          <w:lang w:val="fr"/>
        </w:rPr>
        <w:t>6.1</w:t>
      </w:r>
      <w:r>
        <w:rPr>
          <w:b/>
          <w:bCs/>
          <w:noProof/>
          <w:lang w:val="fr"/>
        </w:rPr>
        <w:tab/>
        <w:t>Liste des excipients</w:t>
      </w:r>
    </w:p>
    <w:p w14:paraId="272C36B6" w14:textId="77777777" w:rsidR="004D5C26" w:rsidRPr="00687165" w:rsidRDefault="004D5C26" w:rsidP="004D5C26">
      <w:pPr>
        <w:spacing w:line="240" w:lineRule="auto"/>
        <w:rPr>
          <w:noProof/>
        </w:rPr>
      </w:pPr>
      <w:r>
        <w:rPr>
          <w:noProof/>
          <w:lang w:val="fr"/>
        </w:rPr>
        <w:t>Lactose monohydraté</w:t>
      </w:r>
    </w:p>
    <w:p w14:paraId="663BA65A" w14:textId="77777777" w:rsidR="004D5C26" w:rsidRPr="00687165" w:rsidRDefault="004D5C26" w:rsidP="004D5C26">
      <w:pPr>
        <w:spacing w:line="240" w:lineRule="auto"/>
        <w:rPr>
          <w:noProof/>
        </w:rPr>
      </w:pPr>
      <w:r>
        <w:rPr>
          <w:noProof/>
          <w:lang w:val="fr"/>
        </w:rPr>
        <w:t>Hydrogénophosphate de calcium dihydraté</w:t>
      </w:r>
    </w:p>
    <w:p w14:paraId="1969BA6B" w14:textId="77777777" w:rsidR="004D5C26" w:rsidRPr="00687165" w:rsidRDefault="004D5C26" w:rsidP="004D5C26">
      <w:pPr>
        <w:spacing w:line="240" w:lineRule="auto"/>
        <w:rPr>
          <w:noProof/>
        </w:rPr>
      </w:pPr>
      <w:r>
        <w:rPr>
          <w:noProof/>
          <w:lang w:val="fr"/>
        </w:rPr>
        <w:t>Amidon de maïs</w:t>
      </w:r>
    </w:p>
    <w:p w14:paraId="082147AF" w14:textId="77777777" w:rsidR="004D5C26" w:rsidRDefault="004D5C26" w:rsidP="004D5C26">
      <w:pPr>
        <w:spacing w:line="240" w:lineRule="auto"/>
        <w:rPr>
          <w:noProof/>
          <w:lang w:val="fr"/>
        </w:rPr>
      </w:pPr>
      <w:r>
        <w:rPr>
          <w:noProof/>
          <w:lang w:val="fr"/>
        </w:rPr>
        <w:t>Stéarate de magnésium</w:t>
      </w:r>
    </w:p>
    <w:p w14:paraId="7FC7A983" w14:textId="77777777" w:rsidR="004D5C26" w:rsidRPr="00687165" w:rsidRDefault="004D5C26" w:rsidP="004D5C26">
      <w:pPr>
        <w:spacing w:line="240" w:lineRule="auto"/>
        <w:rPr>
          <w:noProof/>
        </w:rPr>
      </w:pPr>
    </w:p>
    <w:p w14:paraId="29BEF57C" w14:textId="77777777" w:rsidR="004D5C26" w:rsidRPr="00687165" w:rsidRDefault="004D5C26" w:rsidP="004D5C26">
      <w:pPr>
        <w:spacing w:line="240" w:lineRule="auto"/>
        <w:ind w:left="567" w:hanging="567"/>
        <w:outlineLvl w:val="0"/>
        <w:rPr>
          <w:noProof/>
        </w:rPr>
      </w:pPr>
      <w:r>
        <w:rPr>
          <w:b/>
          <w:bCs/>
          <w:noProof/>
          <w:lang w:val="fr"/>
        </w:rPr>
        <w:t>6.2</w:t>
      </w:r>
      <w:r>
        <w:rPr>
          <w:b/>
          <w:bCs/>
          <w:noProof/>
          <w:lang w:val="fr"/>
        </w:rPr>
        <w:tab/>
        <w:t>Incompatibilités</w:t>
      </w:r>
    </w:p>
    <w:p w14:paraId="1DDC694B" w14:textId="77777777" w:rsidR="004D5C26" w:rsidRDefault="004D5C26" w:rsidP="004D5C26">
      <w:pPr>
        <w:spacing w:line="240" w:lineRule="auto"/>
        <w:rPr>
          <w:noProof/>
          <w:lang w:val="fr"/>
        </w:rPr>
      </w:pPr>
      <w:r>
        <w:rPr>
          <w:noProof/>
          <w:lang w:val="fr"/>
        </w:rPr>
        <w:t>Sans objet</w:t>
      </w:r>
    </w:p>
    <w:p w14:paraId="2BC03485" w14:textId="77777777" w:rsidR="004D5C26" w:rsidRPr="00687165" w:rsidRDefault="004D5C26" w:rsidP="004D5C26">
      <w:pPr>
        <w:spacing w:line="240" w:lineRule="auto"/>
        <w:rPr>
          <w:noProof/>
        </w:rPr>
      </w:pPr>
    </w:p>
    <w:p w14:paraId="07AB96BB" w14:textId="77777777" w:rsidR="004D5C26" w:rsidRPr="00687165" w:rsidRDefault="004D5C26" w:rsidP="004D5C26">
      <w:pPr>
        <w:spacing w:line="240" w:lineRule="auto"/>
        <w:ind w:left="567" w:hanging="567"/>
        <w:outlineLvl w:val="0"/>
        <w:rPr>
          <w:noProof/>
        </w:rPr>
      </w:pPr>
      <w:r>
        <w:rPr>
          <w:b/>
          <w:bCs/>
          <w:noProof/>
          <w:lang w:val="fr"/>
        </w:rPr>
        <w:t>6.3</w:t>
      </w:r>
      <w:r>
        <w:rPr>
          <w:b/>
          <w:bCs/>
          <w:noProof/>
          <w:lang w:val="fr"/>
        </w:rPr>
        <w:tab/>
        <w:t>Durée de conservation</w:t>
      </w:r>
    </w:p>
    <w:p w14:paraId="5CC23130" w14:textId="77777777" w:rsidR="004D5C26" w:rsidRPr="00687165" w:rsidRDefault="004D5C26" w:rsidP="004D5C26">
      <w:pPr>
        <w:spacing w:line="240" w:lineRule="auto"/>
        <w:rPr>
          <w:noProof/>
        </w:rPr>
      </w:pPr>
      <w:r>
        <w:rPr>
          <w:noProof/>
          <w:lang w:val="fr"/>
        </w:rPr>
        <w:t>18 mois</w:t>
      </w:r>
    </w:p>
    <w:p w14:paraId="20E5F38D" w14:textId="77777777" w:rsidR="004D5C26" w:rsidRPr="00687165" w:rsidRDefault="004D5C26" w:rsidP="004D5C26">
      <w:pPr>
        <w:spacing w:line="240" w:lineRule="auto"/>
        <w:rPr>
          <w:noProof/>
        </w:rPr>
      </w:pPr>
    </w:p>
    <w:p w14:paraId="30BD3E64" w14:textId="77777777" w:rsidR="004D5C26" w:rsidRPr="00687165" w:rsidRDefault="004D5C26" w:rsidP="004D5C26">
      <w:pPr>
        <w:spacing w:line="240" w:lineRule="auto"/>
        <w:ind w:left="567" w:hanging="567"/>
        <w:outlineLvl w:val="0"/>
        <w:rPr>
          <w:b/>
          <w:noProof/>
        </w:rPr>
      </w:pPr>
      <w:r>
        <w:rPr>
          <w:b/>
          <w:bCs/>
          <w:noProof/>
          <w:lang w:val="fr"/>
        </w:rPr>
        <w:t>6.4</w:t>
      </w:r>
      <w:r>
        <w:rPr>
          <w:b/>
          <w:bCs/>
          <w:noProof/>
          <w:lang w:val="fr"/>
        </w:rPr>
        <w:tab/>
        <w:t>Précautions particulières de conservation</w:t>
      </w:r>
    </w:p>
    <w:p w14:paraId="670F57D2" w14:textId="77777777" w:rsidR="004D5C26" w:rsidRPr="00687165" w:rsidRDefault="004D5C26" w:rsidP="004D5C26">
      <w:pPr>
        <w:spacing w:line="240" w:lineRule="auto"/>
      </w:pPr>
      <w:r>
        <w:rPr>
          <w:lang w:val="fr"/>
        </w:rPr>
        <w:t>Ce médicament ne nécessite pas de précautions particulières de conservation.</w:t>
      </w:r>
    </w:p>
    <w:p w14:paraId="52A8F6CB" w14:textId="77777777" w:rsidR="004D5C26" w:rsidRPr="00687165" w:rsidRDefault="004D5C26" w:rsidP="004D5C26">
      <w:pPr>
        <w:spacing w:line="240" w:lineRule="auto"/>
        <w:rPr>
          <w:noProof/>
        </w:rPr>
      </w:pPr>
    </w:p>
    <w:p w14:paraId="3710ABFA" w14:textId="77777777" w:rsidR="004D5C26" w:rsidRPr="00687165" w:rsidRDefault="004D5C26" w:rsidP="004D5C26">
      <w:pPr>
        <w:spacing w:line="240" w:lineRule="auto"/>
        <w:ind w:left="567" w:hanging="567"/>
        <w:outlineLvl w:val="0"/>
        <w:rPr>
          <w:b/>
          <w:noProof/>
        </w:rPr>
      </w:pPr>
      <w:r>
        <w:rPr>
          <w:b/>
          <w:bCs/>
          <w:noProof/>
          <w:lang w:val="fr"/>
        </w:rPr>
        <w:t>6.5</w:t>
      </w:r>
      <w:r>
        <w:rPr>
          <w:b/>
          <w:bCs/>
          <w:noProof/>
          <w:lang w:val="fr"/>
        </w:rPr>
        <w:tab/>
        <w:t>Nature et contenu de l’emballage extérieur</w:t>
      </w:r>
    </w:p>
    <w:p w14:paraId="15A274AF" w14:textId="77777777" w:rsidR="004D5C26" w:rsidRPr="00687165" w:rsidRDefault="004D5C26" w:rsidP="004D5C26">
      <w:pPr>
        <w:spacing w:line="240" w:lineRule="auto"/>
        <w:rPr>
          <w:noProof/>
        </w:rPr>
      </w:pPr>
      <w:r>
        <w:rPr>
          <w:noProof/>
          <w:lang w:val="fr"/>
        </w:rPr>
        <w:t>Plaquette thermoformée en PVC/aluminium, 60 comprimés.</w:t>
      </w:r>
    </w:p>
    <w:p w14:paraId="14630F68" w14:textId="77777777" w:rsidR="004D5C26" w:rsidRPr="00687165" w:rsidRDefault="004D5C26" w:rsidP="004D5C26">
      <w:pPr>
        <w:spacing w:line="240" w:lineRule="auto"/>
        <w:rPr>
          <w:noProof/>
        </w:rPr>
      </w:pPr>
    </w:p>
    <w:p w14:paraId="3752B43E" w14:textId="77777777" w:rsidR="004D5C26" w:rsidRPr="00687165" w:rsidRDefault="004D5C26" w:rsidP="004D5C26">
      <w:pPr>
        <w:spacing w:line="240" w:lineRule="auto"/>
        <w:ind w:left="567" w:hanging="567"/>
        <w:outlineLvl w:val="0"/>
        <w:rPr>
          <w:noProof/>
        </w:rPr>
      </w:pPr>
      <w:r>
        <w:rPr>
          <w:b/>
          <w:bCs/>
          <w:noProof/>
          <w:lang w:val="fr"/>
        </w:rPr>
        <w:t>6.6</w:t>
      </w:r>
      <w:r>
        <w:rPr>
          <w:b/>
          <w:bCs/>
          <w:noProof/>
          <w:lang w:val="fr"/>
        </w:rPr>
        <w:tab/>
        <w:t xml:space="preserve">Précautions particulières d’élimination </w:t>
      </w:r>
    </w:p>
    <w:p w14:paraId="7AD96F7C" w14:textId="77777777" w:rsidR="004D5C26" w:rsidRDefault="004D5C26" w:rsidP="004D5C26">
      <w:pPr>
        <w:spacing w:line="240" w:lineRule="auto"/>
        <w:rPr>
          <w:lang w:val="fr"/>
        </w:rPr>
      </w:pPr>
      <w:r>
        <w:rPr>
          <w:lang w:val="fr"/>
        </w:rPr>
        <w:t>Tout médicament non utilisé ou déchet doit être éliminé conformément à la réglementation en vigueur.</w:t>
      </w:r>
    </w:p>
    <w:p w14:paraId="56A4A359" w14:textId="2A949202" w:rsidR="00381DC2" w:rsidRDefault="00381DC2" w:rsidP="004D5C26">
      <w:pPr>
        <w:spacing w:before="0" w:after="0" w:line="240" w:lineRule="auto"/>
        <w:jc w:val="left"/>
        <w:rPr>
          <w:lang w:val="fr"/>
        </w:rPr>
      </w:pPr>
    </w:p>
    <w:p w14:paraId="3DF8EC1D" w14:textId="77777777" w:rsidR="00CC0885" w:rsidRDefault="00CC0885" w:rsidP="004D5C26">
      <w:pPr>
        <w:spacing w:before="0" w:after="0" w:line="240" w:lineRule="auto"/>
        <w:jc w:val="left"/>
        <w:rPr>
          <w:lang w:val="fr"/>
        </w:rPr>
      </w:pPr>
    </w:p>
    <w:p w14:paraId="02313681" w14:textId="61442729" w:rsidR="00CC0885" w:rsidRPr="004D5C26" w:rsidRDefault="00CC0885" w:rsidP="004D5C26">
      <w:pPr>
        <w:spacing w:before="0" w:after="0" w:line="240" w:lineRule="auto"/>
        <w:jc w:val="left"/>
        <w:rPr>
          <w:lang w:val="fr"/>
        </w:rPr>
      </w:pPr>
      <w:r>
        <w:rPr>
          <w:lang w:val="fr"/>
        </w:rPr>
        <w:t xml:space="preserve">Version en date du </w:t>
      </w:r>
      <w:r w:rsidR="00D306B5">
        <w:rPr>
          <w:lang w:val="fr"/>
        </w:rPr>
        <w:t>3</w:t>
      </w:r>
      <w:r>
        <w:rPr>
          <w:lang w:val="fr"/>
        </w:rPr>
        <w:t>1/0</w:t>
      </w:r>
      <w:r w:rsidR="00D306B5">
        <w:rPr>
          <w:lang w:val="fr"/>
        </w:rPr>
        <w:t>5</w:t>
      </w:r>
      <w:r>
        <w:rPr>
          <w:lang w:val="fr"/>
        </w:rPr>
        <w:t xml:space="preserve">/2023. </w:t>
      </w:r>
    </w:p>
    <w:sectPr w:rsidR="00CC0885" w:rsidRPr="004D5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ahoma"/>
    <w:panose1 w:val="00000000000000000000"/>
    <w:charset w:val="00"/>
    <w:family w:val="roman"/>
    <w:notTrueType/>
    <w:pitch w:val="default"/>
    <w:sig w:usb0="00000003" w:usb1="00000000" w:usb2="00000000" w:usb3="00000000" w:csb0="00000001"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26"/>
    <w:rsid w:val="00381DC2"/>
    <w:rsid w:val="00383E4A"/>
    <w:rsid w:val="004D5C26"/>
    <w:rsid w:val="006D02E7"/>
    <w:rsid w:val="006D737F"/>
    <w:rsid w:val="0092164C"/>
    <w:rsid w:val="00B44B17"/>
    <w:rsid w:val="00C90FD8"/>
    <w:rsid w:val="00CC0885"/>
    <w:rsid w:val="00D306B5"/>
    <w:rsid w:val="00D81440"/>
    <w:rsid w:val="00DE7577"/>
    <w:rsid w:val="00F621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8C20"/>
  <w15:chartTrackingRefBased/>
  <w15:docId w15:val="{A4D9C82F-33E1-4CA1-A2FD-5A3FB74B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C26"/>
    <w:pPr>
      <w:spacing w:before="100" w:after="40" w:line="288" w:lineRule="auto"/>
      <w:jc w:val="both"/>
    </w:pPr>
    <w:rPr>
      <w:rFonts w:ascii="Arial" w:eastAsiaTheme="minorEastAsia" w:hAnsi="Arial"/>
      <w:color w:val="404040" w:themeColor="text1" w:themeTint="BF"/>
      <w:kern w:val="0"/>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D5C26"/>
    <w:pPr>
      <w:spacing w:after="0" w:line="240" w:lineRule="auto"/>
    </w:pPr>
    <w:rPr>
      <w:rFonts w:ascii="Arial" w:eastAsiaTheme="minorEastAsia" w:hAnsi="Arial"/>
      <w:kern w:val="0"/>
      <w:lang w:val="fr-FR" w:eastAsia="fr-FR"/>
      <w14:ligatures w14:val="none"/>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paragraph" w:customStyle="1" w:styleId="paragraph">
    <w:name w:val="paragraph"/>
    <w:basedOn w:val="Normal"/>
    <w:rsid w:val="004D5C26"/>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normaltextrun">
    <w:name w:val="normaltextrun"/>
    <w:basedOn w:val="Policepardfaut"/>
    <w:rsid w:val="004D5C26"/>
  </w:style>
  <w:style w:type="character" w:customStyle="1" w:styleId="eop">
    <w:name w:val="eop"/>
    <w:basedOn w:val="Policepardfaut"/>
    <w:rsid w:val="004D5C26"/>
  </w:style>
  <w:style w:type="character" w:customStyle="1" w:styleId="spellingerror">
    <w:name w:val="spellingerror"/>
    <w:basedOn w:val="Policepardfaut"/>
    <w:rsid w:val="004D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0752a-ec13-4ecb-b5b9-da59111f4518" xsi:nil="true"/>
    <lcf76f155ced4ddcb4097134ff3c332f xmlns="5dfbf5e6-90ce-4f7f-ad27-c79103b595e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5DE3D371463B4982E033855C5AEB32" ma:contentTypeVersion="16" ma:contentTypeDescription="Create a new document." ma:contentTypeScope="" ma:versionID="63c034f8ad1be932803c8bcdd94a2d3c">
  <xsd:schema xmlns:xsd="http://www.w3.org/2001/XMLSchema" xmlns:xs="http://www.w3.org/2001/XMLSchema" xmlns:p="http://schemas.microsoft.com/office/2006/metadata/properties" xmlns:ns2="e6a0752a-ec13-4ecb-b5b9-da59111f4518" xmlns:ns3="5dfbf5e6-90ce-4f7f-ad27-c79103b595e1" targetNamespace="http://schemas.microsoft.com/office/2006/metadata/properties" ma:root="true" ma:fieldsID="c6914fc399f4e56131c2a24a8a6c784f" ns2:_="" ns3:_="">
    <xsd:import namespace="e6a0752a-ec13-4ecb-b5b9-da59111f4518"/>
    <xsd:import namespace="5dfbf5e6-90ce-4f7f-ad27-c79103b595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0752a-ec13-4ecb-b5b9-da59111f45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4cacb3-b82a-49f7-b4e7-53797829a025}" ma:internalName="TaxCatchAll" ma:showField="CatchAllData" ma:web="e6a0752a-ec13-4ecb-b5b9-da59111f4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bf5e6-90ce-4f7f-ad27-c79103b595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f10cf9-1e16-41b1-a965-594adfba5b7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1F5C4-6FEA-41CD-9845-8A99A0F85D07}">
  <ds:schemaRefs>
    <ds:schemaRef ds:uri="http://schemas.microsoft.com/office/2006/metadata/properties"/>
    <ds:schemaRef ds:uri="http://schemas.microsoft.com/office/infopath/2007/PartnerControls"/>
    <ds:schemaRef ds:uri="e6a0752a-ec13-4ecb-b5b9-da59111f4518"/>
    <ds:schemaRef ds:uri="5dfbf5e6-90ce-4f7f-ad27-c79103b595e1"/>
  </ds:schemaRefs>
</ds:datastoreItem>
</file>

<file path=customXml/itemProps2.xml><?xml version="1.0" encoding="utf-8"?>
<ds:datastoreItem xmlns:ds="http://schemas.openxmlformats.org/officeDocument/2006/customXml" ds:itemID="{38988C12-89B0-40ED-9702-396409FDE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0752a-ec13-4ecb-b5b9-da59111f4518"/>
    <ds:schemaRef ds:uri="5dfbf5e6-90ce-4f7f-ad27-c79103b5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257A7-1A1C-4AF6-BF1F-A754F9B9D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3224</Words>
  <Characters>17737</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Georges</dc:creator>
  <cp:keywords/>
  <dc:description/>
  <cp:lastModifiedBy>Muriel UZZAN</cp:lastModifiedBy>
  <cp:revision>2</cp:revision>
  <dcterms:created xsi:type="dcterms:W3CDTF">2023-06-20T13:33:00Z</dcterms:created>
  <dcterms:modified xsi:type="dcterms:W3CDTF">2023-06-20T13:33:00Z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0x010100D45DE3D371463B4982E033855C5AEB32</vt:lpwstr>
  </property>
  <property fmtid="{D5CDD505-2E9C-101B-9397-08002B2CF9AE}" pid="3" name="MediaServiceImageTags">
    <vt:lpwstr/>
  </property>
</Properties>
</file>