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60D03" w14:textId="77777777" w:rsidR="009E44EF" w:rsidRDefault="009E44EF">
      <w:pPr>
        <w:pStyle w:val="AmmAnnexeTitre"/>
      </w:pPr>
      <w:bookmarkStart w:id="0" w:name="_Toc142278910"/>
      <w:r>
        <w:t>ANNEXE I</w:t>
      </w:r>
      <w:bookmarkEnd w:id="0"/>
    </w:p>
    <w:p w14:paraId="5E1E0447" w14:textId="77777777" w:rsidR="000D5DAD" w:rsidRPr="000D5DAD" w:rsidRDefault="009E44EF" w:rsidP="000D5DAD">
      <w:pPr>
        <w:pStyle w:val="AmmAnnexeSousTitre"/>
      </w:pPr>
      <w:bookmarkStart w:id="1" w:name="_Toc142278911"/>
      <w:r>
        <w:t>RESUME DES CARACTERISTIQUES DU PRODUIT</w:t>
      </w:r>
      <w:bookmarkEnd w:id="1"/>
    </w:p>
    <w:p w14:paraId="40970FFA" w14:textId="77777777" w:rsidR="009E44EF" w:rsidRDefault="009E44EF">
      <w:pPr>
        <w:pStyle w:val="AmmAnnexeTitre1"/>
      </w:pPr>
      <w:bookmarkStart w:id="2" w:name="_Toc142278912"/>
      <w:r>
        <w:t>1.</w:t>
      </w:r>
      <w:r>
        <w:tab/>
        <w:t>DENOMINATION DU MEDICAMENT</w:t>
      </w:r>
      <w:bookmarkEnd w:id="2"/>
    </w:p>
    <w:p w14:paraId="7E4CD125" w14:textId="77777777" w:rsidR="002025A9" w:rsidRPr="0026584F" w:rsidRDefault="0026584F" w:rsidP="007864C0">
      <w:pPr>
        <w:pStyle w:val="AmmCorpsTexteGras"/>
        <w:rPr>
          <w:b w:val="0"/>
        </w:rPr>
      </w:pPr>
      <w:r w:rsidRPr="0026584F">
        <w:rPr>
          <w:b w:val="0"/>
          <w:highlight w:val="yellow"/>
        </w:rPr>
        <w:t>XXX 1000 mg, xxx</w:t>
      </w:r>
    </w:p>
    <w:p w14:paraId="640064C9" w14:textId="77777777" w:rsidR="009E44EF" w:rsidRDefault="009E44EF">
      <w:pPr>
        <w:pStyle w:val="AmmAnnexeTitre1"/>
        <w:rPr>
          <w:caps w:val="0"/>
        </w:rPr>
      </w:pPr>
      <w:bookmarkStart w:id="3" w:name="_Toc142278913"/>
      <w:r>
        <w:t>2.</w:t>
      </w:r>
      <w:r>
        <w:tab/>
      </w:r>
      <w:r>
        <w:rPr>
          <w:caps w:val="0"/>
        </w:rPr>
        <w:t>COMPOSITION QUALITATIVE ET QUANTITATIVE</w:t>
      </w:r>
      <w:bookmarkEnd w:id="3"/>
    </w:p>
    <w:p w14:paraId="7E276608" w14:textId="77777777" w:rsidR="009E44EF" w:rsidRDefault="009E44EF">
      <w:pPr>
        <w:pStyle w:val="AmmAnnexeTitre1"/>
        <w:rPr>
          <w:caps w:val="0"/>
        </w:rPr>
      </w:pPr>
      <w:bookmarkStart w:id="4" w:name="_Toc142278914"/>
      <w:r>
        <w:rPr>
          <w:caps w:val="0"/>
        </w:rPr>
        <w:t>3.</w:t>
      </w:r>
      <w:r>
        <w:rPr>
          <w:caps w:val="0"/>
        </w:rPr>
        <w:tab/>
        <w:t>FORME PHARMACEUTIQUE</w:t>
      </w:r>
      <w:bookmarkEnd w:id="4"/>
    </w:p>
    <w:p w14:paraId="48823A24" w14:textId="77777777" w:rsidR="009E44EF" w:rsidRDefault="009E44EF">
      <w:pPr>
        <w:pStyle w:val="AmmAnnexeTitre1"/>
        <w:rPr>
          <w:caps w:val="0"/>
        </w:rPr>
      </w:pPr>
      <w:bookmarkStart w:id="5" w:name="_Toc142278915"/>
      <w:r>
        <w:rPr>
          <w:caps w:val="0"/>
        </w:rPr>
        <w:t>4.</w:t>
      </w:r>
      <w:r>
        <w:rPr>
          <w:caps w:val="0"/>
        </w:rPr>
        <w:tab/>
        <w:t>DONNEES CLINIQUES</w:t>
      </w:r>
      <w:bookmarkEnd w:id="5"/>
    </w:p>
    <w:p w14:paraId="46FD4D05" w14:textId="77777777" w:rsidR="009E44EF" w:rsidRDefault="009E44EF" w:rsidP="00707325">
      <w:pPr>
        <w:pStyle w:val="AmmAnnexeTitre2"/>
        <w:keepNext w:val="0"/>
        <w:keepLines w:val="0"/>
      </w:pPr>
      <w:bookmarkStart w:id="6" w:name="_Toc142278916"/>
      <w:r>
        <w:t>4.1.</w:t>
      </w:r>
      <w:r>
        <w:tab/>
        <w:t>Indications thérapeutiques</w:t>
      </w:r>
      <w:bookmarkEnd w:id="6"/>
    </w:p>
    <w:p w14:paraId="7E809FC4" w14:textId="77777777" w:rsidR="00E3267F" w:rsidRDefault="00E3267F" w:rsidP="00E3267F">
      <w:pPr>
        <w:pStyle w:val="AmmCorpsTexte"/>
      </w:pPr>
      <w:bookmarkStart w:id="7" w:name="_Toc142278917"/>
      <w:r>
        <w:t xml:space="preserve">Traitement symptomatique des douleurs légères à modérées et/ou de la fièvre.  </w:t>
      </w:r>
    </w:p>
    <w:p w14:paraId="277E1213" w14:textId="77777777" w:rsidR="00E6215C" w:rsidRDefault="00E3267F" w:rsidP="00E3267F">
      <w:pPr>
        <w:pStyle w:val="AmmCorpsTexte"/>
      </w:pPr>
      <w:r>
        <w:t>Adulte et enfant à partir de 50 kg (environ 15 ans).</w:t>
      </w:r>
    </w:p>
    <w:p w14:paraId="2A881DB9" w14:textId="77777777" w:rsidR="009E44EF" w:rsidRDefault="009E44EF">
      <w:pPr>
        <w:pStyle w:val="AmmAnnexeTitre2"/>
        <w:keepNext w:val="0"/>
        <w:keepLines w:val="0"/>
      </w:pPr>
      <w:r>
        <w:t>4.2.</w:t>
      </w:r>
      <w:r>
        <w:tab/>
        <w:t>Posologie et mode d'administration</w:t>
      </w:r>
      <w:bookmarkEnd w:id="7"/>
    </w:p>
    <w:p w14:paraId="42E90C3D" w14:textId="77777777" w:rsidR="00E6215C" w:rsidRDefault="00E6215C" w:rsidP="00E6215C">
      <w:pPr>
        <w:pStyle w:val="AmmAnnexeTitre3"/>
      </w:pPr>
      <w:bookmarkStart w:id="8" w:name="_Toc142278918"/>
      <w:r w:rsidRPr="009C0628">
        <w:t>Posologie</w:t>
      </w:r>
    </w:p>
    <w:p w14:paraId="01874553" w14:textId="77777777" w:rsidR="00E3267F" w:rsidRPr="00A37F51" w:rsidRDefault="00E3267F" w:rsidP="00E3267F">
      <w:pPr>
        <w:pStyle w:val="AmmCorpsTexte"/>
        <w:rPr>
          <w:b/>
          <w:bCs/>
        </w:rPr>
      </w:pPr>
      <w:r w:rsidRPr="00A37F51">
        <w:rPr>
          <w:b/>
          <w:bCs/>
        </w:rPr>
        <w:t>Attention</w:t>
      </w:r>
      <w:r>
        <w:rPr>
          <w:b/>
          <w:bCs/>
        </w:rPr>
        <w:t xml:space="preserve"> </w:t>
      </w:r>
      <w:r w:rsidRPr="00A37F51">
        <w:rPr>
          <w:b/>
          <w:bCs/>
        </w:rPr>
        <w:t xml:space="preserve">: cette présentation contient 1000 mg (1 g) de paracétamol par </w:t>
      </w:r>
      <w:r w:rsidRPr="00E3267F">
        <w:rPr>
          <w:b/>
          <w:bCs/>
          <w:highlight w:val="yellow"/>
        </w:rPr>
        <w:t>xxx</w:t>
      </w:r>
      <w:r>
        <w:rPr>
          <w:b/>
          <w:bCs/>
        </w:rPr>
        <w:t xml:space="preserve"> : ne pas prendre 2 </w:t>
      </w:r>
      <w:r w:rsidRPr="00E3267F">
        <w:rPr>
          <w:b/>
          <w:bCs/>
          <w:highlight w:val="yellow"/>
        </w:rPr>
        <w:t>xxx</w:t>
      </w:r>
      <w:r w:rsidRPr="00A37F51">
        <w:rPr>
          <w:b/>
          <w:bCs/>
        </w:rPr>
        <w:t xml:space="preserve"> à la fois.   </w:t>
      </w:r>
    </w:p>
    <w:p w14:paraId="3D7B275E" w14:textId="319F1004" w:rsidR="00E3267F" w:rsidRPr="00455284" w:rsidRDefault="00E3267F" w:rsidP="00FD03EE">
      <w:pPr>
        <w:spacing w:after="120"/>
        <w:rPr>
          <w:rFonts w:ascii="Arial" w:eastAsia="Arial" w:hAnsi="Arial"/>
          <w:sz w:val="20"/>
        </w:rPr>
      </w:pPr>
      <w:bookmarkStart w:id="9" w:name="_Hlk106808561"/>
      <w:r w:rsidRPr="00FD03EE">
        <w:rPr>
          <w:rFonts w:ascii="Arial" w:hAnsi="Arial"/>
          <w:b/>
          <w:bCs/>
          <w:sz w:val="20"/>
        </w:rPr>
        <w:t>Utiliser la dose efficace la plus faible, pendant la durée la plus courte possible</w:t>
      </w:r>
      <w:r w:rsidRPr="00FD03EE">
        <w:rPr>
          <w:b/>
          <w:bCs/>
        </w:rPr>
        <w:t>.</w:t>
      </w:r>
      <w:r w:rsidR="00C431BC">
        <w:rPr>
          <w:b/>
          <w:bCs/>
        </w:rPr>
        <w:t xml:space="preserve"> </w:t>
      </w:r>
      <w:r w:rsidR="00C431BC" w:rsidRPr="00C431BC">
        <w:rPr>
          <w:rFonts w:ascii="Arial" w:hAnsi="Arial" w:cs="Arial"/>
          <w:color w:val="000000"/>
          <w:sz w:val="20"/>
        </w:rPr>
        <w:t>Utiliser la dose de 1000 mg en cas de douleurs et/ou fièvre non soulagées par une dose de 500 mg de paracétamol.</w:t>
      </w:r>
    </w:p>
    <w:bookmarkEnd w:id="9"/>
    <w:p w14:paraId="38A20D0E" w14:textId="2DA9CB5D" w:rsidR="00715A18" w:rsidRDefault="00715A18" w:rsidP="00E3267F">
      <w:pPr>
        <w:pStyle w:val="AmmCorpsTexte"/>
      </w:pPr>
      <w:r w:rsidRPr="000A5EA0">
        <w:t xml:space="preserve">Posologie recommandée : environ 60 mg/kg/jour </w:t>
      </w:r>
      <w:r w:rsidRPr="000A5EA0">
        <w:rPr>
          <w:color w:val="000000"/>
        </w:rPr>
        <w:t xml:space="preserve">à répartir en plusieurs prises </w:t>
      </w:r>
      <w:r w:rsidR="000A2B78">
        <w:t>sans dépasser la dose maximale indiquée</w:t>
      </w:r>
      <w:r w:rsidRPr="000A5EA0">
        <w:t xml:space="preserve"> dans le tableau ci-dessous</w:t>
      </w:r>
      <w:r>
        <w:t>.</w:t>
      </w:r>
    </w:p>
    <w:p w14:paraId="3BDB911A" w14:textId="71F211F0" w:rsidR="00715A18" w:rsidRDefault="00715A18" w:rsidP="00E3267F">
      <w:pPr>
        <w:pStyle w:val="AmmCorpsTexte"/>
        <w:rPr>
          <w:color w:val="000000"/>
        </w:rPr>
      </w:pPr>
      <w:r w:rsidRPr="000A5EA0">
        <w:rPr>
          <w:color w:val="000000"/>
        </w:rPr>
        <w:t>L</w:t>
      </w:r>
      <w:r w:rsidR="0047282C">
        <w:rPr>
          <w:color w:val="000000"/>
        </w:rPr>
        <w:t>’</w:t>
      </w:r>
      <w:r w:rsidRPr="000A5EA0">
        <w:rPr>
          <w:color w:val="000000"/>
        </w:rPr>
        <w:t xml:space="preserve">âge approximatif en fonction du poids </w:t>
      </w:r>
      <w:r w:rsidR="0047282C">
        <w:rPr>
          <w:color w:val="000000"/>
        </w:rPr>
        <w:t>est</w:t>
      </w:r>
      <w:r w:rsidR="0047282C" w:rsidRPr="000A5EA0">
        <w:rPr>
          <w:color w:val="000000"/>
        </w:rPr>
        <w:t xml:space="preserve"> </w:t>
      </w:r>
      <w:r w:rsidRPr="000A5EA0">
        <w:rPr>
          <w:color w:val="000000"/>
        </w:rPr>
        <w:t>donné à titre d’information.</w:t>
      </w:r>
    </w:p>
    <w:tbl>
      <w:tblPr>
        <w:tblW w:w="8925" w:type="dxa"/>
        <w:tblInd w:w="161" w:type="dxa"/>
        <w:tblCellMar>
          <w:top w:w="65" w:type="dxa"/>
          <w:left w:w="77" w:type="dxa"/>
          <w:right w:w="3" w:type="dxa"/>
        </w:tblCellMar>
        <w:tblLook w:val="04A0" w:firstRow="1" w:lastRow="0" w:firstColumn="1" w:lastColumn="0" w:noHBand="0" w:noVBand="1"/>
      </w:tblPr>
      <w:tblGrid>
        <w:gridCol w:w="2410"/>
        <w:gridCol w:w="2522"/>
        <w:gridCol w:w="2063"/>
        <w:gridCol w:w="1930"/>
      </w:tblGrid>
      <w:tr w:rsidR="00715A18" w14:paraId="07386FC0" w14:textId="77777777" w:rsidTr="00447F81">
        <w:trPr>
          <w:trHeight w:val="1082"/>
        </w:trPr>
        <w:tc>
          <w:tcPr>
            <w:tcW w:w="2410" w:type="dxa"/>
            <w:tcBorders>
              <w:top w:val="single" w:sz="8" w:space="0" w:color="000000"/>
              <w:left w:val="single" w:sz="8" w:space="0" w:color="000000"/>
              <w:bottom w:val="single" w:sz="8" w:space="0" w:color="000000"/>
              <w:right w:val="single" w:sz="8" w:space="0" w:color="000000"/>
            </w:tcBorders>
            <w:shd w:val="clear" w:color="auto" w:fill="D9D9D9"/>
          </w:tcPr>
          <w:p w14:paraId="715A6311" w14:textId="77777777" w:rsidR="00715A18" w:rsidRPr="0021249E" w:rsidRDefault="00715A18" w:rsidP="00447F81">
            <w:pPr>
              <w:spacing w:line="259" w:lineRule="auto"/>
              <w:ind w:left="40" w:right="62"/>
              <w:jc w:val="center"/>
              <w:rPr>
                <w:rFonts w:ascii="Arial" w:hAnsi="Arial" w:cs="Arial"/>
                <w:sz w:val="20"/>
              </w:rPr>
            </w:pPr>
            <w:r w:rsidRPr="0021249E">
              <w:rPr>
                <w:rFonts w:ascii="Arial" w:hAnsi="Arial" w:cs="Arial"/>
                <w:b/>
                <w:sz w:val="20"/>
              </w:rPr>
              <w:t>Poids</w:t>
            </w:r>
          </w:p>
          <w:p w14:paraId="33976E19" w14:textId="77777777" w:rsidR="00715A18" w:rsidRPr="0021249E" w:rsidRDefault="00715A18" w:rsidP="00447F81">
            <w:pPr>
              <w:spacing w:line="259" w:lineRule="auto"/>
              <w:ind w:left="40" w:right="62"/>
              <w:jc w:val="center"/>
              <w:rPr>
                <w:rFonts w:ascii="Arial" w:hAnsi="Arial" w:cs="Arial"/>
                <w:sz w:val="20"/>
              </w:rPr>
            </w:pPr>
            <w:r w:rsidRPr="0021249E">
              <w:rPr>
                <w:rFonts w:ascii="Arial" w:hAnsi="Arial" w:cs="Arial"/>
                <w:sz w:val="20"/>
              </w:rPr>
              <w:t>(Age approximatif)</w:t>
            </w:r>
          </w:p>
        </w:tc>
        <w:tc>
          <w:tcPr>
            <w:tcW w:w="2522" w:type="dxa"/>
            <w:tcBorders>
              <w:top w:val="single" w:sz="8" w:space="0" w:color="000000"/>
              <w:left w:val="single" w:sz="8" w:space="0" w:color="000000"/>
              <w:bottom w:val="single" w:sz="8" w:space="0" w:color="000000"/>
              <w:right w:val="single" w:sz="8" w:space="0" w:color="000000"/>
            </w:tcBorders>
            <w:shd w:val="clear" w:color="auto" w:fill="D9D9D9"/>
          </w:tcPr>
          <w:p w14:paraId="536796B6" w14:textId="3E1767F7" w:rsidR="00715A18" w:rsidRPr="0021249E" w:rsidRDefault="00715A18" w:rsidP="00447F81">
            <w:pPr>
              <w:spacing w:line="259" w:lineRule="auto"/>
              <w:ind w:left="34" w:right="-13"/>
              <w:jc w:val="center"/>
              <w:rPr>
                <w:rFonts w:ascii="Arial" w:hAnsi="Arial" w:cs="Arial"/>
                <w:sz w:val="20"/>
              </w:rPr>
            </w:pPr>
            <w:r w:rsidRPr="0021249E">
              <w:rPr>
                <w:rFonts w:ascii="Arial" w:hAnsi="Arial" w:cs="Arial"/>
                <w:b/>
                <w:sz w:val="20"/>
              </w:rPr>
              <w:t>Dose</w:t>
            </w:r>
            <w:r w:rsidR="00B8304A">
              <w:rPr>
                <w:rFonts w:ascii="Arial" w:hAnsi="Arial" w:cs="Arial"/>
                <w:b/>
                <w:sz w:val="20"/>
              </w:rPr>
              <w:t xml:space="preserve"> maximale</w:t>
            </w:r>
          </w:p>
          <w:p w14:paraId="480DB7F5" w14:textId="3C1BB9FB" w:rsidR="00715A18" w:rsidRPr="0021249E" w:rsidRDefault="00D3643E" w:rsidP="00447F81">
            <w:pPr>
              <w:spacing w:line="259" w:lineRule="auto"/>
              <w:ind w:left="34" w:right="-13"/>
              <w:jc w:val="center"/>
              <w:rPr>
                <w:rFonts w:ascii="Arial" w:hAnsi="Arial" w:cs="Arial"/>
                <w:sz w:val="20"/>
              </w:rPr>
            </w:pPr>
            <w:r>
              <w:rPr>
                <w:rFonts w:ascii="Arial" w:hAnsi="Arial" w:cs="Arial"/>
                <w:sz w:val="20"/>
              </w:rPr>
              <w:t>p</w:t>
            </w:r>
            <w:r w:rsidR="00715A18" w:rsidRPr="0021249E">
              <w:rPr>
                <w:rFonts w:ascii="Arial" w:hAnsi="Arial" w:cs="Arial"/>
                <w:sz w:val="20"/>
              </w:rPr>
              <w:t>ar administration</w:t>
            </w:r>
          </w:p>
        </w:tc>
        <w:tc>
          <w:tcPr>
            <w:tcW w:w="2063" w:type="dxa"/>
            <w:tcBorders>
              <w:top w:val="single" w:sz="8" w:space="0" w:color="000000"/>
              <w:left w:val="single" w:sz="8" w:space="0" w:color="000000"/>
              <w:bottom w:val="single" w:sz="8" w:space="0" w:color="000000"/>
              <w:right w:val="single" w:sz="8" w:space="0" w:color="000000"/>
            </w:tcBorders>
            <w:shd w:val="clear" w:color="auto" w:fill="D9D9D9"/>
          </w:tcPr>
          <w:p w14:paraId="515704CD" w14:textId="77777777" w:rsidR="00715A18" w:rsidRPr="0021249E" w:rsidRDefault="00715A18" w:rsidP="00447F81">
            <w:pPr>
              <w:spacing w:line="259" w:lineRule="auto"/>
              <w:ind w:right="140"/>
              <w:jc w:val="center"/>
              <w:rPr>
                <w:rFonts w:ascii="Arial" w:hAnsi="Arial" w:cs="Arial"/>
                <w:sz w:val="20"/>
              </w:rPr>
            </w:pPr>
            <w:r w:rsidRPr="0021249E">
              <w:rPr>
                <w:rFonts w:ascii="Arial" w:hAnsi="Arial" w:cs="Arial"/>
                <w:b/>
                <w:sz w:val="20"/>
              </w:rPr>
              <w:t>Intervalle</w:t>
            </w:r>
            <w:r w:rsidRPr="0021249E">
              <w:rPr>
                <w:rFonts w:ascii="Arial" w:hAnsi="Arial" w:cs="Arial"/>
                <w:sz w:val="20"/>
              </w:rPr>
              <w:t xml:space="preserve"> d’administration</w:t>
            </w:r>
          </w:p>
        </w:tc>
        <w:tc>
          <w:tcPr>
            <w:tcW w:w="1930" w:type="dxa"/>
            <w:tcBorders>
              <w:top w:val="single" w:sz="8" w:space="0" w:color="000000"/>
              <w:left w:val="single" w:sz="8" w:space="0" w:color="000000"/>
              <w:bottom w:val="single" w:sz="8" w:space="0" w:color="000000"/>
              <w:right w:val="single" w:sz="8" w:space="0" w:color="000000"/>
            </w:tcBorders>
            <w:shd w:val="clear" w:color="auto" w:fill="D9D9D9"/>
          </w:tcPr>
          <w:p w14:paraId="125FFB4D" w14:textId="77777777" w:rsidR="00715A18" w:rsidRPr="0021249E" w:rsidRDefault="00715A18" w:rsidP="00447F81">
            <w:pPr>
              <w:spacing w:line="259" w:lineRule="auto"/>
              <w:jc w:val="center"/>
              <w:rPr>
                <w:rFonts w:ascii="Arial" w:hAnsi="Arial" w:cs="Arial"/>
                <w:sz w:val="20"/>
              </w:rPr>
            </w:pPr>
            <w:r w:rsidRPr="0021249E">
              <w:rPr>
                <w:rFonts w:ascii="Arial" w:hAnsi="Arial" w:cs="Arial"/>
                <w:b/>
                <w:sz w:val="20"/>
              </w:rPr>
              <w:t>Dose journalière</w:t>
            </w:r>
            <w:r w:rsidRPr="0021249E">
              <w:rPr>
                <w:rFonts w:ascii="Arial" w:hAnsi="Arial" w:cs="Arial"/>
                <w:sz w:val="20"/>
              </w:rPr>
              <w:t xml:space="preserve"> </w:t>
            </w:r>
            <w:r w:rsidRPr="00F76B8D">
              <w:rPr>
                <w:rFonts w:ascii="Arial" w:hAnsi="Arial" w:cs="Arial"/>
                <w:b/>
                <w:bCs/>
                <w:sz w:val="20"/>
              </w:rPr>
              <w:t>maximale</w:t>
            </w:r>
          </w:p>
        </w:tc>
      </w:tr>
      <w:tr w:rsidR="00715A18" w14:paraId="7FA05626" w14:textId="77777777" w:rsidTr="00447F81">
        <w:trPr>
          <w:trHeight w:val="787"/>
        </w:trPr>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4619CD5B" w14:textId="5F979D6D" w:rsidR="00715A18" w:rsidRPr="0021249E" w:rsidRDefault="004B7A81" w:rsidP="00447F81">
            <w:pPr>
              <w:spacing w:line="259" w:lineRule="auto"/>
              <w:jc w:val="center"/>
              <w:rPr>
                <w:rFonts w:ascii="Arial" w:hAnsi="Arial" w:cs="Arial"/>
                <w:sz w:val="20"/>
              </w:rPr>
            </w:pPr>
            <w:r w:rsidRPr="00F76B8D">
              <w:rPr>
                <w:rFonts w:ascii="Arial" w:hAnsi="Arial" w:cs="Arial"/>
                <w:b/>
                <w:sz w:val="20"/>
              </w:rPr>
              <w:t>Adulte et enfant</w:t>
            </w:r>
            <w:r>
              <w:rPr>
                <w:rFonts w:ascii="Arial" w:hAnsi="Arial" w:cs="Arial"/>
                <w:b/>
                <w:sz w:val="20"/>
              </w:rPr>
              <w:t xml:space="preserve"> à partir de </w:t>
            </w:r>
            <w:r w:rsidRPr="00F76B8D">
              <w:rPr>
                <w:rFonts w:ascii="Arial" w:hAnsi="Arial" w:cs="Arial"/>
                <w:b/>
                <w:sz w:val="20"/>
              </w:rPr>
              <w:t>50 kg</w:t>
            </w:r>
            <w:r w:rsidR="00086521">
              <w:rPr>
                <w:rFonts w:ascii="Arial" w:hAnsi="Arial" w:cs="Arial"/>
                <w:b/>
                <w:sz w:val="20"/>
              </w:rPr>
              <w:t xml:space="preserve"> </w:t>
            </w:r>
            <w:r w:rsidR="00715A18" w:rsidRPr="0021249E">
              <w:rPr>
                <w:rFonts w:ascii="Arial" w:hAnsi="Arial" w:cs="Arial"/>
                <w:sz w:val="20"/>
              </w:rPr>
              <w:t>(environ 15 ans)</w:t>
            </w:r>
          </w:p>
        </w:tc>
        <w:tc>
          <w:tcPr>
            <w:tcW w:w="2522" w:type="dxa"/>
            <w:tcBorders>
              <w:top w:val="single" w:sz="8" w:space="0" w:color="000000"/>
              <w:left w:val="single" w:sz="8" w:space="0" w:color="000000"/>
              <w:bottom w:val="single" w:sz="8" w:space="0" w:color="000000"/>
              <w:right w:val="single" w:sz="8" w:space="0" w:color="000000"/>
            </w:tcBorders>
            <w:shd w:val="clear" w:color="auto" w:fill="auto"/>
          </w:tcPr>
          <w:p w14:paraId="0A654D99" w14:textId="77777777" w:rsidR="00D23DDD" w:rsidRDefault="00715A18" w:rsidP="00447F81">
            <w:pPr>
              <w:spacing w:line="259" w:lineRule="auto"/>
              <w:ind w:right="131"/>
              <w:jc w:val="center"/>
              <w:rPr>
                <w:rFonts w:ascii="Arial" w:hAnsi="Arial" w:cs="Arial"/>
                <w:sz w:val="20"/>
              </w:rPr>
            </w:pPr>
            <w:r w:rsidRPr="0021249E">
              <w:rPr>
                <w:rFonts w:ascii="Arial" w:hAnsi="Arial" w:cs="Arial"/>
                <w:sz w:val="20"/>
              </w:rPr>
              <w:t>1000 mg</w:t>
            </w:r>
          </w:p>
          <w:p w14:paraId="66E7FAC4" w14:textId="77D2703F" w:rsidR="00715A18" w:rsidRPr="0021249E" w:rsidRDefault="00715A18" w:rsidP="00447F81">
            <w:pPr>
              <w:spacing w:line="259" w:lineRule="auto"/>
              <w:ind w:right="131"/>
              <w:jc w:val="center"/>
              <w:rPr>
                <w:rFonts w:ascii="Arial" w:hAnsi="Arial" w:cs="Arial"/>
                <w:sz w:val="20"/>
              </w:rPr>
            </w:pPr>
            <w:r w:rsidRPr="0021249E">
              <w:rPr>
                <w:rFonts w:ascii="Arial" w:hAnsi="Arial" w:cs="Arial"/>
                <w:sz w:val="20"/>
              </w:rPr>
              <w:t>soit 1 g</w:t>
            </w:r>
          </w:p>
          <w:p w14:paraId="6C8C21D1" w14:textId="77777777" w:rsidR="00715A18" w:rsidRPr="0021249E" w:rsidRDefault="00715A18" w:rsidP="00715A18">
            <w:pPr>
              <w:spacing w:line="259" w:lineRule="auto"/>
              <w:ind w:right="91"/>
              <w:jc w:val="center"/>
              <w:rPr>
                <w:rFonts w:ascii="Arial" w:hAnsi="Arial" w:cs="Arial"/>
                <w:sz w:val="20"/>
              </w:rPr>
            </w:pPr>
            <w:r w:rsidRPr="0021249E">
              <w:rPr>
                <w:rFonts w:ascii="Arial" w:hAnsi="Arial" w:cs="Arial"/>
                <w:sz w:val="20"/>
              </w:rPr>
              <w:t xml:space="preserve">(1 </w:t>
            </w:r>
            <w:r w:rsidRPr="00715A18">
              <w:rPr>
                <w:rFonts w:ascii="Arial" w:hAnsi="Arial" w:cs="Arial"/>
                <w:sz w:val="20"/>
                <w:highlight w:val="yellow"/>
              </w:rPr>
              <w:t>xxx</w:t>
            </w:r>
            <w:r w:rsidRPr="0021249E">
              <w:rPr>
                <w:rFonts w:ascii="Arial" w:hAnsi="Arial" w:cs="Arial"/>
                <w:sz w:val="20"/>
              </w:rPr>
              <w:t>)</w:t>
            </w:r>
          </w:p>
        </w:tc>
        <w:tc>
          <w:tcPr>
            <w:tcW w:w="2063" w:type="dxa"/>
            <w:tcBorders>
              <w:top w:val="single" w:sz="8" w:space="0" w:color="000000"/>
              <w:left w:val="single" w:sz="8" w:space="0" w:color="000000"/>
              <w:bottom w:val="single" w:sz="8" w:space="0" w:color="000000"/>
              <w:right w:val="single" w:sz="8" w:space="0" w:color="000000"/>
            </w:tcBorders>
            <w:shd w:val="clear" w:color="auto" w:fill="auto"/>
          </w:tcPr>
          <w:p w14:paraId="56FA4F5A" w14:textId="77777777" w:rsidR="00715A18" w:rsidRPr="0021249E" w:rsidRDefault="00715A18" w:rsidP="00447F81">
            <w:pPr>
              <w:spacing w:line="259" w:lineRule="auto"/>
              <w:jc w:val="center"/>
              <w:rPr>
                <w:rFonts w:ascii="Arial" w:hAnsi="Arial" w:cs="Arial"/>
                <w:sz w:val="20"/>
              </w:rPr>
            </w:pPr>
            <w:r w:rsidRPr="0021249E">
              <w:rPr>
                <w:rFonts w:ascii="Arial" w:hAnsi="Arial" w:cs="Arial"/>
                <w:sz w:val="20"/>
              </w:rPr>
              <w:t>4 heures minimum</w:t>
            </w:r>
          </w:p>
        </w:tc>
        <w:tc>
          <w:tcPr>
            <w:tcW w:w="1930" w:type="dxa"/>
            <w:tcBorders>
              <w:top w:val="single" w:sz="8" w:space="0" w:color="000000"/>
              <w:left w:val="single" w:sz="8" w:space="0" w:color="000000"/>
              <w:bottom w:val="single" w:sz="8" w:space="0" w:color="000000"/>
              <w:right w:val="single" w:sz="8" w:space="0" w:color="000000"/>
            </w:tcBorders>
            <w:shd w:val="clear" w:color="auto" w:fill="auto"/>
          </w:tcPr>
          <w:p w14:paraId="5BC3166C" w14:textId="77777777" w:rsidR="00715A18" w:rsidRPr="0021249E" w:rsidRDefault="00715A18" w:rsidP="00447F81">
            <w:pPr>
              <w:spacing w:line="259" w:lineRule="auto"/>
              <w:ind w:right="185"/>
              <w:jc w:val="center"/>
              <w:rPr>
                <w:rFonts w:ascii="Arial" w:hAnsi="Arial" w:cs="Arial"/>
                <w:sz w:val="20"/>
              </w:rPr>
            </w:pPr>
            <w:r w:rsidRPr="0021249E">
              <w:rPr>
                <w:rFonts w:ascii="Arial" w:hAnsi="Arial" w:cs="Arial"/>
                <w:sz w:val="20"/>
              </w:rPr>
              <w:t>3000 mg par jour</w:t>
            </w:r>
          </w:p>
          <w:p w14:paraId="66400832" w14:textId="77777777" w:rsidR="00715A18" w:rsidRPr="0021249E" w:rsidRDefault="00715A18" w:rsidP="00447F81">
            <w:pPr>
              <w:spacing w:line="259" w:lineRule="auto"/>
              <w:ind w:right="22"/>
              <w:jc w:val="center"/>
              <w:rPr>
                <w:rFonts w:ascii="Arial" w:hAnsi="Arial" w:cs="Arial"/>
                <w:sz w:val="20"/>
              </w:rPr>
            </w:pPr>
            <w:r w:rsidRPr="0021249E">
              <w:rPr>
                <w:rFonts w:ascii="Arial" w:hAnsi="Arial" w:cs="Arial"/>
                <w:sz w:val="20"/>
              </w:rPr>
              <w:t>soit 3 g</w:t>
            </w:r>
          </w:p>
          <w:p w14:paraId="418753A2" w14:textId="77777777" w:rsidR="00715A18" w:rsidRPr="0021249E" w:rsidRDefault="00715A18" w:rsidP="00447F81">
            <w:pPr>
              <w:spacing w:line="259" w:lineRule="auto"/>
              <w:ind w:right="81"/>
              <w:jc w:val="center"/>
              <w:rPr>
                <w:rFonts w:ascii="Arial" w:hAnsi="Arial" w:cs="Arial"/>
                <w:sz w:val="20"/>
              </w:rPr>
            </w:pPr>
            <w:r>
              <w:rPr>
                <w:rFonts w:ascii="Arial" w:hAnsi="Arial" w:cs="Arial"/>
                <w:sz w:val="20"/>
              </w:rPr>
              <w:t xml:space="preserve">(3 </w:t>
            </w:r>
            <w:r w:rsidRPr="00715A18">
              <w:rPr>
                <w:rFonts w:ascii="Arial" w:hAnsi="Arial" w:cs="Arial"/>
                <w:sz w:val="20"/>
                <w:highlight w:val="yellow"/>
              </w:rPr>
              <w:t>xxx</w:t>
            </w:r>
            <w:r w:rsidRPr="0021249E">
              <w:rPr>
                <w:rFonts w:ascii="Arial" w:hAnsi="Arial" w:cs="Arial"/>
                <w:sz w:val="20"/>
              </w:rPr>
              <w:t>)</w:t>
            </w:r>
          </w:p>
        </w:tc>
      </w:tr>
    </w:tbl>
    <w:p w14:paraId="74BF58D1" w14:textId="77777777" w:rsidR="00715A18" w:rsidRPr="00715A18" w:rsidRDefault="00715A18" w:rsidP="00715A18">
      <w:pPr>
        <w:spacing w:before="120" w:after="120"/>
        <w:rPr>
          <w:rFonts w:ascii="Arial" w:hAnsi="Arial" w:cs="Arial"/>
          <w:sz w:val="20"/>
        </w:rPr>
      </w:pPr>
      <w:r w:rsidRPr="00715A18">
        <w:rPr>
          <w:rFonts w:ascii="Arial" w:hAnsi="Arial" w:cs="Arial"/>
          <w:b/>
          <w:sz w:val="20"/>
        </w:rPr>
        <w:t>Attention :</w:t>
      </w:r>
      <w:r w:rsidRPr="00715A18">
        <w:rPr>
          <w:rFonts w:ascii="Arial" w:hAnsi="Arial" w:cs="Arial"/>
          <w:sz w:val="20"/>
        </w:rPr>
        <w:t xml:space="preserve"> </w:t>
      </w:r>
      <w:r w:rsidRPr="00715A18">
        <w:rPr>
          <w:rFonts w:ascii="Arial" w:eastAsia="Arial" w:hAnsi="Arial"/>
          <w:b/>
          <w:bCs/>
          <w:sz w:val="20"/>
          <w:lang w:eastAsia="en-US"/>
        </w:rPr>
        <w:t>P</w:t>
      </w:r>
      <w:r w:rsidRPr="00715A18">
        <w:rPr>
          <w:rFonts w:ascii="Arial" w:eastAsia="Arial" w:hAnsi="Arial"/>
          <w:b/>
          <w:bCs/>
          <w:spacing w:val="3"/>
          <w:sz w:val="20"/>
          <w:lang w:eastAsia="en-US"/>
        </w:rPr>
        <w:t>r</w:t>
      </w:r>
      <w:r w:rsidRPr="00715A18">
        <w:rPr>
          <w:rFonts w:ascii="Arial" w:eastAsia="Arial" w:hAnsi="Arial"/>
          <w:b/>
          <w:bCs/>
          <w:sz w:val="20"/>
          <w:lang w:eastAsia="en-US"/>
        </w:rPr>
        <w:t>endre</w:t>
      </w:r>
      <w:r w:rsidRPr="00715A18">
        <w:rPr>
          <w:rFonts w:ascii="Arial" w:eastAsia="Arial" w:hAnsi="Arial"/>
          <w:b/>
          <w:spacing w:val="7"/>
          <w:sz w:val="20"/>
        </w:rPr>
        <w:t xml:space="preserve"> </w:t>
      </w:r>
      <w:r w:rsidRPr="00715A18">
        <w:rPr>
          <w:rFonts w:ascii="Arial" w:eastAsia="Arial" w:hAnsi="Arial"/>
          <w:b/>
          <w:sz w:val="20"/>
        </w:rPr>
        <w:t>en</w:t>
      </w:r>
      <w:r w:rsidRPr="00715A18">
        <w:rPr>
          <w:rFonts w:ascii="Arial" w:eastAsia="Arial" w:hAnsi="Arial"/>
          <w:b/>
          <w:spacing w:val="5"/>
          <w:sz w:val="20"/>
        </w:rPr>
        <w:t xml:space="preserve"> </w:t>
      </w:r>
      <w:r w:rsidRPr="00715A18">
        <w:rPr>
          <w:rFonts w:ascii="Arial" w:eastAsia="Arial" w:hAnsi="Arial"/>
          <w:b/>
          <w:spacing w:val="1"/>
          <w:sz w:val="20"/>
        </w:rPr>
        <w:t>c</w:t>
      </w:r>
      <w:r w:rsidRPr="00715A18">
        <w:rPr>
          <w:rFonts w:ascii="Arial" w:eastAsia="Arial" w:hAnsi="Arial"/>
          <w:b/>
          <w:sz w:val="20"/>
        </w:rPr>
        <w:t>o</w:t>
      </w:r>
      <w:r w:rsidRPr="00715A18">
        <w:rPr>
          <w:rFonts w:ascii="Arial" w:eastAsia="Arial" w:hAnsi="Arial"/>
          <w:b/>
          <w:spacing w:val="4"/>
          <w:sz w:val="20"/>
        </w:rPr>
        <w:t>m</w:t>
      </w:r>
      <w:r w:rsidRPr="00715A18">
        <w:rPr>
          <w:rFonts w:ascii="Arial" w:eastAsia="Arial" w:hAnsi="Arial"/>
          <w:b/>
          <w:sz w:val="20"/>
        </w:rPr>
        <w:t>pte</w:t>
      </w:r>
      <w:r w:rsidRPr="00715A18">
        <w:rPr>
          <w:rFonts w:ascii="Arial" w:eastAsia="Arial" w:hAnsi="Arial"/>
          <w:b/>
          <w:spacing w:val="5"/>
          <w:sz w:val="20"/>
        </w:rPr>
        <w:t xml:space="preserve"> </w:t>
      </w:r>
      <w:r w:rsidRPr="00715A18">
        <w:rPr>
          <w:rFonts w:ascii="Arial" w:eastAsia="Arial" w:hAnsi="Arial"/>
          <w:b/>
          <w:bCs/>
          <w:spacing w:val="-2"/>
          <w:sz w:val="20"/>
          <w:lang w:eastAsia="en-US"/>
        </w:rPr>
        <w:t>l</w:t>
      </w:r>
      <w:r w:rsidRPr="00715A18">
        <w:rPr>
          <w:rFonts w:ascii="Arial" w:eastAsia="Arial" w:hAnsi="Arial"/>
          <w:b/>
          <w:bCs/>
          <w:sz w:val="20"/>
          <w:lang w:eastAsia="en-US"/>
        </w:rPr>
        <w:t>'</w:t>
      </w:r>
      <w:r w:rsidRPr="00715A18">
        <w:rPr>
          <w:rFonts w:ascii="Arial" w:eastAsia="Arial" w:hAnsi="Arial"/>
          <w:b/>
          <w:bCs/>
          <w:spacing w:val="2"/>
          <w:sz w:val="20"/>
          <w:lang w:eastAsia="en-US"/>
        </w:rPr>
        <w:t>e</w:t>
      </w:r>
      <w:r w:rsidRPr="00715A18">
        <w:rPr>
          <w:rFonts w:ascii="Arial" w:eastAsia="Arial" w:hAnsi="Arial"/>
          <w:b/>
          <w:bCs/>
          <w:sz w:val="20"/>
          <w:lang w:eastAsia="en-US"/>
        </w:rPr>
        <w:t>n</w:t>
      </w:r>
      <w:r w:rsidRPr="00715A18">
        <w:rPr>
          <w:rFonts w:ascii="Arial" w:eastAsia="Arial" w:hAnsi="Arial"/>
          <w:b/>
          <w:bCs/>
          <w:spacing w:val="1"/>
          <w:sz w:val="20"/>
          <w:lang w:eastAsia="en-US"/>
        </w:rPr>
        <w:t>s</w:t>
      </w:r>
      <w:r w:rsidRPr="00715A18">
        <w:rPr>
          <w:rFonts w:ascii="Arial" w:eastAsia="Arial" w:hAnsi="Arial"/>
          <w:b/>
          <w:bCs/>
          <w:sz w:val="20"/>
          <w:lang w:eastAsia="en-US"/>
        </w:rPr>
        <w:t>e</w:t>
      </w:r>
      <w:r w:rsidRPr="00715A18">
        <w:rPr>
          <w:rFonts w:ascii="Arial" w:eastAsia="Arial" w:hAnsi="Arial"/>
          <w:b/>
          <w:bCs/>
          <w:spacing w:val="4"/>
          <w:sz w:val="20"/>
          <w:lang w:eastAsia="en-US"/>
        </w:rPr>
        <w:t>m</w:t>
      </w:r>
      <w:r w:rsidRPr="00715A18">
        <w:rPr>
          <w:rFonts w:ascii="Arial" w:eastAsia="Arial" w:hAnsi="Arial"/>
          <w:b/>
          <w:bCs/>
          <w:sz w:val="20"/>
          <w:lang w:eastAsia="en-US"/>
        </w:rPr>
        <w:t>b</w:t>
      </w:r>
      <w:r w:rsidRPr="00715A18">
        <w:rPr>
          <w:rFonts w:ascii="Arial" w:eastAsia="Arial" w:hAnsi="Arial"/>
          <w:b/>
          <w:bCs/>
          <w:spacing w:val="-2"/>
          <w:sz w:val="20"/>
          <w:lang w:eastAsia="en-US"/>
        </w:rPr>
        <w:t>l</w:t>
      </w:r>
      <w:r w:rsidRPr="00715A18">
        <w:rPr>
          <w:rFonts w:ascii="Arial" w:eastAsia="Arial" w:hAnsi="Arial"/>
          <w:b/>
          <w:bCs/>
          <w:sz w:val="20"/>
          <w:lang w:eastAsia="en-US"/>
        </w:rPr>
        <w:t>e</w:t>
      </w:r>
      <w:r w:rsidRPr="00715A18">
        <w:rPr>
          <w:rFonts w:ascii="Arial" w:eastAsia="Arial" w:hAnsi="Arial"/>
          <w:b/>
          <w:bCs/>
          <w:spacing w:val="6"/>
          <w:sz w:val="20"/>
          <w:lang w:eastAsia="en-US"/>
        </w:rPr>
        <w:t xml:space="preserve"> </w:t>
      </w:r>
      <w:r w:rsidRPr="00715A18">
        <w:rPr>
          <w:rFonts w:ascii="Arial" w:eastAsia="Arial" w:hAnsi="Arial"/>
          <w:b/>
          <w:bCs/>
          <w:sz w:val="20"/>
          <w:lang w:eastAsia="en-US"/>
        </w:rPr>
        <w:t>des</w:t>
      </w:r>
      <w:r w:rsidRPr="00715A18">
        <w:rPr>
          <w:rFonts w:ascii="Arial" w:eastAsia="Arial" w:hAnsi="Arial"/>
          <w:b/>
          <w:bCs/>
          <w:spacing w:val="6"/>
          <w:sz w:val="20"/>
          <w:lang w:eastAsia="en-US"/>
        </w:rPr>
        <w:t xml:space="preserve"> </w:t>
      </w:r>
      <w:r w:rsidRPr="00715A18">
        <w:rPr>
          <w:rFonts w:ascii="Arial" w:eastAsia="Arial" w:hAnsi="Arial"/>
          <w:b/>
          <w:spacing w:val="4"/>
          <w:sz w:val="20"/>
        </w:rPr>
        <w:t>m</w:t>
      </w:r>
      <w:r w:rsidRPr="00715A18">
        <w:rPr>
          <w:rFonts w:ascii="Arial" w:eastAsia="Arial" w:hAnsi="Arial"/>
          <w:b/>
          <w:sz w:val="20"/>
        </w:rPr>
        <w:t>éd</w:t>
      </w:r>
      <w:r w:rsidRPr="00715A18">
        <w:rPr>
          <w:rFonts w:ascii="Arial" w:eastAsia="Arial" w:hAnsi="Arial"/>
          <w:b/>
          <w:spacing w:val="-2"/>
          <w:sz w:val="20"/>
        </w:rPr>
        <w:t>i</w:t>
      </w:r>
      <w:r w:rsidRPr="00715A18">
        <w:rPr>
          <w:rFonts w:ascii="Arial" w:eastAsia="Arial" w:hAnsi="Arial"/>
          <w:b/>
          <w:spacing w:val="1"/>
          <w:sz w:val="20"/>
        </w:rPr>
        <w:t>c</w:t>
      </w:r>
      <w:r w:rsidRPr="00715A18">
        <w:rPr>
          <w:rFonts w:ascii="Arial" w:eastAsia="Arial" w:hAnsi="Arial"/>
          <w:b/>
          <w:sz w:val="20"/>
        </w:rPr>
        <w:t>a</w:t>
      </w:r>
      <w:r w:rsidRPr="00715A18">
        <w:rPr>
          <w:rFonts w:ascii="Arial" w:eastAsia="Arial" w:hAnsi="Arial"/>
          <w:b/>
          <w:spacing w:val="2"/>
          <w:sz w:val="20"/>
        </w:rPr>
        <w:t>m</w:t>
      </w:r>
      <w:r w:rsidRPr="00715A18">
        <w:rPr>
          <w:rFonts w:ascii="Arial" w:eastAsia="Arial" w:hAnsi="Arial"/>
          <w:b/>
          <w:sz w:val="20"/>
        </w:rPr>
        <w:t>ents</w:t>
      </w:r>
      <w:r w:rsidRPr="00715A18">
        <w:rPr>
          <w:rFonts w:ascii="Arial" w:eastAsia="Arial" w:hAnsi="Arial"/>
          <w:b/>
          <w:spacing w:val="6"/>
          <w:sz w:val="20"/>
        </w:rPr>
        <w:t xml:space="preserve"> </w:t>
      </w:r>
      <w:r w:rsidRPr="00715A18">
        <w:rPr>
          <w:rFonts w:ascii="Arial" w:eastAsia="Arial" w:hAnsi="Arial"/>
          <w:b/>
          <w:bCs/>
          <w:spacing w:val="6"/>
          <w:sz w:val="20"/>
          <w:lang w:eastAsia="en-US"/>
        </w:rPr>
        <w:t xml:space="preserve">contenant du paracétamol </w:t>
      </w:r>
      <w:r w:rsidRPr="00715A18">
        <w:rPr>
          <w:rFonts w:ascii="Arial" w:eastAsia="Arial" w:hAnsi="Arial"/>
          <w:b/>
          <w:sz w:val="20"/>
        </w:rPr>
        <w:t>p</w:t>
      </w:r>
      <w:r w:rsidRPr="00715A18">
        <w:rPr>
          <w:rFonts w:ascii="Arial" w:eastAsia="Arial" w:hAnsi="Arial"/>
          <w:b/>
          <w:spacing w:val="2"/>
          <w:sz w:val="20"/>
        </w:rPr>
        <w:t>o</w:t>
      </w:r>
      <w:r w:rsidRPr="00715A18">
        <w:rPr>
          <w:rFonts w:ascii="Arial" w:eastAsia="Arial" w:hAnsi="Arial"/>
          <w:b/>
          <w:sz w:val="20"/>
        </w:rPr>
        <w:t>ur</w:t>
      </w:r>
      <w:r w:rsidRPr="00715A18">
        <w:rPr>
          <w:rFonts w:ascii="Arial" w:eastAsia="Arial" w:hAnsi="Arial"/>
          <w:b/>
          <w:spacing w:val="6"/>
          <w:sz w:val="20"/>
        </w:rPr>
        <w:t xml:space="preserve"> </w:t>
      </w:r>
      <w:r w:rsidRPr="00715A18">
        <w:rPr>
          <w:rFonts w:ascii="Arial" w:eastAsia="Arial" w:hAnsi="Arial"/>
          <w:b/>
          <w:sz w:val="20"/>
        </w:rPr>
        <w:t>é</w:t>
      </w:r>
      <w:r w:rsidRPr="00715A18">
        <w:rPr>
          <w:rFonts w:ascii="Arial" w:eastAsia="Arial" w:hAnsi="Arial"/>
          <w:b/>
          <w:spacing w:val="1"/>
          <w:sz w:val="20"/>
        </w:rPr>
        <w:t>v</w:t>
      </w:r>
      <w:r w:rsidRPr="00715A18">
        <w:rPr>
          <w:rFonts w:ascii="Arial" w:eastAsia="Arial" w:hAnsi="Arial"/>
          <w:b/>
          <w:spacing w:val="-2"/>
          <w:sz w:val="20"/>
        </w:rPr>
        <w:t>i</w:t>
      </w:r>
      <w:r w:rsidRPr="00715A18">
        <w:rPr>
          <w:rFonts w:ascii="Arial" w:eastAsia="Arial" w:hAnsi="Arial"/>
          <w:b/>
          <w:sz w:val="20"/>
        </w:rPr>
        <w:t>ter</w:t>
      </w:r>
      <w:r w:rsidRPr="00715A18">
        <w:rPr>
          <w:rFonts w:ascii="Arial" w:eastAsia="Arial" w:hAnsi="Arial"/>
          <w:b/>
          <w:spacing w:val="6"/>
          <w:sz w:val="20"/>
        </w:rPr>
        <w:t xml:space="preserve"> </w:t>
      </w:r>
      <w:r w:rsidRPr="00715A18">
        <w:rPr>
          <w:rFonts w:ascii="Arial" w:eastAsia="Arial" w:hAnsi="Arial"/>
          <w:b/>
          <w:spacing w:val="2"/>
          <w:sz w:val="20"/>
        </w:rPr>
        <w:t>u</w:t>
      </w:r>
      <w:r w:rsidRPr="00715A18">
        <w:rPr>
          <w:rFonts w:ascii="Arial" w:eastAsia="Arial" w:hAnsi="Arial"/>
          <w:b/>
          <w:sz w:val="20"/>
        </w:rPr>
        <w:t>n</w:t>
      </w:r>
      <w:r w:rsidRPr="00715A18">
        <w:rPr>
          <w:rFonts w:ascii="Arial" w:eastAsia="Arial" w:hAnsi="Arial"/>
          <w:b/>
          <w:spacing w:val="5"/>
          <w:sz w:val="20"/>
        </w:rPr>
        <w:t xml:space="preserve"> </w:t>
      </w:r>
      <w:r w:rsidRPr="00715A18">
        <w:rPr>
          <w:rFonts w:ascii="Arial" w:eastAsia="Arial" w:hAnsi="Arial"/>
          <w:b/>
          <w:spacing w:val="2"/>
          <w:sz w:val="20"/>
        </w:rPr>
        <w:t>s</w:t>
      </w:r>
      <w:r w:rsidRPr="00715A18">
        <w:rPr>
          <w:rFonts w:ascii="Arial" w:eastAsia="Arial" w:hAnsi="Arial"/>
          <w:b/>
          <w:sz w:val="20"/>
        </w:rPr>
        <w:t>urdo</w:t>
      </w:r>
      <w:r w:rsidRPr="00715A18">
        <w:rPr>
          <w:rFonts w:ascii="Arial" w:eastAsia="Arial" w:hAnsi="Arial"/>
          <w:b/>
          <w:spacing w:val="3"/>
          <w:sz w:val="20"/>
        </w:rPr>
        <w:t>s</w:t>
      </w:r>
      <w:r w:rsidRPr="00715A18">
        <w:rPr>
          <w:rFonts w:ascii="Arial" w:eastAsia="Arial" w:hAnsi="Arial"/>
          <w:b/>
          <w:sz w:val="20"/>
        </w:rPr>
        <w:t>age,</w:t>
      </w:r>
      <w:r w:rsidRPr="00715A18">
        <w:rPr>
          <w:rFonts w:ascii="Arial" w:eastAsia="Arial" w:hAnsi="Arial"/>
          <w:b/>
          <w:spacing w:val="10"/>
          <w:sz w:val="20"/>
        </w:rPr>
        <w:t xml:space="preserve"> </w:t>
      </w:r>
      <w:r w:rsidRPr="00715A18">
        <w:rPr>
          <w:rFonts w:ascii="Arial" w:eastAsia="Arial" w:hAnsi="Arial"/>
          <w:b/>
          <w:sz w:val="20"/>
        </w:rPr>
        <w:t>y</w:t>
      </w:r>
      <w:r w:rsidRPr="00715A18">
        <w:rPr>
          <w:rFonts w:ascii="Arial" w:eastAsia="Arial" w:hAnsi="Arial"/>
          <w:b/>
          <w:spacing w:val="3"/>
          <w:sz w:val="20"/>
        </w:rPr>
        <w:t xml:space="preserve"> </w:t>
      </w:r>
      <w:r w:rsidRPr="00715A18">
        <w:rPr>
          <w:rFonts w:ascii="Arial" w:eastAsia="Arial" w:hAnsi="Arial"/>
          <w:b/>
          <w:spacing w:val="1"/>
          <w:sz w:val="20"/>
        </w:rPr>
        <w:t>c</w:t>
      </w:r>
      <w:r w:rsidRPr="00715A18">
        <w:rPr>
          <w:rFonts w:ascii="Arial" w:eastAsia="Arial" w:hAnsi="Arial"/>
          <w:b/>
          <w:sz w:val="20"/>
        </w:rPr>
        <w:t>o</w:t>
      </w:r>
      <w:r w:rsidRPr="00715A18">
        <w:rPr>
          <w:rFonts w:ascii="Arial" w:eastAsia="Arial" w:hAnsi="Arial"/>
          <w:b/>
          <w:spacing w:val="4"/>
          <w:sz w:val="20"/>
        </w:rPr>
        <w:t>m</w:t>
      </w:r>
      <w:r w:rsidRPr="00715A18">
        <w:rPr>
          <w:rFonts w:ascii="Arial" w:eastAsia="Arial" w:hAnsi="Arial"/>
          <w:b/>
          <w:sz w:val="20"/>
        </w:rPr>
        <w:t>pr</w:t>
      </w:r>
      <w:r w:rsidRPr="00715A18">
        <w:rPr>
          <w:rFonts w:ascii="Arial" w:eastAsia="Arial" w:hAnsi="Arial"/>
          <w:b/>
          <w:spacing w:val="-2"/>
          <w:sz w:val="20"/>
        </w:rPr>
        <w:t>i</w:t>
      </w:r>
      <w:r w:rsidRPr="00715A18">
        <w:rPr>
          <w:rFonts w:ascii="Arial" w:eastAsia="Arial" w:hAnsi="Arial"/>
          <w:b/>
          <w:sz w:val="20"/>
        </w:rPr>
        <w:t>s</w:t>
      </w:r>
      <w:r w:rsidRPr="00715A18">
        <w:rPr>
          <w:rFonts w:ascii="Arial" w:eastAsia="Arial" w:hAnsi="Arial"/>
          <w:b/>
          <w:spacing w:val="6"/>
          <w:sz w:val="20"/>
        </w:rPr>
        <w:t xml:space="preserve"> </w:t>
      </w:r>
      <w:r w:rsidRPr="00715A18">
        <w:rPr>
          <w:rFonts w:ascii="Arial" w:eastAsia="Arial" w:hAnsi="Arial"/>
          <w:b/>
          <w:bCs/>
          <w:spacing w:val="1"/>
          <w:sz w:val="20"/>
          <w:lang w:eastAsia="en-US"/>
        </w:rPr>
        <w:t>s</w:t>
      </w:r>
      <w:r w:rsidRPr="00715A18">
        <w:rPr>
          <w:rFonts w:ascii="Arial" w:eastAsia="Arial" w:hAnsi="Arial"/>
          <w:b/>
          <w:bCs/>
          <w:sz w:val="20"/>
          <w:lang w:eastAsia="en-US"/>
        </w:rPr>
        <w:t>i</w:t>
      </w:r>
      <w:r w:rsidRPr="00715A18">
        <w:rPr>
          <w:rFonts w:ascii="Arial" w:eastAsia="Arial" w:hAnsi="Arial"/>
          <w:b/>
          <w:bCs/>
          <w:spacing w:val="4"/>
          <w:sz w:val="20"/>
          <w:lang w:eastAsia="en-US"/>
        </w:rPr>
        <w:t xml:space="preserve"> </w:t>
      </w:r>
      <w:r w:rsidRPr="00715A18">
        <w:rPr>
          <w:rFonts w:ascii="Arial" w:eastAsia="Arial" w:hAnsi="Arial"/>
          <w:b/>
          <w:bCs/>
          <w:spacing w:val="-2"/>
          <w:sz w:val="20"/>
          <w:lang w:eastAsia="en-US"/>
        </w:rPr>
        <w:t>c</w:t>
      </w:r>
      <w:r w:rsidRPr="00715A18">
        <w:rPr>
          <w:rFonts w:ascii="Arial" w:eastAsia="Arial" w:hAnsi="Arial"/>
          <w:b/>
          <w:bCs/>
          <w:sz w:val="20"/>
          <w:lang w:eastAsia="en-US"/>
        </w:rPr>
        <w:t>e</w:t>
      </w:r>
      <w:r w:rsidRPr="00715A18">
        <w:rPr>
          <w:rFonts w:ascii="Arial" w:eastAsia="Arial" w:hAnsi="Arial"/>
          <w:b/>
          <w:bCs/>
          <w:w w:val="99"/>
          <w:sz w:val="20"/>
          <w:lang w:eastAsia="en-US"/>
        </w:rPr>
        <w:t xml:space="preserve"> </w:t>
      </w:r>
      <w:r w:rsidRPr="00715A18">
        <w:rPr>
          <w:rFonts w:ascii="Arial" w:eastAsia="Arial" w:hAnsi="Arial"/>
          <w:b/>
          <w:bCs/>
          <w:spacing w:val="1"/>
          <w:sz w:val="20"/>
          <w:lang w:eastAsia="en-US"/>
        </w:rPr>
        <w:t>s</w:t>
      </w:r>
      <w:r w:rsidRPr="00715A18">
        <w:rPr>
          <w:rFonts w:ascii="Arial" w:eastAsia="Arial" w:hAnsi="Arial"/>
          <w:b/>
          <w:bCs/>
          <w:sz w:val="20"/>
          <w:lang w:eastAsia="en-US"/>
        </w:rPr>
        <w:t>ont</w:t>
      </w:r>
      <w:r w:rsidRPr="00715A18">
        <w:rPr>
          <w:rFonts w:ascii="Arial" w:eastAsia="Arial" w:hAnsi="Arial"/>
          <w:b/>
          <w:bCs/>
          <w:spacing w:val="-8"/>
          <w:sz w:val="20"/>
          <w:lang w:eastAsia="en-US"/>
        </w:rPr>
        <w:t xml:space="preserve"> </w:t>
      </w:r>
      <w:r w:rsidRPr="00715A18">
        <w:rPr>
          <w:rFonts w:ascii="Arial" w:eastAsia="Arial" w:hAnsi="Arial"/>
          <w:b/>
          <w:bCs/>
          <w:sz w:val="20"/>
          <w:lang w:eastAsia="en-US"/>
        </w:rPr>
        <w:t>des</w:t>
      </w:r>
      <w:r w:rsidRPr="00715A18">
        <w:rPr>
          <w:rFonts w:ascii="Arial" w:eastAsia="Arial" w:hAnsi="Arial"/>
          <w:b/>
          <w:bCs/>
          <w:spacing w:val="-7"/>
          <w:sz w:val="20"/>
          <w:lang w:eastAsia="en-US"/>
        </w:rPr>
        <w:t xml:space="preserve"> </w:t>
      </w:r>
      <w:r w:rsidRPr="00715A18">
        <w:rPr>
          <w:rFonts w:ascii="Arial" w:eastAsia="Arial" w:hAnsi="Arial"/>
          <w:b/>
          <w:bCs/>
          <w:spacing w:val="4"/>
          <w:sz w:val="20"/>
          <w:lang w:eastAsia="en-US"/>
        </w:rPr>
        <w:t>m</w:t>
      </w:r>
      <w:r w:rsidRPr="00715A18">
        <w:rPr>
          <w:rFonts w:ascii="Arial" w:eastAsia="Arial" w:hAnsi="Arial"/>
          <w:b/>
          <w:bCs/>
          <w:sz w:val="20"/>
          <w:lang w:eastAsia="en-US"/>
        </w:rPr>
        <w:t>éd</w:t>
      </w:r>
      <w:r w:rsidRPr="00715A18">
        <w:rPr>
          <w:rFonts w:ascii="Arial" w:eastAsia="Arial" w:hAnsi="Arial"/>
          <w:b/>
          <w:bCs/>
          <w:spacing w:val="-2"/>
          <w:sz w:val="20"/>
          <w:lang w:eastAsia="en-US"/>
        </w:rPr>
        <w:t>i</w:t>
      </w:r>
      <w:r w:rsidRPr="00715A18">
        <w:rPr>
          <w:rFonts w:ascii="Arial" w:eastAsia="Arial" w:hAnsi="Arial"/>
          <w:b/>
          <w:bCs/>
          <w:spacing w:val="1"/>
          <w:sz w:val="20"/>
          <w:lang w:eastAsia="en-US"/>
        </w:rPr>
        <w:t>c</w:t>
      </w:r>
      <w:r w:rsidRPr="00715A18">
        <w:rPr>
          <w:rFonts w:ascii="Arial" w:eastAsia="Arial" w:hAnsi="Arial"/>
          <w:b/>
          <w:bCs/>
          <w:sz w:val="20"/>
          <w:lang w:eastAsia="en-US"/>
        </w:rPr>
        <w:t>a</w:t>
      </w:r>
      <w:r w:rsidRPr="00715A18">
        <w:rPr>
          <w:rFonts w:ascii="Arial" w:eastAsia="Arial" w:hAnsi="Arial"/>
          <w:b/>
          <w:bCs/>
          <w:spacing w:val="4"/>
          <w:sz w:val="20"/>
          <w:lang w:eastAsia="en-US"/>
        </w:rPr>
        <w:t>m</w:t>
      </w:r>
      <w:r w:rsidRPr="00715A18">
        <w:rPr>
          <w:rFonts w:ascii="Arial" w:eastAsia="Arial" w:hAnsi="Arial"/>
          <w:b/>
          <w:bCs/>
          <w:sz w:val="20"/>
          <w:lang w:eastAsia="en-US"/>
        </w:rPr>
        <w:t>ents</w:t>
      </w:r>
      <w:r w:rsidRPr="00715A18">
        <w:rPr>
          <w:rFonts w:ascii="Arial" w:eastAsia="Arial" w:hAnsi="Arial"/>
          <w:b/>
          <w:spacing w:val="-7"/>
          <w:sz w:val="20"/>
        </w:rPr>
        <w:t xml:space="preserve"> </w:t>
      </w:r>
      <w:r w:rsidRPr="00715A18">
        <w:rPr>
          <w:rFonts w:ascii="Arial" w:eastAsia="Arial" w:hAnsi="Arial"/>
          <w:b/>
          <w:sz w:val="20"/>
        </w:rPr>
        <w:t>obt</w:t>
      </w:r>
      <w:r w:rsidRPr="00715A18">
        <w:rPr>
          <w:rFonts w:ascii="Arial" w:eastAsia="Arial" w:hAnsi="Arial"/>
          <w:b/>
          <w:spacing w:val="2"/>
          <w:sz w:val="20"/>
        </w:rPr>
        <w:t>e</w:t>
      </w:r>
      <w:r w:rsidRPr="00715A18">
        <w:rPr>
          <w:rFonts w:ascii="Arial" w:eastAsia="Arial" w:hAnsi="Arial"/>
          <w:b/>
          <w:sz w:val="20"/>
        </w:rPr>
        <w:t>nus</w:t>
      </w:r>
      <w:r w:rsidRPr="00715A18">
        <w:rPr>
          <w:rFonts w:ascii="Arial" w:eastAsia="Arial" w:hAnsi="Arial"/>
          <w:b/>
          <w:spacing w:val="-7"/>
          <w:sz w:val="20"/>
        </w:rPr>
        <w:t xml:space="preserve"> </w:t>
      </w:r>
      <w:r w:rsidRPr="00715A18">
        <w:rPr>
          <w:rFonts w:ascii="Arial" w:eastAsia="Arial" w:hAnsi="Arial"/>
          <w:b/>
          <w:spacing w:val="1"/>
          <w:sz w:val="20"/>
        </w:rPr>
        <w:t>s</w:t>
      </w:r>
      <w:r w:rsidRPr="00715A18">
        <w:rPr>
          <w:rFonts w:ascii="Arial" w:eastAsia="Arial" w:hAnsi="Arial"/>
          <w:b/>
          <w:sz w:val="20"/>
        </w:rPr>
        <w:t>ans</w:t>
      </w:r>
      <w:r w:rsidRPr="00715A18">
        <w:rPr>
          <w:rFonts w:ascii="Arial" w:eastAsia="Arial" w:hAnsi="Arial"/>
          <w:b/>
          <w:spacing w:val="-7"/>
          <w:sz w:val="20"/>
        </w:rPr>
        <w:t xml:space="preserve"> </w:t>
      </w:r>
      <w:r w:rsidRPr="00715A18">
        <w:rPr>
          <w:rFonts w:ascii="Arial" w:eastAsia="Arial" w:hAnsi="Arial"/>
          <w:b/>
          <w:sz w:val="20"/>
        </w:rPr>
        <w:t>pre</w:t>
      </w:r>
      <w:r w:rsidRPr="00715A18">
        <w:rPr>
          <w:rFonts w:ascii="Arial" w:eastAsia="Arial" w:hAnsi="Arial"/>
          <w:b/>
          <w:spacing w:val="1"/>
          <w:sz w:val="20"/>
        </w:rPr>
        <w:t>sc</w:t>
      </w:r>
      <w:r w:rsidRPr="00715A18">
        <w:rPr>
          <w:rFonts w:ascii="Arial" w:eastAsia="Arial" w:hAnsi="Arial"/>
          <w:b/>
          <w:sz w:val="20"/>
        </w:rPr>
        <w:t>r</w:t>
      </w:r>
      <w:r w:rsidRPr="00715A18">
        <w:rPr>
          <w:rFonts w:ascii="Arial" w:eastAsia="Arial" w:hAnsi="Arial"/>
          <w:b/>
          <w:spacing w:val="-2"/>
          <w:sz w:val="20"/>
        </w:rPr>
        <w:t>i</w:t>
      </w:r>
      <w:r w:rsidRPr="00715A18">
        <w:rPr>
          <w:rFonts w:ascii="Arial" w:eastAsia="Arial" w:hAnsi="Arial"/>
          <w:b/>
          <w:sz w:val="20"/>
        </w:rPr>
        <w:t>p</w:t>
      </w:r>
      <w:r w:rsidRPr="00715A18">
        <w:rPr>
          <w:rFonts w:ascii="Arial" w:eastAsia="Arial" w:hAnsi="Arial"/>
          <w:b/>
          <w:spacing w:val="2"/>
          <w:sz w:val="20"/>
        </w:rPr>
        <w:t>t</w:t>
      </w:r>
      <w:r w:rsidRPr="00715A18">
        <w:rPr>
          <w:rFonts w:ascii="Arial" w:eastAsia="Arial" w:hAnsi="Arial"/>
          <w:b/>
          <w:spacing w:val="-2"/>
          <w:sz w:val="20"/>
        </w:rPr>
        <w:t>i</w:t>
      </w:r>
      <w:r w:rsidRPr="00715A18">
        <w:rPr>
          <w:rFonts w:ascii="Arial" w:eastAsia="Arial" w:hAnsi="Arial"/>
          <w:b/>
          <w:sz w:val="20"/>
        </w:rPr>
        <w:t>on</w:t>
      </w:r>
      <w:r>
        <w:rPr>
          <w:rFonts w:ascii="Arial" w:eastAsia="Arial" w:hAnsi="Arial"/>
          <w:b/>
          <w:sz w:val="20"/>
        </w:rPr>
        <w:t>.</w:t>
      </w:r>
      <w:r w:rsidRPr="00715A18">
        <w:rPr>
          <w:rFonts w:ascii="Arial" w:eastAsia="Arial" w:hAnsi="Arial"/>
          <w:b/>
          <w:spacing w:val="-6"/>
          <w:sz w:val="20"/>
        </w:rPr>
        <w:t xml:space="preserve"> </w:t>
      </w:r>
    </w:p>
    <w:p w14:paraId="6BBF410F" w14:textId="6C53F373" w:rsidR="00715A18" w:rsidRPr="00715A18" w:rsidRDefault="00715A18" w:rsidP="00715A18">
      <w:pPr>
        <w:spacing w:after="120"/>
        <w:rPr>
          <w:rFonts w:ascii="Arial" w:hAnsi="Arial" w:cs="Arial"/>
          <w:sz w:val="20"/>
        </w:rPr>
      </w:pPr>
      <w:r w:rsidRPr="00715A18">
        <w:rPr>
          <w:rFonts w:ascii="Arial" w:hAnsi="Arial" w:cs="Arial"/>
          <w:sz w:val="20"/>
        </w:rPr>
        <w:t xml:space="preserve">Uniquement sur avis médical et en l’absence de facteurs de risques concomitants, la posologie peut être augmentée jusqu'à 4000 mg (4 g) par jour, soit </w:t>
      </w:r>
      <w:r w:rsidR="003B5555">
        <w:rPr>
          <w:rFonts w:ascii="Arial" w:hAnsi="Arial" w:cs="Arial"/>
          <w:sz w:val="20"/>
        </w:rPr>
        <w:t>4</w:t>
      </w:r>
      <w:r w:rsidRPr="00715A18">
        <w:rPr>
          <w:rFonts w:ascii="Arial" w:hAnsi="Arial" w:cs="Arial"/>
          <w:sz w:val="20"/>
        </w:rPr>
        <w:t xml:space="preserve"> </w:t>
      </w:r>
      <w:r w:rsidR="003B5555" w:rsidRPr="003B5555">
        <w:rPr>
          <w:rFonts w:ascii="Arial" w:hAnsi="Arial" w:cs="Arial"/>
          <w:sz w:val="20"/>
          <w:highlight w:val="yellow"/>
        </w:rPr>
        <w:t>xxx</w:t>
      </w:r>
      <w:r w:rsidRPr="00715A18">
        <w:rPr>
          <w:rFonts w:ascii="Arial" w:hAnsi="Arial" w:cs="Arial"/>
          <w:sz w:val="20"/>
        </w:rPr>
        <w:t xml:space="preserve"> par jour, chez les patients pesant au moins 50 kg (</w:t>
      </w:r>
      <w:r w:rsidR="00B27E6B">
        <w:rPr>
          <w:rFonts w:ascii="Arial" w:hAnsi="Arial" w:cs="Arial"/>
          <w:sz w:val="20"/>
        </w:rPr>
        <w:t>environ</w:t>
      </w:r>
      <w:r w:rsidRPr="00715A18">
        <w:rPr>
          <w:rFonts w:ascii="Arial" w:hAnsi="Arial" w:cs="Arial"/>
          <w:sz w:val="20"/>
        </w:rPr>
        <w:t xml:space="preserve"> 15 ans).</w:t>
      </w:r>
    </w:p>
    <w:p w14:paraId="276AE02F" w14:textId="77777777" w:rsidR="0074557C" w:rsidRPr="00652B40" w:rsidRDefault="0074557C" w:rsidP="0074557C">
      <w:pPr>
        <w:pStyle w:val="AmmCorpsTexte"/>
        <w:rPr>
          <w:rStyle w:val="AmmCorpsTexteCar"/>
          <w:rFonts w:eastAsia="Arial"/>
          <w:b/>
          <w:bCs/>
          <w:u w:val="single"/>
        </w:rPr>
      </w:pPr>
      <w:r w:rsidRPr="00652B40">
        <w:rPr>
          <w:rStyle w:val="AmmCorpsTexteCar"/>
          <w:rFonts w:eastAsia="Arial"/>
          <w:b/>
          <w:bCs/>
          <w:u w:val="single"/>
        </w:rPr>
        <w:t xml:space="preserve">Populations </w:t>
      </w:r>
      <w:r>
        <w:rPr>
          <w:rStyle w:val="AmmCorpsTexteCar"/>
          <w:rFonts w:eastAsia="Arial"/>
          <w:b/>
          <w:bCs/>
          <w:u w:val="single"/>
        </w:rPr>
        <w:t>spéciales</w:t>
      </w:r>
    </w:p>
    <w:p w14:paraId="232FD576" w14:textId="77777777" w:rsidR="00715A18" w:rsidRPr="00715A18" w:rsidRDefault="00715A18" w:rsidP="00715A18">
      <w:pPr>
        <w:spacing w:after="120"/>
        <w:rPr>
          <w:rFonts w:ascii="Arial" w:hAnsi="Arial"/>
          <w:sz w:val="20"/>
        </w:rPr>
      </w:pPr>
      <w:r w:rsidRPr="00715A18">
        <w:rPr>
          <w:rFonts w:ascii="Arial" w:hAnsi="Arial"/>
          <w:sz w:val="20"/>
        </w:rPr>
        <w:t xml:space="preserve">La dose maximale quotidienne ne doit pas dépasser 60 mg/kg/jour ni excéder 3000 mg par jour (3 g/jour) dans les situations suivantes :  </w:t>
      </w:r>
    </w:p>
    <w:p w14:paraId="7D1CD0D4" w14:textId="77777777" w:rsidR="00715A18" w:rsidRPr="00715A18" w:rsidRDefault="00715A18" w:rsidP="00715A18">
      <w:pPr>
        <w:spacing w:after="120"/>
        <w:rPr>
          <w:rFonts w:ascii="Arial" w:hAnsi="Arial"/>
          <w:sz w:val="20"/>
        </w:rPr>
      </w:pPr>
      <w:r w:rsidRPr="00715A18">
        <w:rPr>
          <w:rFonts w:ascii="Arial" w:hAnsi="Arial"/>
          <w:sz w:val="20"/>
        </w:rPr>
        <w:t>•</w:t>
      </w:r>
      <w:r w:rsidRPr="00715A18">
        <w:rPr>
          <w:rFonts w:ascii="Arial" w:hAnsi="Arial"/>
          <w:sz w:val="20"/>
        </w:rPr>
        <w:tab/>
        <w:t xml:space="preserve">Adultes de moins de 50 kg, </w:t>
      </w:r>
    </w:p>
    <w:p w14:paraId="5584415C" w14:textId="19642AA6" w:rsidR="00715A18" w:rsidRPr="00715A18" w:rsidRDefault="00715A18" w:rsidP="00715A18">
      <w:pPr>
        <w:spacing w:after="120"/>
        <w:rPr>
          <w:rFonts w:ascii="Arial" w:hAnsi="Arial"/>
          <w:sz w:val="20"/>
        </w:rPr>
      </w:pPr>
      <w:r w:rsidRPr="00715A18">
        <w:rPr>
          <w:rFonts w:ascii="Arial" w:hAnsi="Arial"/>
          <w:sz w:val="20"/>
        </w:rPr>
        <w:t>•</w:t>
      </w:r>
      <w:r w:rsidRPr="00715A18">
        <w:rPr>
          <w:rFonts w:ascii="Arial" w:hAnsi="Arial"/>
          <w:sz w:val="20"/>
        </w:rPr>
        <w:tab/>
      </w:r>
      <w:r w:rsidR="00771BE6">
        <w:rPr>
          <w:rFonts w:ascii="Arial" w:hAnsi="Arial"/>
          <w:sz w:val="20"/>
        </w:rPr>
        <w:t xml:space="preserve">En cas de </w:t>
      </w:r>
      <w:r w:rsidR="00771BE6" w:rsidRPr="005E5379">
        <w:rPr>
          <w:rFonts w:ascii="Arial" w:hAnsi="Arial"/>
          <w:sz w:val="20"/>
        </w:rPr>
        <w:t>réserves basses ou déficit en glutathion hépatique</w:t>
      </w:r>
      <w:r w:rsidR="00771BE6">
        <w:rPr>
          <w:rFonts w:ascii="Arial" w:hAnsi="Arial"/>
          <w:sz w:val="20"/>
        </w:rPr>
        <w:t xml:space="preserve"> (ex : malnutrition chronique, </w:t>
      </w:r>
      <w:r w:rsidR="00771BE6" w:rsidRPr="005E5379">
        <w:rPr>
          <w:rFonts w:ascii="Arial" w:hAnsi="Arial"/>
          <w:sz w:val="20"/>
        </w:rPr>
        <w:t>jeûne, amaigrissement récent, anorexie, cachexie</w:t>
      </w:r>
      <w:r w:rsidR="00771BE6">
        <w:rPr>
          <w:rFonts w:ascii="Arial" w:hAnsi="Arial"/>
          <w:sz w:val="20"/>
        </w:rPr>
        <w:t>)</w:t>
      </w:r>
      <w:r w:rsidRPr="00715A18">
        <w:rPr>
          <w:rFonts w:ascii="Arial" w:hAnsi="Arial"/>
          <w:sz w:val="20"/>
        </w:rPr>
        <w:t xml:space="preserve">, </w:t>
      </w:r>
    </w:p>
    <w:p w14:paraId="4DCC5970" w14:textId="32C4DBC7" w:rsidR="00715A18" w:rsidRPr="00715A18" w:rsidRDefault="00715A18" w:rsidP="00715A18">
      <w:pPr>
        <w:spacing w:after="120"/>
        <w:rPr>
          <w:rFonts w:ascii="Arial" w:hAnsi="Arial"/>
          <w:sz w:val="20"/>
        </w:rPr>
      </w:pPr>
      <w:r w:rsidRPr="00715A18">
        <w:rPr>
          <w:rFonts w:ascii="Arial" w:hAnsi="Arial"/>
          <w:sz w:val="20"/>
        </w:rPr>
        <w:t>•</w:t>
      </w:r>
      <w:r w:rsidRPr="00715A18">
        <w:rPr>
          <w:rFonts w:ascii="Arial" w:hAnsi="Arial"/>
          <w:sz w:val="20"/>
        </w:rPr>
        <w:tab/>
        <w:t>Déshydratation</w:t>
      </w:r>
      <w:r w:rsidR="00601ABE">
        <w:rPr>
          <w:rFonts w:ascii="Arial" w:hAnsi="Arial"/>
          <w:sz w:val="20"/>
        </w:rPr>
        <w:t>.</w:t>
      </w:r>
    </w:p>
    <w:p w14:paraId="338FF08F" w14:textId="77777777" w:rsidR="00157BF4" w:rsidRDefault="00157BF4" w:rsidP="00157BF4">
      <w:pPr>
        <w:spacing w:after="120"/>
        <w:rPr>
          <w:rFonts w:ascii="Arial" w:hAnsi="Arial"/>
          <w:b/>
          <w:sz w:val="20"/>
        </w:rPr>
      </w:pPr>
    </w:p>
    <w:p w14:paraId="340C73BE" w14:textId="77777777" w:rsidR="00157BF4" w:rsidRPr="00157BF4" w:rsidRDefault="00157BF4" w:rsidP="00157BF4">
      <w:pPr>
        <w:spacing w:after="120"/>
        <w:rPr>
          <w:rFonts w:ascii="Arial" w:hAnsi="Arial"/>
          <w:sz w:val="20"/>
        </w:rPr>
      </w:pPr>
      <w:r w:rsidRPr="00157BF4">
        <w:rPr>
          <w:rFonts w:ascii="Arial" w:hAnsi="Arial"/>
          <w:b/>
          <w:sz w:val="20"/>
        </w:rPr>
        <w:t>Insuffisance hépatique (légère à modérée), alcoolisme chronique et syndrome de Gilbert (jaunisse familiale non-hémolytique)</w:t>
      </w:r>
    </w:p>
    <w:p w14:paraId="5CC11909" w14:textId="76164F34" w:rsidR="00157BF4" w:rsidRPr="00157BF4" w:rsidRDefault="00157BF4" w:rsidP="00157BF4">
      <w:pPr>
        <w:spacing w:after="120"/>
        <w:rPr>
          <w:rFonts w:ascii="Arial" w:hAnsi="Arial"/>
          <w:sz w:val="20"/>
        </w:rPr>
      </w:pPr>
      <w:r w:rsidRPr="00157BF4">
        <w:rPr>
          <w:rFonts w:ascii="Arial" w:hAnsi="Arial"/>
          <w:sz w:val="20"/>
        </w:rPr>
        <w:lastRenderedPageBreak/>
        <w:t>Il est recommandé de réduire la dose et d’augmenter l’intervalle minimum entre deux prises. La dose quotidienne de paracétamol ne doit pas dépasser 2000 mg/jour (2 g/jour).</w:t>
      </w:r>
    </w:p>
    <w:p w14:paraId="19667799" w14:textId="32B31CC9" w:rsidR="00B070F7" w:rsidRPr="00B070F7" w:rsidRDefault="00B070F7" w:rsidP="00B070F7">
      <w:pPr>
        <w:spacing w:after="120"/>
        <w:rPr>
          <w:rFonts w:ascii="Arial" w:hAnsi="Arial"/>
          <w:b/>
          <w:sz w:val="20"/>
        </w:rPr>
      </w:pPr>
      <w:r w:rsidRPr="00B070F7">
        <w:rPr>
          <w:rFonts w:ascii="Arial" w:hAnsi="Arial"/>
          <w:b/>
          <w:sz w:val="20"/>
        </w:rPr>
        <w:t>Insuffisance rénale</w:t>
      </w:r>
    </w:p>
    <w:p w14:paraId="249ED5CF" w14:textId="4D7D7BA2" w:rsidR="00B070F7" w:rsidRPr="00B070F7" w:rsidRDefault="00B070F7" w:rsidP="00B070F7">
      <w:pPr>
        <w:spacing w:after="120"/>
        <w:rPr>
          <w:rFonts w:ascii="Arial" w:hAnsi="Arial"/>
          <w:sz w:val="20"/>
        </w:rPr>
      </w:pPr>
      <w:r w:rsidRPr="00B070F7">
        <w:rPr>
          <w:rFonts w:ascii="Arial" w:hAnsi="Arial"/>
          <w:sz w:val="20"/>
        </w:rPr>
        <w:t xml:space="preserve">En cas d'insuffisance rénale et sauf avis médical, il est recommandé de réduire la dose </w:t>
      </w:r>
      <w:r w:rsidR="00E332E6">
        <w:rPr>
          <w:rFonts w:ascii="Arial" w:hAnsi="Arial"/>
          <w:sz w:val="20"/>
        </w:rPr>
        <w:t xml:space="preserve">journalière maximale </w:t>
      </w:r>
      <w:r w:rsidRPr="00B070F7">
        <w:rPr>
          <w:rFonts w:ascii="Arial" w:hAnsi="Arial"/>
          <w:sz w:val="20"/>
        </w:rPr>
        <w:t>et d’augmenter l’intervalle minimum entre 2 prises selon le tableau ci-dessous.</w:t>
      </w:r>
      <w:r w:rsidRPr="00B070F7" w:rsidDel="002D5BDF">
        <w:rPr>
          <w:rFonts w:ascii="Arial" w:hAnsi="Arial"/>
          <w:sz w:val="20"/>
        </w:rPr>
        <w:t xml:space="preserve"> </w:t>
      </w:r>
    </w:p>
    <w:p w14:paraId="7C7D2669" w14:textId="77777777" w:rsidR="00B070F7" w:rsidRPr="00B070F7" w:rsidRDefault="00B070F7" w:rsidP="00B070F7">
      <w:pPr>
        <w:spacing w:after="120"/>
        <w:rPr>
          <w:rFonts w:ascii="Arial" w:hAnsi="Arial"/>
          <w:sz w:val="20"/>
        </w:rPr>
      </w:pPr>
      <w:r w:rsidRPr="00B070F7">
        <w:rPr>
          <w:rFonts w:ascii="Arial" w:hAnsi="Arial"/>
          <w:sz w:val="20"/>
        </w:rPr>
        <w:t>Adultes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53"/>
        <w:gridCol w:w="2630"/>
        <w:gridCol w:w="2675"/>
      </w:tblGrid>
      <w:tr w:rsidR="005A58A0" w:rsidRPr="005A58A0" w14:paraId="66AC266B" w14:textId="77777777" w:rsidTr="00B250B6">
        <w:trPr>
          <w:trHeight w:val="495"/>
          <w:jc w:val="center"/>
        </w:trPr>
        <w:tc>
          <w:tcPr>
            <w:tcW w:w="0" w:type="auto"/>
            <w:shd w:val="pct12" w:color="auto" w:fill="auto"/>
          </w:tcPr>
          <w:p w14:paraId="579EE050" w14:textId="77777777" w:rsidR="005A58A0" w:rsidRPr="005A58A0" w:rsidRDefault="005A58A0" w:rsidP="005A58A0">
            <w:pPr>
              <w:spacing w:after="160" w:line="259" w:lineRule="auto"/>
              <w:jc w:val="center"/>
              <w:rPr>
                <w:rFonts w:ascii="Arial" w:eastAsia="Calibri" w:hAnsi="Arial" w:cs="Arial"/>
                <w:b/>
                <w:sz w:val="20"/>
                <w:szCs w:val="22"/>
                <w:lang w:eastAsia="en-US"/>
              </w:rPr>
            </w:pPr>
            <w:r w:rsidRPr="005A58A0">
              <w:rPr>
                <w:rFonts w:ascii="Arial" w:eastAsia="Calibri" w:hAnsi="Arial" w:cs="Arial"/>
                <w:b/>
                <w:sz w:val="20"/>
                <w:szCs w:val="22"/>
                <w:lang w:eastAsia="en-US"/>
              </w:rPr>
              <w:t>Clairance de la créatinine</w:t>
            </w:r>
          </w:p>
        </w:tc>
        <w:tc>
          <w:tcPr>
            <w:tcW w:w="0" w:type="auto"/>
            <w:shd w:val="pct12" w:color="auto" w:fill="auto"/>
          </w:tcPr>
          <w:p w14:paraId="05103E53" w14:textId="0F2FD932" w:rsidR="005A58A0" w:rsidRPr="005A58A0" w:rsidRDefault="005A58A0" w:rsidP="005A58A0">
            <w:pPr>
              <w:spacing w:after="160" w:line="259" w:lineRule="auto"/>
              <w:jc w:val="center"/>
              <w:rPr>
                <w:rFonts w:ascii="Arial" w:eastAsia="Calibri" w:hAnsi="Arial" w:cs="Arial"/>
                <w:b/>
                <w:sz w:val="20"/>
                <w:szCs w:val="22"/>
                <w:lang w:eastAsia="en-US"/>
              </w:rPr>
            </w:pPr>
            <w:r w:rsidRPr="005A58A0">
              <w:rPr>
                <w:rFonts w:ascii="Arial" w:eastAsia="Calibri" w:hAnsi="Arial" w:cs="Arial"/>
                <w:b/>
                <w:sz w:val="20"/>
                <w:szCs w:val="22"/>
                <w:lang w:eastAsia="en-US"/>
              </w:rPr>
              <w:t>Intervalle d’administration</w:t>
            </w:r>
          </w:p>
        </w:tc>
        <w:tc>
          <w:tcPr>
            <w:tcW w:w="0" w:type="auto"/>
            <w:shd w:val="pct12" w:color="auto" w:fill="auto"/>
          </w:tcPr>
          <w:p w14:paraId="5B33A0C9" w14:textId="2E2EAE4C" w:rsidR="005A58A0" w:rsidRPr="005A58A0" w:rsidRDefault="005A58A0" w:rsidP="005A58A0">
            <w:pPr>
              <w:spacing w:after="160" w:line="259" w:lineRule="auto"/>
              <w:jc w:val="center"/>
              <w:rPr>
                <w:rFonts w:ascii="Arial" w:eastAsia="Calibri" w:hAnsi="Arial" w:cs="Arial"/>
                <w:b/>
                <w:sz w:val="20"/>
                <w:szCs w:val="22"/>
                <w:lang w:eastAsia="en-US"/>
              </w:rPr>
            </w:pPr>
            <w:r w:rsidRPr="005A58A0">
              <w:rPr>
                <w:rFonts w:ascii="Arial" w:eastAsia="Calibri" w:hAnsi="Arial" w:cs="Arial"/>
                <w:b/>
                <w:sz w:val="20"/>
                <w:szCs w:val="22"/>
                <w:lang w:eastAsia="en-US"/>
              </w:rPr>
              <w:t>Dose journalière</w:t>
            </w:r>
            <w:r w:rsidRPr="0099417B">
              <w:rPr>
                <w:rFonts w:ascii="Arial" w:eastAsia="Calibri" w:hAnsi="Arial" w:cs="Arial"/>
                <w:b/>
                <w:sz w:val="20"/>
                <w:szCs w:val="22"/>
                <w:lang w:eastAsia="en-US"/>
              </w:rPr>
              <w:t xml:space="preserve"> maximale</w:t>
            </w:r>
          </w:p>
        </w:tc>
      </w:tr>
      <w:tr w:rsidR="005A58A0" w:rsidRPr="005A58A0" w14:paraId="0A1323D7" w14:textId="77777777" w:rsidTr="00B250B6">
        <w:trPr>
          <w:trHeight w:val="495"/>
          <w:jc w:val="center"/>
        </w:trPr>
        <w:tc>
          <w:tcPr>
            <w:tcW w:w="0" w:type="auto"/>
          </w:tcPr>
          <w:p w14:paraId="754ACA2F" w14:textId="77777777" w:rsidR="005A58A0" w:rsidRPr="005A58A0" w:rsidRDefault="005A58A0" w:rsidP="005A58A0">
            <w:pPr>
              <w:spacing w:after="160" w:line="259" w:lineRule="auto"/>
              <w:jc w:val="center"/>
              <w:rPr>
                <w:rFonts w:ascii="Arial" w:eastAsia="Calibri" w:hAnsi="Arial" w:cs="Arial"/>
                <w:sz w:val="20"/>
                <w:szCs w:val="22"/>
                <w:lang w:eastAsia="en-US"/>
              </w:rPr>
            </w:pPr>
            <w:r w:rsidRPr="005A58A0">
              <w:rPr>
                <w:rFonts w:ascii="Arial" w:eastAsia="Calibri" w:hAnsi="Arial" w:cs="Arial"/>
                <w:sz w:val="20"/>
                <w:szCs w:val="22"/>
                <w:lang w:eastAsia="en-US"/>
              </w:rPr>
              <w:t>10-50 mL/min</w:t>
            </w:r>
          </w:p>
        </w:tc>
        <w:tc>
          <w:tcPr>
            <w:tcW w:w="0" w:type="auto"/>
          </w:tcPr>
          <w:p w14:paraId="513B5BD1" w14:textId="39AC1ED8" w:rsidR="005A58A0" w:rsidRPr="005A58A0" w:rsidRDefault="005A58A0" w:rsidP="005A58A0">
            <w:pPr>
              <w:spacing w:after="160" w:line="259" w:lineRule="auto"/>
              <w:jc w:val="center"/>
              <w:rPr>
                <w:rFonts w:ascii="Arial" w:eastAsia="Calibri" w:hAnsi="Arial" w:cs="Arial"/>
                <w:sz w:val="20"/>
                <w:szCs w:val="22"/>
                <w:lang w:eastAsia="en-US"/>
              </w:rPr>
            </w:pPr>
            <w:r w:rsidRPr="005A58A0">
              <w:rPr>
                <w:rFonts w:ascii="Arial" w:eastAsia="Calibri" w:hAnsi="Arial" w:cs="Arial"/>
                <w:sz w:val="20"/>
                <w:szCs w:val="22"/>
                <w:lang w:eastAsia="en-US"/>
              </w:rPr>
              <w:t>6 heures</w:t>
            </w:r>
            <w:r>
              <w:rPr>
                <w:rFonts w:ascii="Arial" w:eastAsia="Calibri" w:hAnsi="Arial" w:cs="Arial"/>
                <w:sz w:val="20"/>
                <w:szCs w:val="22"/>
                <w:lang w:eastAsia="en-US"/>
              </w:rPr>
              <w:t xml:space="preserve"> minimum</w:t>
            </w:r>
          </w:p>
        </w:tc>
        <w:tc>
          <w:tcPr>
            <w:tcW w:w="0" w:type="auto"/>
          </w:tcPr>
          <w:p w14:paraId="6D3E4CBF" w14:textId="77777777" w:rsidR="005A58A0" w:rsidRPr="005A58A0" w:rsidRDefault="005A58A0" w:rsidP="005A58A0">
            <w:pPr>
              <w:spacing w:after="160" w:line="259" w:lineRule="auto"/>
              <w:jc w:val="center"/>
              <w:rPr>
                <w:rFonts w:ascii="Arial" w:eastAsia="Calibri" w:hAnsi="Arial" w:cs="Arial"/>
                <w:sz w:val="20"/>
                <w:szCs w:val="22"/>
                <w:lang w:eastAsia="en-US"/>
              </w:rPr>
            </w:pPr>
            <w:r w:rsidRPr="005A58A0">
              <w:rPr>
                <w:rFonts w:ascii="Arial" w:eastAsia="Calibri" w:hAnsi="Arial" w:cs="Arial"/>
                <w:sz w:val="20"/>
                <w:szCs w:val="22"/>
                <w:lang w:eastAsia="en-US"/>
              </w:rPr>
              <w:t xml:space="preserve">3000 mg/j </w:t>
            </w:r>
            <w:r w:rsidRPr="005A58A0">
              <w:rPr>
                <w:rFonts w:ascii="Arial" w:eastAsia="Calibri" w:hAnsi="Arial"/>
                <w:sz w:val="20"/>
                <w:szCs w:val="22"/>
                <w:lang w:eastAsia="en-US"/>
              </w:rPr>
              <w:t>(3 g/jour)</w:t>
            </w:r>
          </w:p>
        </w:tc>
      </w:tr>
      <w:tr w:rsidR="005A58A0" w:rsidRPr="005A58A0" w14:paraId="4ECFA669" w14:textId="77777777" w:rsidTr="00B250B6">
        <w:trPr>
          <w:trHeight w:val="495"/>
          <w:jc w:val="center"/>
        </w:trPr>
        <w:tc>
          <w:tcPr>
            <w:tcW w:w="0" w:type="auto"/>
          </w:tcPr>
          <w:p w14:paraId="1B52AAAD" w14:textId="77777777" w:rsidR="005A58A0" w:rsidRPr="005A58A0" w:rsidRDefault="005A58A0" w:rsidP="005A58A0">
            <w:pPr>
              <w:spacing w:after="160" w:line="259" w:lineRule="auto"/>
              <w:jc w:val="center"/>
              <w:rPr>
                <w:rFonts w:ascii="Arial" w:eastAsia="Calibri" w:hAnsi="Arial" w:cs="Arial"/>
                <w:sz w:val="20"/>
                <w:szCs w:val="22"/>
                <w:lang w:eastAsia="en-US"/>
              </w:rPr>
            </w:pPr>
            <w:r w:rsidRPr="005A58A0">
              <w:rPr>
                <w:rFonts w:ascii="Arial" w:eastAsia="Calibri" w:hAnsi="Arial" w:cs="Arial"/>
                <w:sz w:val="20"/>
                <w:szCs w:val="22"/>
                <w:lang w:eastAsia="en-US"/>
              </w:rPr>
              <w:t>&lt;10 mL/min</w:t>
            </w:r>
          </w:p>
        </w:tc>
        <w:tc>
          <w:tcPr>
            <w:tcW w:w="0" w:type="auto"/>
          </w:tcPr>
          <w:p w14:paraId="4D6A71D5" w14:textId="1B28097B" w:rsidR="005A58A0" w:rsidRPr="005A58A0" w:rsidRDefault="005A58A0" w:rsidP="005A58A0">
            <w:pPr>
              <w:spacing w:after="160" w:line="259" w:lineRule="auto"/>
              <w:jc w:val="center"/>
              <w:rPr>
                <w:rFonts w:ascii="Arial" w:eastAsia="Calibri" w:hAnsi="Arial" w:cs="Arial"/>
                <w:sz w:val="20"/>
                <w:szCs w:val="22"/>
                <w:lang w:eastAsia="en-US"/>
              </w:rPr>
            </w:pPr>
            <w:r w:rsidRPr="005A58A0">
              <w:rPr>
                <w:rFonts w:ascii="Arial" w:eastAsia="Calibri" w:hAnsi="Arial" w:cs="Arial"/>
                <w:sz w:val="20"/>
                <w:szCs w:val="22"/>
                <w:lang w:eastAsia="en-US"/>
              </w:rPr>
              <w:t>8 heures</w:t>
            </w:r>
            <w:r>
              <w:rPr>
                <w:rFonts w:ascii="Arial" w:eastAsia="Calibri" w:hAnsi="Arial" w:cs="Arial"/>
                <w:sz w:val="20"/>
                <w:szCs w:val="22"/>
                <w:lang w:eastAsia="en-US"/>
              </w:rPr>
              <w:t xml:space="preserve"> minimum</w:t>
            </w:r>
          </w:p>
        </w:tc>
        <w:tc>
          <w:tcPr>
            <w:tcW w:w="0" w:type="auto"/>
          </w:tcPr>
          <w:p w14:paraId="079DE10F" w14:textId="77777777" w:rsidR="005A58A0" w:rsidRPr="005A58A0" w:rsidRDefault="005A58A0" w:rsidP="005A58A0">
            <w:pPr>
              <w:spacing w:after="160" w:line="259" w:lineRule="auto"/>
              <w:jc w:val="center"/>
              <w:rPr>
                <w:rFonts w:ascii="Arial" w:eastAsia="Calibri" w:hAnsi="Arial" w:cs="Arial"/>
                <w:sz w:val="20"/>
                <w:szCs w:val="22"/>
                <w:lang w:eastAsia="en-US"/>
              </w:rPr>
            </w:pPr>
            <w:r w:rsidRPr="005A58A0">
              <w:rPr>
                <w:rFonts w:ascii="Arial" w:eastAsia="Calibri" w:hAnsi="Arial" w:cs="Arial"/>
                <w:sz w:val="20"/>
                <w:szCs w:val="22"/>
                <w:lang w:eastAsia="en-US"/>
              </w:rPr>
              <w:t xml:space="preserve">2000 mg/j </w:t>
            </w:r>
            <w:r w:rsidRPr="005A58A0">
              <w:rPr>
                <w:rFonts w:ascii="Arial" w:eastAsia="Calibri" w:hAnsi="Arial"/>
                <w:sz w:val="20"/>
                <w:szCs w:val="22"/>
                <w:lang w:eastAsia="en-US"/>
              </w:rPr>
              <w:t>(2 g/jour)</w:t>
            </w:r>
          </w:p>
        </w:tc>
      </w:tr>
    </w:tbl>
    <w:p w14:paraId="4682DFCC" w14:textId="77777777" w:rsidR="001D3437" w:rsidRDefault="001D3437" w:rsidP="00E3267F">
      <w:pPr>
        <w:pStyle w:val="AmmCorpsTexte"/>
      </w:pPr>
    </w:p>
    <w:p w14:paraId="25D0716C" w14:textId="77777777" w:rsidR="001D3437" w:rsidRPr="001D3437" w:rsidRDefault="001D3437" w:rsidP="001D3437">
      <w:pPr>
        <w:spacing w:after="120"/>
        <w:rPr>
          <w:rFonts w:ascii="Arial" w:hAnsi="Arial"/>
          <w:b/>
          <w:sz w:val="20"/>
        </w:rPr>
      </w:pPr>
      <w:r w:rsidRPr="001D3437">
        <w:rPr>
          <w:rFonts w:ascii="Arial" w:hAnsi="Arial"/>
          <w:b/>
          <w:sz w:val="20"/>
        </w:rPr>
        <w:t>Personnes âgées</w:t>
      </w:r>
    </w:p>
    <w:p w14:paraId="489C0DAE" w14:textId="77777777" w:rsidR="001D3437" w:rsidRPr="001D3437" w:rsidRDefault="001D3437" w:rsidP="001D3437">
      <w:pPr>
        <w:spacing w:after="120"/>
        <w:rPr>
          <w:rFonts w:ascii="Arial" w:hAnsi="Arial"/>
          <w:sz w:val="20"/>
        </w:rPr>
      </w:pPr>
      <w:r w:rsidRPr="001D3437">
        <w:rPr>
          <w:rFonts w:ascii="Arial" w:hAnsi="Arial"/>
          <w:sz w:val="20"/>
        </w:rPr>
        <w:t>L’expérience clinique indique que la posologie recommandée chez les adultes est généralement adéquate. Toutefois, il convient de tenir compte des facteurs de risques concomitants, dont certains surviennent plus souvent chez les sujets âgés, et qui nécessitent une adaptation de la posologie.</w:t>
      </w:r>
    </w:p>
    <w:p w14:paraId="25C5B710" w14:textId="77777777" w:rsidR="001D3437" w:rsidRPr="001D3437" w:rsidRDefault="001D3437" w:rsidP="001D3437">
      <w:pPr>
        <w:keepNext/>
        <w:keepLines/>
        <w:spacing w:before="120" w:after="120"/>
        <w:rPr>
          <w:rFonts w:ascii="Arial" w:hAnsi="Arial"/>
          <w:b/>
          <w:sz w:val="20"/>
          <w:u w:val="single"/>
        </w:rPr>
      </w:pPr>
    </w:p>
    <w:p w14:paraId="2D0C950A" w14:textId="77777777" w:rsidR="001D3437" w:rsidRPr="001D3437" w:rsidRDefault="001D3437" w:rsidP="001D3437">
      <w:pPr>
        <w:keepNext/>
        <w:keepLines/>
        <w:spacing w:before="120" w:after="120"/>
        <w:rPr>
          <w:rFonts w:ascii="Arial" w:hAnsi="Arial"/>
          <w:b/>
          <w:sz w:val="20"/>
          <w:u w:val="single"/>
        </w:rPr>
      </w:pPr>
      <w:r w:rsidRPr="001D3437">
        <w:rPr>
          <w:rFonts w:ascii="Arial" w:hAnsi="Arial"/>
          <w:b/>
          <w:sz w:val="20"/>
          <w:u w:val="single"/>
        </w:rPr>
        <w:t>Mode d'administration</w:t>
      </w:r>
    </w:p>
    <w:p w14:paraId="56BE6B43" w14:textId="77777777" w:rsidR="001D3437" w:rsidRDefault="001D3437" w:rsidP="001D3437">
      <w:pPr>
        <w:spacing w:after="120"/>
        <w:rPr>
          <w:rFonts w:ascii="Arial" w:hAnsi="Arial"/>
          <w:sz w:val="20"/>
        </w:rPr>
      </w:pPr>
      <w:r w:rsidRPr="001D3437">
        <w:rPr>
          <w:rFonts w:ascii="Arial" w:hAnsi="Arial"/>
          <w:sz w:val="20"/>
        </w:rPr>
        <w:t>Voie orale.</w:t>
      </w:r>
    </w:p>
    <w:p w14:paraId="6225BFE1" w14:textId="77777777" w:rsidR="003F09D8" w:rsidRPr="003F09D8" w:rsidRDefault="003F09D8" w:rsidP="001D3437">
      <w:pPr>
        <w:spacing w:after="120"/>
        <w:rPr>
          <w:rFonts w:ascii="Arial" w:hAnsi="Arial"/>
          <w:i/>
          <w:sz w:val="20"/>
        </w:rPr>
      </w:pPr>
      <w:r w:rsidRPr="003F09D8">
        <w:rPr>
          <w:rFonts w:ascii="Arial" w:hAnsi="Arial"/>
          <w:i/>
          <w:sz w:val="20"/>
          <w:highlight w:val="yellow"/>
        </w:rPr>
        <w:t>[À adapter selon la forme : effervescent, suspension buvable…)]</w:t>
      </w:r>
    </w:p>
    <w:p w14:paraId="5D3F1312" w14:textId="77777777" w:rsidR="001D3437" w:rsidRPr="001D3437" w:rsidRDefault="001D3437" w:rsidP="001D3437">
      <w:pPr>
        <w:spacing w:after="120"/>
        <w:rPr>
          <w:rFonts w:ascii="Arial" w:hAnsi="Arial"/>
          <w:sz w:val="20"/>
        </w:rPr>
      </w:pPr>
      <w:r w:rsidRPr="001D3437">
        <w:rPr>
          <w:rFonts w:ascii="Arial" w:hAnsi="Arial"/>
          <w:sz w:val="20"/>
          <w:highlight w:val="yellow"/>
        </w:rPr>
        <w:t xml:space="preserve">Les comprimés sont à avaler </w:t>
      </w:r>
      <w:r w:rsidR="003F09D8">
        <w:rPr>
          <w:rFonts w:ascii="Arial" w:hAnsi="Arial"/>
          <w:sz w:val="20"/>
          <w:highlight w:val="yellow"/>
        </w:rPr>
        <w:t>tels quels avec un verre d’eau.</w:t>
      </w:r>
    </w:p>
    <w:p w14:paraId="57CB8ECD" w14:textId="77777777" w:rsidR="001D3437" w:rsidRDefault="001D3437" w:rsidP="00E3267F">
      <w:pPr>
        <w:pStyle w:val="AmmCorpsTexte"/>
      </w:pPr>
    </w:p>
    <w:p w14:paraId="37323294" w14:textId="77777777" w:rsidR="001D3437" w:rsidRPr="001D3437" w:rsidRDefault="001D3437" w:rsidP="001D3437">
      <w:pPr>
        <w:keepNext/>
        <w:keepLines/>
        <w:spacing w:before="120" w:after="120"/>
        <w:rPr>
          <w:rFonts w:ascii="Arial" w:hAnsi="Arial"/>
          <w:b/>
          <w:sz w:val="20"/>
          <w:u w:val="single"/>
        </w:rPr>
      </w:pPr>
      <w:r w:rsidRPr="001D3437">
        <w:rPr>
          <w:rFonts w:ascii="Arial" w:hAnsi="Arial"/>
          <w:b/>
          <w:sz w:val="20"/>
          <w:u w:val="single"/>
        </w:rPr>
        <w:t>Durée de traitement</w:t>
      </w:r>
    </w:p>
    <w:p w14:paraId="1BCB2505" w14:textId="77777777" w:rsidR="001D3437" w:rsidRPr="001D3437" w:rsidRDefault="001D3437" w:rsidP="001D3437">
      <w:pPr>
        <w:spacing w:after="120"/>
        <w:rPr>
          <w:rFonts w:ascii="Arial" w:hAnsi="Arial"/>
          <w:sz w:val="20"/>
        </w:rPr>
      </w:pPr>
      <w:r w:rsidRPr="001D3437">
        <w:rPr>
          <w:rFonts w:ascii="Arial" w:hAnsi="Arial"/>
          <w:sz w:val="20"/>
        </w:rPr>
        <w:t>Une utilisation fréquente ou prolongée sans surveillance médicale est déconseillée.</w:t>
      </w:r>
    </w:p>
    <w:p w14:paraId="5B57EEB5" w14:textId="453020FB" w:rsidR="001D3437" w:rsidRPr="001D3437" w:rsidRDefault="001D3437" w:rsidP="001D3437">
      <w:pPr>
        <w:spacing w:after="120"/>
        <w:rPr>
          <w:rFonts w:ascii="Arial" w:hAnsi="Arial"/>
          <w:sz w:val="20"/>
        </w:rPr>
      </w:pPr>
      <w:r w:rsidRPr="001D3437">
        <w:rPr>
          <w:rFonts w:ascii="Arial" w:hAnsi="Arial"/>
          <w:sz w:val="20"/>
        </w:rPr>
        <w:t xml:space="preserve">Si les symptômes persistent au-delà de </w:t>
      </w:r>
      <w:r w:rsidRPr="003F09D8">
        <w:rPr>
          <w:rFonts w:ascii="Arial" w:hAnsi="Arial"/>
          <w:sz w:val="20"/>
          <w:lang w:val="fr-BE"/>
        </w:rPr>
        <w:t xml:space="preserve">5 </w:t>
      </w:r>
      <w:r w:rsidRPr="003F09D8">
        <w:rPr>
          <w:rFonts w:ascii="Arial" w:hAnsi="Arial"/>
          <w:sz w:val="20"/>
        </w:rPr>
        <w:t>jours en cas de douleur ou de 3 jours en cas de fièvre,</w:t>
      </w:r>
      <w:r w:rsidRPr="001D3437">
        <w:rPr>
          <w:rFonts w:ascii="Arial" w:hAnsi="Arial"/>
          <w:sz w:val="20"/>
        </w:rPr>
        <w:t xml:space="preserve"> si les symptômes s’aggravent ou si de nouveaux symptômes apparaissent,</w:t>
      </w:r>
      <w:r w:rsidR="004E644C" w:rsidRPr="004E644C">
        <w:t xml:space="preserve"> </w:t>
      </w:r>
      <w:r w:rsidR="004E644C" w:rsidRPr="004E644C">
        <w:rPr>
          <w:rFonts w:ascii="Arial" w:hAnsi="Arial"/>
          <w:sz w:val="20"/>
        </w:rPr>
        <w:t>le traitement doit être réévalué</w:t>
      </w:r>
      <w:r w:rsidRPr="001D3437">
        <w:rPr>
          <w:rFonts w:ascii="Arial" w:hAnsi="Arial"/>
          <w:sz w:val="20"/>
        </w:rPr>
        <w:t>.</w:t>
      </w:r>
    </w:p>
    <w:p w14:paraId="576D70F1" w14:textId="77777777" w:rsidR="009E44EF" w:rsidRDefault="009E44EF">
      <w:pPr>
        <w:pStyle w:val="AmmAnnexeTitre2"/>
        <w:keepNext w:val="0"/>
        <w:keepLines w:val="0"/>
        <w:tabs>
          <w:tab w:val="clear" w:pos="720"/>
        </w:tabs>
        <w:ind w:left="0" w:firstLine="0"/>
      </w:pPr>
      <w:r>
        <w:t>4.3.</w:t>
      </w:r>
      <w:r>
        <w:tab/>
        <w:t>Contre-indications</w:t>
      </w:r>
      <w:bookmarkEnd w:id="8"/>
    </w:p>
    <w:p w14:paraId="1C92A991" w14:textId="77777777" w:rsidR="001D3437" w:rsidRPr="000445D4" w:rsidRDefault="001D3437" w:rsidP="00F76B8D">
      <w:pPr>
        <w:pStyle w:val="AmmAnnexeTitre2"/>
        <w:ind w:left="0" w:firstLine="0"/>
        <w:outlineLvl w:val="9"/>
        <w:rPr>
          <w:b w:val="0"/>
          <w:color w:val="auto"/>
          <w:sz w:val="20"/>
        </w:rPr>
      </w:pPr>
      <w:bookmarkStart w:id="10" w:name="_Toc142278919"/>
      <w:r w:rsidRPr="000445D4">
        <w:rPr>
          <w:b w:val="0"/>
          <w:color w:val="auto"/>
          <w:sz w:val="20"/>
        </w:rPr>
        <w:t>Hypersensibilité au paracétamol ou à l’un des excipients mentionnés à la rubrique 6.1.</w:t>
      </w:r>
    </w:p>
    <w:p w14:paraId="417FD540" w14:textId="77777777" w:rsidR="00E6215C" w:rsidRPr="001D3437" w:rsidRDefault="001D3437" w:rsidP="00F76B8D">
      <w:pPr>
        <w:pStyle w:val="AmmAnnexeTitre2"/>
        <w:ind w:left="0" w:firstLine="0"/>
        <w:outlineLvl w:val="9"/>
        <w:rPr>
          <w:b w:val="0"/>
          <w:color w:val="auto"/>
          <w:sz w:val="20"/>
        </w:rPr>
      </w:pPr>
      <w:r w:rsidRPr="000445D4">
        <w:rPr>
          <w:b w:val="0"/>
          <w:color w:val="auto"/>
          <w:sz w:val="20"/>
        </w:rPr>
        <w:t>Insuffisance hépatique sévère.</w:t>
      </w:r>
    </w:p>
    <w:p w14:paraId="6024CD38" w14:textId="56B12553" w:rsidR="009E44EF" w:rsidRDefault="009E44EF">
      <w:pPr>
        <w:pStyle w:val="AmmAnnexeTitre2"/>
        <w:keepNext w:val="0"/>
        <w:keepLines w:val="0"/>
        <w:tabs>
          <w:tab w:val="clear" w:pos="720"/>
        </w:tabs>
        <w:ind w:left="0" w:firstLine="0"/>
      </w:pPr>
      <w:r>
        <w:t>4.4.</w:t>
      </w:r>
      <w:r>
        <w:tab/>
        <w:t>Mises en garde spéciales et précautions d'emploi</w:t>
      </w:r>
      <w:bookmarkEnd w:id="10"/>
    </w:p>
    <w:p w14:paraId="3420990A" w14:textId="64F059FD" w:rsidR="00E6215C" w:rsidRDefault="002125BE" w:rsidP="00E6215C">
      <w:pPr>
        <w:pStyle w:val="AmmAnnexeTitre3"/>
        <w:rPr>
          <w:b w:val="0"/>
          <w:u w:val="none"/>
        </w:rPr>
      </w:pPr>
      <w:bookmarkStart w:id="11" w:name="_Toc142278920"/>
      <w:r w:rsidRPr="00CD3D43">
        <w:rPr>
          <w:b w:val="0"/>
          <w:u w:val="none"/>
        </w:rPr>
        <w:t xml:space="preserve">En raison de la dose unitaire de paracétamol par xxx (1000 mg soit 1 g), cette présentation n'est pas adaptée aux </w:t>
      </w:r>
      <w:r w:rsidR="00E16BFE" w:rsidRPr="00CD3D43">
        <w:rPr>
          <w:b w:val="0"/>
          <w:u w:val="none"/>
        </w:rPr>
        <w:t xml:space="preserve">enfants </w:t>
      </w:r>
      <w:r w:rsidRPr="00CD3D43">
        <w:rPr>
          <w:b w:val="0"/>
          <w:u w:val="none"/>
        </w:rPr>
        <w:t>de moins de 50 kg.</w:t>
      </w:r>
    </w:p>
    <w:p w14:paraId="619BF0DE" w14:textId="625FAA0B" w:rsidR="005E5379" w:rsidRPr="005E5379" w:rsidRDefault="005E5379" w:rsidP="005E5379">
      <w:pPr>
        <w:spacing w:after="120"/>
        <w:rPr>
          <w:rFonts w:ascii="Arial" w:hAnsi="Arial"/>
          <w:sz w:val="20"/>
        </w:rPr>
      </w:pPr>
      <w:r w:rsidRPr="005E5379">
        <w:rPr>
          <w:rFonts w:ascii="Arial" w:hAnsi="Arial"/>
          <w:sz w:val="20"/>
        </w:rPr>
        <w:t>Les patients doivent être informés qu’ils ne doivent pas prendre d’autres médicaments contenant du paracétamol. La prise de plusieurs doses en une administration peu</w:t>
      </w:r>
      <w:r w:rsidR="00B26AA0">
        <w:rPr>
          <w:rFonts w:ascii="Arial" w:hAnsi="Arial"/>
          <w:sz w:val="20"/>
        </w:rPr>
        <w:t>t</w:t>
      </w:r>
      <w:r w:rsidRPr="005E5379">
        <w:rPr>
          <w:rFonts w:ascii="Arial" w:hAnsi="Arial"/>
          <w:sz w:val="20"/>
        </w:rPr>
        <w:t xml:space="preserve"> gravement endommager le foie ; le cas échéant, le patient doit immédiatement appeler un médecin.</w:t>
      </w:r>
    </w:p>
    <w:p w14:paraId="3674657E" w14:textId="74E24169" w:rsidR="005E5379" w:rsidRPr="005E5379" w:rsidRDefault="005E5379" w:rsidP="005E5379">
      <w:pPr>
        <w:spacing w:after="120"/>
        <w:rPr>
          <w:rFonts w:ascii="Arial" w:hAnsi="Arial"/>
          <w:sz w:val="20"/>
        </w:rPr>
      </w:pPr>
      <w:r w:rsidRPr="005E5379">
        <w:rPr>
          <w:rFonts w:ascii="Arial" w:hAnsi="Arial"/>
          <w:sz w:val="20"/>
        </w:rPr>
        <w:t>Chez un enfant traité par 60 mg/kg/jour de paracétamol, l'association d'un autre antipyrétique n'est justifiée qu'en cas d'inefficacité.</w:t>
      </w:r>
    </w:p>
    <w:p w14:paraId="2A665B61" w14:textId="67298BF7" w:rsidR="005E5379" w:rsidRDefault="005E5379" w:rsidP="005E5379">
      <w:pPr>
        <w:rPr>
          <w:rFonts w:ascii="Arial" w:hAnsi="Arial"/>
          <w:sz w:val="20"/>
        </w:rPr>
      </w:pPr>
      <w:r w:rsidRPr="005E5379">
        <w:rPr>
          <w:rFonts w:ascii="Arial" w:hAnsi="Arial"/>
          <w:sz w:val="20"/>
        </w:rPr>
        <w:t>En cas d</w:t>
      </w:r>
      <w:r w:rsidR="008A759B">
        <w:rPr>
          <w:rFonts w:ascii="Arial" w:hAnsi="Arial"/>
          <w:sz w:val="20"/>
        </w:rPr>
        <w:t>’</w:t>
      </w:r>
      <w:r w:rsidRPr="005E5379">
        <w:rPr>
          <w:rFonts w:ascii="Arial" w:hAnsi="Arial"/>
          <w:sz w:val="20"/>
        </w:rPr>
        <w:t>hépatite virale aig</w:t>
      </w:r>
      <w:r w:rsidR="00601ABE">
        <w:rPr>
          <w:rFonts w:ascii="Arial" w:hAnsi="Arial"/>
          <w:sz w:val="20"/>
        </w:rPr>
        <w:t>uë</w:t>
      </w:r>
      <w:r w:rsidRPr="005E5379">
        <w:rPr>
          <w:rFonts w:ascii="Arial" w:hAnsi="Arial"/>
          <w:sz w:val="20"/>
        </w:rPr>
        <w:t>, il convient d'arrêter le traitement.</w:t>
      </w:r>
    </w:p>
    <w:p w14:paraId="33CC7274" w14:textId="77777777" w:rsidR="005E5379" w:rsidRPr="005E5379" w:rsidRDefault="005E5379" w:rsidP="005E5379">
      <w:pPr>
        <w:spacing w:before="120" w:after="120"/>
        <w:rPr>
          <w:rFonts w:ascii="Arial" w:hAnsi="Arial"/>
          <w:b/>
          <w:sz w:val="20"/>
          <w:u w:val="single"/>
        </w:rPr>
      </w:pPr>
      <w:r w:rsidRPr="005E5379">
        <w:rPr>
          <w:rFonts w:ascii="Arial" w:hAnsi="Arial"/>
          <w:b/>
          <w:sz w:val="20"/>
          <w:u w:val="single"/>
        </w:rPr>
        <w:t xml:space="preserve">Précautions d’emploi </w:t>
      </w:r>
    </w:p>
    <w:p w14:paraId="454F9A4A" w14:textId="77777777" w:rsidR="005E5379" w:rsidRPr="005E5379" w:rsidRDefault="005E5379" w:rsidP="005E5379">
      <w:pPr>
        <w:spacing w:before="120" w:after="120"/>
        <w:rPr>
          <w:rFonts w:ascii="Arial" w:hAnsi="Arial"/>
          <w:sz w:val="20"/>
        </w:rPr>
      </w:pPr>
      <w:r w:rsidRPr="005E5379">
        <w:rPr>
          <w:rFonts w:ascii="Arial" w:hAnsi="Arial"/>
          <w:sz w:val="20"/>
        </w:rPr>
        <w:t>Le paracétamol doit être administré avec précaution dans les situations suivantes (voir rubrique 4.2) :</w:t>
      </w:r>
    </w:p>
    <w:p w14:paraId="19DEF408" w14:textId="77777777" w:rsidR="005E5379" w:rsidRPr="005E5379" w:rsidRDefault="005E5379" w:rsidP="005E5379">
      <w:pPr>
        <w:numPr>
          <w:ilvl w:val="0"/>
          <w:numId w:val="13"/>
        </w:numPr>
        <w:jc w:val="left"/>
        <w:rPr>
          <w:rFonts w:ascii="Arial" w:hAnsi="Arial"/>
          <w:sz w:val="20"/>
        </w:rPr>
      </w:pPr>
      <w:r w:rsidRPr="005E5379">
        <w:rPr>
          <w:rFonts w:ascii="Arial" w:hAnsi="Arial"/>
          <w:sz w:val="20"/>
        </w:rPr>
        <w:t>Adulte de poids inférieur à 50 kg</w:t>
      </w:r>
    </w:p>
    <w:p w14:paraId="1944A702" w14:textId="77777777" w:rsidR="005E5379" w:rsidRPr="005E5379" w:rsidRDefault="005E5379" w:rsidP="005E5379">
      <w:pPr>
        <w:numPr>
          <w:ilvl w:val="0"/>
          <w:numId w:val="13"/>
        </w:numPr>
        <w:jc w:val="left"/>
        <w:rPr>
          <w:rFonts w:ascii="Arial" w:hAnsi="Arial"/>
          <w:sz w:val="20"/>
        </w:rPr>
      </w:pPr>
      <w:r w:rsidRPr="005E5379">
        <w:rPr>
          <w:rFonts w:ascii="Arial" w:hAnsi="Arial"/>
          <w:sz w:val="20"/>
        </w:rPr>
        <w:t>Insuffisance hépatique légère à modérée</w:t>
      </w:r>
    </w:p>
    <w:p w14:paraId="79C7B1DE" w14:textId="77777777" w:rsidR="005E5379" w:rsidRPr="005E5379" w:rsidRDefault="005E5379" w:rsidP="005E5379">
      <w:pPr>
        <w:numPr>
          <w:ilvl w:val="0"/>
          <w:numId w:val="13"/>
        </w:numPr>
        <w:jc w:val="left"/>
        <w:rPr>
          <w:rFonts w:ascii="Arial" w:hAnsi="Arial"/>
          <w:sz w:val="20"/>
        </w:rPr>
      </w:pPr>
      <w:r w:rsidRPr="005E5379">
        <w:rPr>
          <w:rFonts w:ascii="Arial" w:hAnsi="Arial"/>
          <w:sz w:val="20"/>
        </w:rPr>
        <w:t>Alcoolisme chronique et sevrage récent</w:t>
      </w:r>
    </w:p>
    <w:p w14:paraId="7CFF900D" w14:textId="77777777" w:rsidR="005E5379" w:rsidRPr="005E5379" w:rsidRDefault="005E5379" w:rsidP="005E5379">
      <w:pPr>
        <w:numPr>
          <w:ilvl w:val="0"/>
          <w:numId w:val="13"/>
        </w:numPr>
        <w:jc w:val="left"/>
        <w:rPr>
          <w:rFonts w:ascii="Arial" w:hAnsi="Arial"/>
          <w:sz w:val="20"/>
        </w:rPr>
      </w:pPr>
      <w:r w:rsidRPr="005E5379">
        <w:rPr>
          <w:rFonts w:ascii="Arial" w:hAnsi="Arial"/>
          <w:sz w:val="20"/>
        </w:rPr>
        <w:t xml:space="preserve">Insuffisance rénale </w:t>
      </w:r>
    </w:p>
    <w:p w14:paraId="73462D0B" w14:textId="77777777" w:rsidR="005E5379" w:rsidRPr="005E5379" w:rsidRDefault="005E5379" w:rsidP="005E5379">
      <w:pPr>
        <w:numPr>
          <w:ilvl w:val="0"/>
          <w:numId w:val="13"/>
        </w:numPr>
        <w:jc w:val="left"/>
        <w:rPr>
          <w:rFonts w:ascii="Arial" w:hAnsi="Arial"/>
          <w:sz w:val="20"/>
        </w:rPr>
      </w:pPr>
      <w:r w:rsidRPr="005E5379">
        <w:rPr>
          <w:rFonts w:ascii="Arial" w:hAnsi="Arial"/>
          <w:sz w:val="20"/>
        </w:rPr>
        <w:t xml:space="preserve">Syndrome de Gilbert </w:t>
      </w:r>
    </w:p>
    <w:p w14:paraId="663AF59B" w14:textId="5331D4A4" w:rsidR="005E5379" w:rsidRPr="005E5379" w:rsidRDefault="005E5379" w:rsidP="00F76B8D">
      <w:pPr>
        <w:pStyle w:val="AmmListePuces1"/>
      </w:pPr>
      <w:r w:rsidRPr="005E5379">
        <w:lastRenderedPageBreak/>
        <w:t>Traitement concomitant avec des médicaments affectant la fonction hépatique (ex : médicaments potentiellement hépatotoxiques, médicaments inducteurs enzymatiques du cytochrome P450</w:t>
      </w:r>
      <w:r w:rsidR="00F76B8D" w:rsidRPr="00F76B8D">
        <w:t xml:space="preserve"> tels que phénobarbital, phénytoïne, carbamazépine, topiramate, rifampicine</w:t>
      </w:r>
      <w:r w:rsidRPr="005E5379">
        <w:t>)</w:t>
      </w:r>
    </w:p>
    <w:p w14:paraId="7EED29D3" w14:textId="43D13613" w:rsidR="005E5379" w:rsidRPr="005E5379" w:rsidRDefault="005E5379" w:rsidP="005E5379">
      <w:pPr>
        <w:numPr>
          <w:ilvl w:val="0"/>
          <w:numId w:val="13"/>
        </w:numPr>
        <w:jc w:val="left"/>
        <w:rPr>
          <w:rFonts w:ascii="Arial" w:hAnsi="Arial"/>
          <w:sz w:val="20"/>
        </w:rPr>
      </w:pPr>
      <w:r w:rsidRPr="005E5379">
        <w:rPr>
          <w:rFonts w:ascii="Arial" w:hAnsi="Arial"/>
          <w:sz w:val="20"/>
        </w:rPr>
        <w:t>Déficit en Glucose-6-Phosphate Déshydrogénase (G6PD)</w:t>
      </w:r>
      <w:r w:rsidR="00B55670">
        <w:rPr>
          <w:rFonts w:ascii="Arial" w:hAnsi="Arial"/>
          <w:sz w:val="20"/>
        </w:rPr>
        <w:t xml:space="preserve"> </w:t>
      </w:r>
      <w:bookmarkStart w:id="12" w:name="_Hlk97126581"/>
      <w:r w:rsidR="00B55670">
        <w:rPr>
          <w:rFonts w:ascii="Arial" w:hAnsi="Arial"/>
          <w:sz w:val="20"/>
        </w:rPr>
        <w:t>(pouvant conduire à une anémie hémolytique)</w:t>
      </w:r>
    </w:p>
    <w:bookmarkEnd w:id="12"/>
    <w:p w14:paraId="6B6A80C8" w14:textId="77777777" w:rsidR="005E5379" w:rsidRPr="005E5379" w:rsidRDefault="005E5379" w:rsidP="005E5379">
      <w:pPr>
        <w:numPr>
          <w:ilvl w:val="0"/>
          <w:numId w:val="13"/>
        </w:numPr>
        <w:jc w:val="left"/>
        <w:rPr>
          <w:rFonts w:ascii="Arial" w:hAnsi="Arial"/>
          <w:sz w:val="20"/>
        </w:rPr>
      </w:pPr>
      <w:r w:rsidRPr="005E5379">
        <w:rPr>
          <w:rFonts w:ascii="Arial" w:hAnsi="Arial"/>
          <w:sz w:val="20"/>
        </w:rPr>
        <w:t xml:space="preserve">Déshydratation </w:t>
      </w:r>
    </w:p>
    <w:p w14:paraId="6FDB5FAE" w14:textId="19715D5E" w:rsidR="005E5379" w:rsidRPr="005E5379" w:rsidRDefault="00AB0C40" w:rsidP="00AB0C40">
      <w:pPr>
        <w:pStyle w:val="AmmListePuces1"/>
      </w:pPr>
      <w:r w:rsidRPr="00AB0C40">
        <w:t>En cas de réserves basses ou déficit en glutathion hépatique (ex : malnutrition chronique, jeûne, amaigrissement récent, anorexie, cachexie)</w:t>
      </w:r>
    </w:p>
    <w:p w14:paraId="4DF28D1F" w14:textId="77777777" w:rsidR="005E5379" w:rsidRPr="005E5379" w:rsidRDefault="005E5379" w:rsidP="005E5379">
      <w:pPr>
        <w:numPr>
          <w:ilvl w:val="0"/>
          <w:numId w:val="13"/>
        </w:numPr>
        <w:jc w:val="left"/>
        <w:rPr>
          <w:rFonts w:ascii="Arial" w:hAnsi="Arial"/>
          <w:sz w:val="20"/>
        </w:rPr>
      </w:pPr>
      <w:r w:rsidRPr="005E5379">
        <w:rPr>
          <w:rFonts w:ascii="Arial" w:hAnsi="Arial"/>
          <w:sz w:val="20"/>
        </w:rPr>
        <w:t>Personnes âgées</w:t>
      </w:r>
    </w:p>
    <w:p w14:paraId="03567D88" w14:textId="7EBC7AA3" w:rsidR="000B468F" w:rsidRPr="000B468F" w:rsidRDefault="000B468F" w:rsidP="000B468F">
      <w:pPr>
        <w:autoSpaceDE w:val="0"/>
        <w:autoSpaceDN w:val="0"/>
        <w:spacing w:before="120" w:after="120"/>
        <w:rPr>
          <w:rFonts w:ascii="Arial" w:hAnsi="Arial" w:cs="Arial"/>
          <w:color w:val="000000"/>
          <w:sz w:val="20"/>
        </w:rPr>
      </w:pPr>
      <w:r w:rsidRPr="000B468F">
        <w:rPr>
          <w:rFonts w:ascii="Arial" w:hAnsi="Arial" w:cs="Arial"/>
          <w:sz w:val="20"/>
        </w:rPr>
        <w:t>La consommation de boissons alcoolisées pendant le traitement est déconseillé</w:t>
      </w:r>
      <w:r w:rsidR="00B8304A">
        <w:rPr>
          <w:rFonts w:ascii="Arial" w:hAnsi="Arial" w:cs="Arial"/>
          <w:sz w:val="20"/>
        </w:rPr>
        <w:t>e</w:t>
      </w:r>
      <w:r w:rsidRPr="000B468F">
        <w:rPr>
          <w:rFonts w:ascii="Arial" w:hAnsi="Arial" w:cs="Arial"/>
          <w:sz w:val="20"/>
        </w:rPr>
        <w:t>.</w:t>
      </w:r>
      <w:r w:rsidRPr="000B468F">
        <w:rPr>
          <w:rFonts w:ascii="Arial" w:hAnsi="Arial" w:cs="Arial"/>
          <w:color w:val="000000"/>
          <w:sz w:val="20"/>
        </w:rPr>
        <w:t xml:space="preserve"> </w:t>
      </w:r>
    </w:p>
    <w:p w14:paraId="281A8C92" w14:textId="75D1C914" w:rsidR="000B468F" w:rsidRPr="000B468F" w:rsidRDefault="000B468F" w:rsidP="000B468F">
      <w:pPr>
        <w:autoSpaceDE w:val="0"/>
        <w:autoSpaceDN w:val="0"/>
        <w:spacing w:before="120" w:after="120"/>
        <w:rPr>
          <w:rFonts w:ascii="Arial" w:hAnsi="Arial" w:cs="Arial"/>
          <w:sz w:val="20"/>
        </w:rPr>
      </w:pPr>
      <w:r w:rsidRPr="000B468F">
        <w:rPr>
          <w:rFonts w:ascii="Arial" w:hAnsi="Arial" w:cs="Arial"/>
          <w:sz w:val="20"/>
        </w:rPr>
        <w:t>En cas de prise au long cours, de fortes doses, ou d’utilisation incorrecte d’analgésiques</w:t>
      </w:r>
      <w:r w:rsidR="004E644C" w:rsidRPr="004E644C">
        <w:rPr>
          <w:rFonts w:ascii="Arial" w:hAnsi="Arial"/>
          <w:sz w:val="20"/>
        </w:rPr>
        <w:t xml:space="preserve"> </w:t>
      </w:r>
      <w:r w:rsidR="004E644C" w:rsidRPr="004E644C">
        <w:rPr>
          <w:rFonts w:ascii="Arial" w:hAnsi="Arial" w:cs="Arial"/>
          <w:sz w:val="20"/>
        </w:rPr>
        <w:t xml:space="preserve">chez des patients </w:t>
      </w:r>
      <w:r w:rsidR="00EF5895">
        <w:rPr>
          <w:rFonts w:ascii="Arial" w:hAnsi="Arial" w:cs="Arial"/>
          <w:sz w:val="20"/>
        </w:rPr>
        <w:t>atteints</w:t>
      </w:r>
      <w:r w:rsidR="00EF5895" w:rsidRPr="004E644C">
        <w:rPr>
          <w:rFonts w:ascii="Arial" w:hAnsi="Arial" w:cs="Arial"/>
          <w:sz w:val="20"/>
        </w:rPr>
        <w:t xml:space="preserve"> </w:t>
      </w:r>
      <w:r w:rsidR="004E644C" w:rsidRPr="004E644C">
        <w:rPr>
          <w:rFonts w:ascii="Arial" w:hAnsi="Arial" w:cs="Arial"/>
          <w:sz w:val="20"/>
        </w:rPr>
        <w:t>de céphalées chroniques</w:t>
      </w:r>
      <w:r w:rsidRPr="000B468F">
        <w:rPr>
          <w:rFonts w:ascii="Arial" w:hAnsi="Arial" w:cs="Arial"/>
          <w:sz w:val="20"/>
        </w:rPr>
        <w:t>, des céphalées peuvent appara</w:t>
      </w:r>
      <w:r w:rsidR="004E644C">
        <w:rPr>
          <w:rFonts w:ascii="Arial" w:hAnsi="Arial" w:cs="Arial"/>
          <w:sz w:val="20"/>
        </w:rPr>
        <w:t>î</w:t>
      </w:r>
      <w:r w:rsidRPr="000B468F">
        <w:rPr>
          <w:rFonts w:ascii="Arial" w:hAnsi="Arial" w:cs="Arial"/>
          <w:sz w:val="20"/>
        </w:rPr>
        <w:t xml:space="preserve">tre </w:t>
      </w:r>
      <w:r w:rsidR="004E644C">
        <w:rPr>
          <w:rFonts w:ascii="Arial" w:hAnsi="Arial" w:cs="Arial"/>
          <w:sz w:val="20"/>
        </w:rPr>
        <w:t xml:space="preserve">ou s’aggraver </w:t>
      </w:r>
      <w:r w:rsidRPr="000B468F">
        <w:rPr>
          <w:rFonts w:ascii="Arial" w:hAnsi="Arial" w:cs="Arial"/>
          <w:sz w:val="20"/>
        </w:rPr>
        <w:t>; elles ne doivent pas être traitées par des doses plus élevées de ce médicament.</w:t>
      </w:r>
      <w:r w:rsidR="004E644C" w:rsidRPr="004E644C">
        <w:rPr>
          <w:rFonts w:ascii="Arial" w:hAnsi="Arial"/>
          <w:sz w:val="20"/>
        </w:rPr>
        <w:t xml:space="preserve"> </w:t>
      </w:r>
      <w:r w:rsidR="004E644C" w:rsidRPr="004E644C">
        <w:rPr>
          <w:rFonts w:ascii="Arial" w:hAnsi="Arial" w:cs="Arial"/>
          <w:sz w:val="20"/>
        </w:rPr>
        <w:t>Dans de tels cas, l’utilisation d’analgésiques doit être interrompue sur avis médical.</w:t>
      </w:r>
    </w:p>
    <w:p w14:paraId="1D8F7F6E" w14:textId="385CB95B" w:rsidR="000B468F" w:rsidRPr="000B468F" w:rsidRDefault="000B468F" w:rsidP="000B468F">
      <w:pPr>
        <w:spacing w:after="120"/>
        <w:rPr>
          <w:rFonts w:ascii="Arial" w:hAnsi="Arial"/>
          <w:sz w:val="20"/>
        </w:rPr>
      </w:pPr>
      <w:r w:rsidRPr="000B468F">
        <w:rPr>
          <w:rFonts w:ascii="Arial" w:hAnsi="Arial"/>
          <w:sz w:val="20"/>
        </w:rPr>
        <w:t>La prudence est recommandée en cas d'administration concomitante de paracétamol et de flucloxacilline en raison d'un risque accru d'acidose métaboliq</w:t>
      </w:r>
      <w:r w:rsidR="00240957">
        <w:rPr>
          <w:rFonts w:ascii="Arial" w:hAnsi="Arial"/>
          <w:sz w:val="20"/>
        </w:rPr>
        <w:t>ue à trou anionique élevé (AMTAE</w:t>
      </w:r>
      <w:r w:rsidRPr="000B468F">
        <w:rPr>
          <w:rFonts w:ascii="Arial" w:hAnsi="Arial"/>
          <w:sz w:val="20"/>
        </w:rPr>
        <w:t>), en particu</w:t>
      </w:r>
      <w:r w:rsidR="00240957">
        <w:rPr>
          <w:rFonts w:ascii="Arial" w:hAnsi="Arial"/>
          <w:sz w:val="20"/>
        </w:rPr>
        <w:t>lier chez les patients atteints</w:t>
      </w:r>
      <w:r w:rsidRPr="000B468F">
        <w:rPr>
          <w:rFonts w:ascii="Arial" w:hAnsi="Arial"/>
          <w:sz w:val="20"/>
        </w:rPr>
        <w:t xml:space="preserve"> d'insuf</w:t>
      </w:r>
      <w:r w:rsidR="00240957">
        <w:rPr>
          <w:rFonts w:ascii="Arial" w:hAnsi="Arial"/>
          <w:sz w:val="20"/>
        </w:rPr>
        <w:t>fisance rénale sévère, de septicémie</w:t>
      </w:r>
      <w:r w:rsidRPr="000B468F">
        <w:rPr>
          <w:rFonts w:ascii="Arial" w:hAnsi="Arial"/>
          <w:sz w:val="20"/>
        </w:rPr>
        <w:t>, de malnutrition et d'autres sources de déficit en glutathion (par exemple, alcoolisme chronique), ainsi que chez ceux utilisant des doses quotidiennes maximales de paracétamol. Une surveillance étroite, incluant la mesure de la 5-oxoproline urinaire, est recommandée.</w:t>
      </w:r>
      <w:bookmarkStart w:id="13" w:name="_Hlk12631745"/>
    </w:p>
    <w:p w14:paraId="25184FE4" w14:textId="77777777" w:rsidR="006D3A45" w:rsidRPr="006D3A45" w:rsidRDefault="006D3A45" w:rsidP="000B468F">
      <w:pPr>
        <w:spacing w:after="120"/>
        <w:rPr>
          <w:rFonts w:ascii="Arial" w:hAnsi="Arial"/>
          <w:i/>
          <w:sz w:val="20"/>
          <w:highlight w:val="yellow"/>
        </w:rPr>
      </w:pPr>
      <w:r w:rsidRPr="006D3A45">
        <w:rPr>
          <w:rFonts w:ascii="Arial" w:hAnsi="Arial"/>
          <w:i/>
          <w:sz w:val="20"/>
          <w:highlight w:val="yellow"/>
        </w:rPr>
        <w:t>[À adapter selon la forme</w:t>
      </w:r>
      <w:r w:rsidR="00C87A76">
        <w:rPr>
          <w:rFonts w:ascii="Arial" w:hAnsi="Arial"/>
          <w:i/>
          <w:sz w:val="20"/>
          <w:highlight w:val="yellow"/>
        </w:rPr>
        <w:t xml:space="preserve"> pharmaceutique</w:t>
      </w:r>
      <w:r w:rsidRPr="006D3A45">
        <w:rPr>
          <w:rFonts w:ascii="Arial" w:hAnsi="Arial"/>
          <w:i/>
          <w:sz w:val="20"/>
          <w:highlight w:val="yellow"/>
        </w:rPr>
        <w:t xml:space="preserve"> et la formulation]</w:t>
      </w:r>
    </w:p>
    <w:p w14:paraId="30BDA8C2" w14:textId="77777777" w:rsidR="000B468F" w:rsidRPr="000B468F" w:rsidRDefault="000B468F" w:rsidP="000B468F">
      <w:pPr>
        <w:spacing w:after="120"/>
        <w:rPr>
          <w:rFonts w:ascii="Arial" w:hAnsi="Arial"/>
          <w:sz w:val="20"/>
        </w:rPr>
      </w:pPr>
      <w:r w:rsidRPr="000B468F">
        <w:rPr>
          <w:rFonts w:ascii="Arial" w:hAnsi="Arial"/>
          <w:sz w:val="20"/>
          <w:highlight w:val="yellow"/>
        </w:rPr>
        <w:t>Excipients à effet notoire.</w:t>
      </w:r>
    </w:p>
    <w:bookmarkEnd w:id="13"/>
    <w:p w14:paraId="76FFE687" w14:textId="77777777" w:rsidR="000B468F" w:rsidRPr="000B468F" w:rsidRDefault="000B468F" w:rsidP="000B468F">
      <w:pPr>
        <w:spacing w:after="120"/>
        <w:rPr>
          <w:rFonts w:ascii="Arial" w:hAnsi="Arial"/>
          <w:sz w:val="20"/>
          <w:highlight w:val="yellow"/>
        </w:rPr>
      </w:pPr>
      <w:r w:rsidRPr="000B468F">
        <w:rPr>
          <w:rFonts w:ascii="Arial" w:hAnsi="Arial"/>
          <w:sz w:val="20"/>
          <w:highlight w:val="yellow"/>
        </w:rPr>
        <w:t>Reco OMS : 2 g / j</w:t>
      </w:r>
    </w:p>
    <w:p w14:paraId="523BB0E5" w14:textId="77777777" w:rsidR="000B468F" w:rsidRPr="005E5379" w:rsidRDefault="000B468F" w:rsidP="000B468F">
      <w:pPr>
        <w:spacing w:after="120"/>
        <w:rPr>
          <w:rFonts w:ascii="Arial" w:hAnsi="Arial"/>
          <w:sz w:val="20"/>
        </w:rPr>
      </w:pPr>
      <w:r w:rsidRPr="000B468F">
        <w:rPr>
          <w:rFonts w:ascii="Arial" w:hAnsi="Arial"/>
          <w:sz w:val="20"/>
          <w:highlight w:val="yellow"/>
        </w:rPr>
        <w:t>Ce médicament contient xx mg de sodium par comprimé effervescent, équivalent à xx % de l'apport quotidien maximal en sodium recommandé par l’OMS. La posologie quotidienne maximale de ce produit (x comprimés) est équivalente à xx % de l'apport quotidien maximal en sodium recommandé par l’OMS. NomsCOMPLET a une teneur élevée en sodium. A prendre en compte chez les personnes suivant un régime hyposodé.</w:t>
      </w:r>
    </w:p>
    <w:p w14:paraId="56FE11BD" w14:textId="36813D6D" w:rsidR="009E44EF" w:rsidRPr="00707325" w:rsidRDefault="009E44EF" w:rsidP="00707325">
      <w:pPr>
        <w:pStyle w:val="AmmAnnexeTitre2"/>
        <w:keepNext w:val="0"/>
        <w:keepLines w:val="0"/>
        <w:tabs>
          <w:tab w:val="clear" w:pos="720"/>
        </w:tabs>
        <w:ind w:left="0" w:firstLine="0"/>
      </w:pPr>
      <w:r w:rsidRPr="00707325">
        <w:t>4.5.</w:t>
      </w:r>
      <w:r w:rsidRPr="00707325">
        <w:tab/>
        <w:t>Interactions avec d'autres médicaments et autres formes d'interactions</w:t>
      </w:r>
      <w:bookmarkEnd w:id="11"/>
    </w:p>
    <w:p w14:paraId="6BFB639D" w14:textId="77777777" w:rsidR="00AB22D1" w:rsidRPr="00AB22D1" w:rsidRDefault="00AB22D1" w:rsidP="00AB22D1">
      <w:pPr>
        <w:keepNext/>
        <w:keepLines/>
        <w:spacing w:before="120" w:after="120"/>
        <w:rPr>
          <w:rFonts w:ascii="Arial" w:hAnsi="Arial"/>
          <w:b/>
          <w:sz w:val="20"/>
          <w:u w:val="single"/>
        </w:rPr>
      </w:pPr>
      <w:bookmarkStart w:id="14" w:name="_Toc142278921"/>
      <w:r w:rsidRPr="00AB22D1">
        <w:rPr>
          <w:rFonts w:ascii="Arial" w:hAnsi="Arial"/>
          <w:b/>
          <w:sz w:val="20"/>
          <w:u w:val="single"/>
        </w:rPr>
        <w:t>Associations faisant l'objet de précautions d’emploi</w:t>
      </w:r>
    </w:p>
    <w:p w14:paraId="262963B7" w14:textId="77777777" w:rsidR="00AB22D1" w:rsidRPr="00AB22D1" w:rsidRDefault="00AB22D1" w:rsidP="00AB22D1">
      <w:pPr>
        <w:spacing w:after="120"/>
        <w:rPr>
          <w:rFonts w:ascii="Arial" w:hAnsi="Arial"/>
          <w:b/>
          <w:bCs/>
          <w:sz w:val="20"/>
        </w:rPr>
      </w:pPr>
      <w:r w:rsidRPr="00AB22D1">
        <w:rPr>
          <w:rFonts w:ascii="Arial" w:hAnsi="Arial"/>
          <w:b/>
          <w:bCs/>
          <w:sz w:val="20"/>
        </w:rPr>
        <w:t>+ Antivitamines K</w:t>
      </w:r>
    </w:p>
    <w:p w14:paraId="1CE329B1" w14:textId="77777777" w:rsidR="00AB22D1" w:rsidRPr="00AB22D1" w:rsidRDefault="00AB22D1" w:rsidP="00AB22D1">
      <w:pPr>
        <w:spacing w:after="120"/>
        <w:rPr>
          <w:rFonts w:ascii="Arial" w:hAnsi="Arial"/>
          <w:sz w:val="20"/>
        </w:rPr>
      </w:pPr>
      <w:r w:rsidRPr="00AB22D1">
        <w:rPr>
          <w:rFonts w:ascii="Arial" w:hAnsi="Arial"/>
          <w:sz w:val="20"/>
        </w:rPr>
        <w:t xml:space="preserve">Risque d’augmentation de l’effet de l’antivitamine K et du risque hémorragique en cas de prise de paracétamol aux doses maximales (4 g/j) pendant au moins 4 jours. </w:t>
      </w:r>
    </w:p>
    <w:p w14:paraId="79FB7805" w14:textId="74A40F17" w:rsidR="00244C21" w:rsidRPr="00AB22D1" w:rsidRDefault="00AB22D1" w:rsidP="00244C21">
      <w:pPr>
        <w:spacing w:after="120"/>
        <w:rPr>
          <w:rFonts w:ascii="Arial" w:hAnsi="Arial"/>
          <w:sz w:val="20"/>
        </w:rPr>
      </w:pPr>
      <w:r w:rsidRPr="00AB22D1">
        <w:rPr>
          <w:rFonts w:ascii="Arial" w:hAnsi="Arial"/>
          <w:sz w:val="20"/>
        </w:rPr>
        <w:t>Contrôle plus fréquent de l’INR. Adaptation éventuelle de la posologie de l’antivitamine K pendant le traitement par le paracétamol et après son arrêt.</w:t>
      </w:r>
    </w:p>
    <w:p w14:paraId="46A2DCE7" w14:textId="77777777" w:rsidR="00AB22D1" w:rsidRPr="00AB22D1" w:rsidRDefault="00AB22D1" w:rsidP="00AB22D1">
      <w:pPr>
        <w:spacing w:after="120"/>
        <w:rPr>
          <w:rFonts w:ascii="Arial" w:hAnsi="Arial"/>
          <w:b/>
          <w:bCs/>
          <w:sz w:val="20"/>
        </w:rPr>
      </w:pPr>
      <w:r w:rsidRPr="00AB22D1">
        <w:rPr>
          <w:rFonts w:ascii="Arial" w:hAnsi="Arial"/>
          <w:b/>
          <w:bCs/>
          <w:sz w:val="20"/>
        </w:rPr>
        <w:t>+ Flucloxacilline</w:t>
      </w:r>
    </w:p>
    <w:p w14:paraId="71016913" w14:textId="7A220E3D" w:rsidR="00AB22D1" w:rsidRPr="00AB22D1" w:rsidRDefault="00AB22D1" w:rsidP="00AB22D1">
      <w:pPr>
        <w:spacing w:after="120"/>
        <w:rPr>
          <w:rFonts w:ascii="Arial" w:hAnsi="Arial"/>
          <w:sz w:val="20"/>
        </w:rPr>
      </w:pPr>
      <w:r w:rsidRPr="00AB22D1">
        <w:rPr>
          <w:rFonts w:ascii="Arial" w:hAnsi="Arial"/>
          <w:sz w:val="20"/>
        </w:rPr>
        <w:t>Il convient d’être prudent lors de l’utilisation concomitante de paracétamol et de flucloxacilline, car la prise simultanée a été associée à une acidose métabolique à trou anionique élevé, en particulier chez les patients présentant des facteurs de risque (voir rubrique 4.4)</w:t>
      </w:r>
      <w:r w:rsidR="00CC3B08">
        <w:rPr>
          <w:rFonts w:ascii="Arial" w:hAnsi="Arial"/>
          <w:sz w:val="20"/>
        </w:rPr>
        <w:t>.</w:t>
      </w:r>
    </w:p>
    <w:p w14:paraId="5E28F1F7" w14:textId="77777777" w:rsidR="00AB22D1" w:rsidRPr="00AB22D1" w:rsidRDefault="00AB22D1" w:rsidP="00AB22D1">
      <w:pPr>
        <w:keepNext/>
        <w:keepLines/>
        <w:spacing w:before="120" w:after="120"/>
        <w:rPr>
          <w:rFonts w:ascii="Arial" w:hAnsi="Arial"/>
          <w:b/>
          <w:sz w:val="20"/>
          <w:u w:val="single"/>
        </w:rPr>
      </w:pPr>
      <w:r w:rsidRPr="00AB22D1">
        <w:rPr>
          <w:rFonts w:ascii="Arial" w:hAnsi="Arial"/>
          <w:b/>
          <w:sz w:val="20"/>
          <w:u w:val="single"/>
        </w:rPr>
        <w:t>Interactions avec les examens paracliniques</w:t>
      </w:r>
    </w:p>
    <w:p w14:paraId="63D77881" w14:textId="77777777" w:rsidR="00AB22D1" w:rsidRPr="00AB22D1" w:rsidRDefault="00AB22D1" w:rsidP="00AB22D1">
      <w:pPr>
        <w:spacing w:after="120"/>
        <w:rPr>
          <w:rFonts w:ascii="Arial" w:hAnsi="Arial"/>
          <w:sz w:val="20"/>
        </w:rPr>
      </w:pPr>
      <w:r w:rsidRPr="00AB22D1">
        <w:rPr>
          <w:rFonts w:ascii="Arial" w:hAnsi="Arial"/>
          <w:sz w:val="20"/>
        </w:rPr>
        <w:t>La prise de paracétamol peut fausser le dosage de la glycémie par la méthode à la glucose oxydase-peroxydase en cas de concentrations anormalement élevées.</w:t>
      </w:r>
    </w:p>
    <w:p w14:paraId="5C36DCA8" w14:textId="77777777" w:rsidR="009E44EF" w:rsidRPr="00AB22D1" w:rsidRDefault="00AB22D1" w:rsidP="00AB22D1">
      <w:pPr>
        <w:spacing w:after="120"/>
        <w:rPr>
          <w:rFonts w:ascii="Arial" w:hAnsi="Arial"/>
          <w:sz w:val="20"/>
        </w:rPr>
      </w:pPr>
      <w:r w:rsidRPr="00AB22D1">
        <w:rPr>
          <w:rFonts w:ascii="Arial" w:hAnsi="Arial"/>
          <w:sz w:val="20"/>
        </w:rPr>
        <w:t>La prise de paracétamol peut fausser le dosage de l'acide urique sanguin par la méthode à l'acide phosphotungstique.</w:t>
      </w:r>
      <w:bookmarkEnd w:id="14"/>
    </w:p>
    <w:p w14:paraId="3FBBF32C" w14:textId="77777777" w:rsidR="00F175F2" w:rsidRDefault="00F175F2" w:rsidP="00B62BC3">
      <w:pPr>
        <w:pStyle w:val="AmmAnnexeTitre2"/>
        <w:keepNext w:val="0"/>
        <w:keepLines w:val="0"/>
        <w:tabs>
          <w:tab w:val="clear" w:pos="720"/>
        </w:tabs>
        <w:ind w:left="0" w:firstLine="0"/>
      </w:pPr>
      <w:bookmarkStart w:id="15" w:name="_Toc142278925"/>
      <w:bookmarkStart w:id="16" w:name="_Toc142278926"/>
      <w:bookmarkStart w:id="17" w:name="_Toc142278928"/>
      <w:r w:rsidRPr="002025A9">
        <w:t>4.6.</w:t>
      </w:r>
      <w:r w:rsidRPr="002025A9">
        <w:tab/>
        <w:t>Fertilité, grossesse et allaitement</w:t>
      </w:r>
      <w:bookmarkEnd w:id="15"/>
    </w:p>
    <w:bookmarkEnd w:id="16"/>
    <w:p w14:paraId="286CA62B" w14:textId="77777777" w:rsidR="00AB22D1" w:rsidRPr="00AB22D1" w:rsidRDefault="00AB22D1" w:rsidP="00AB22D1">
      <w:pPr>
        <w:keepNext/>
        <w:keepLines/>
        <w:spacing w:before="120" w:after="120"/>
        <w:rPr>
          <w:rFonts w:ascii="Arial" w:hAnsi="Arial"/>
          <w:b/>
          <w:sz w:val="20"/>
          <w:u w:val="single"/>
        </w:rPr>
      </w:pPr>
      <w:r w:rsidRPr="00AB22D1">
        <w:rPr>
          <w:rFonts w:ascii="Arial" w:hAnsi="Arial"/>
          <w:b/>
          <w:sz w:val="20"/>
          <w:u w:val="single"/>
        </w:rPr>
        <w:t>Grossesse</w:t>
      </w:r>
    </w:p>
    <w:p w14:paraId="199572C5" w14:textId="23BFB393" w:rsidR="00AB22D1" w:rsidRPr="00AB22D1" w:rsidRDefault="00AB22D1" w:rsidP="00AB22D1">
      <w:pPr>
        <w:spacing w:after="120"/>
        <w:rPr>
          <w:rFonts w:ascii="Arial" w:hAnsi="Arial"/>
          <w:sz w:val="20"/>
        </w:rPr>
      </w:pPr>
      <w:r w:rsidRPr="00AB22D1">
        <w:rPr>
          <w:rFonts w:ascii="Arial" w:hAnsi="Arial"/>
          <w:sz w:val="20"/>
        </w:rPr>
        <w:t xml:space="preserve">Une vaste quantité de données portant sur les femmes enceintes démontrent l’absence de toute malformation ou de toute toxicité fœtale/néonatale. Les études épidémiologiques consacrées au neurodéveloppement des enfants exposés au paracétamol in utero produisent des résultats non concluants. Si cela s’avère nécessaire d’un point de vue clinique, le paracétamol peut être utilisé </w:t>
      </w:r>
      <w:r w:rsidRPr="00AB22D1">
        <w:rPr>
          <w:rFonts w:ascii="Arial" w:hAnsi="Arial"/>
          <w:sz w:val="20"/>
        </w:rPr>
        <w:lastRenderedPageBreak/>
        <w:t xml:space="preserve">pendant la grossesse ; cependant, il devra être utilisé à la dose efficace la plus faible, pendant la durée la plus courte possible et à la fréquence la plus réduite possible. </w:t>
      </w:r>
    </w:p>
    <w:p w14:paraId="1560AD3C" w14:textId="77777777" w:rsidR="00AB22D1" w:rsidRPr="00AB22D1" w:rsidRDefault="00AB22D1" w:rsidP="00AB22D1">
      <w:pPr>
        <w:keepNext/>
        <w:keepLines/>
        <w:spacing w:before="120" w:after="120"/>
        <w:rPr>
          <w:rFonts w:ascii="Arial" w:hAnsi="Arial"/>
          <w:b/>
          <w:sz w:val="20"/>
          <w:u w:val="single"/>
        </w:rPr>
      </w:pPr>
      <w:r w:rsidRPr="00AB22D1">
        <w:rPr>
          <w:rFonts w:ascii="Arial" w:hAnsi="Arial"/>
          <w:b/>
          <w:sz w:val="20"/>
          <w:u w:val="single"/>
        </w:rPr>
        <w:t>Allaitement</w:t>
      </w:r>
    </w:p>
    <w:p w14:paraId="38E29D15" w14:textId="0F478F63" w:rsidR="00AB22D1" w:rsidRPr="00AB22D1" w:rsidRDefault="00AB22D1" w:rsidP="00AB22D1">
      <w:pPr>
        <w:spacing w:after="120"/>
        <w:rPr>
          <w:rFonts w:ascii="Arial" w:hAnsi="Arial"/>
          <w:sz w:val="20"/>
        </w:rPr>
      </w:pPr>
      <w:r w:rsidRPr="00AB22D1">
        <w:rPr>
          <w:rFonts w:ascii="Arial" w:hAnsi="Arial"/>
          <w:sz w:val="20"/>
        </w:rPr>
        <w:t>Après administration</w:t>
      </w:r>
      <w:r w:rsidR="00B55670">
        <w:rPr>
          <w:rFonts w:ascii="Arial" w:hAnsi="Arial"/>
          <w:sz w:val="20"/>
        </w:rPr>
        <w:t>, l</w:t>
      </w:r>
      <w:r w:rsidRPr="00AB22D1">
        <w:rPr>
          <w:rFonts w:ascii="Arial" w:hAnsi="Arial"/>
          <w:sz w:val="20"/>
        </w:rPr>
        <w:t>e paracétamol est éliminé en petites quantités dans le lait maternel. A</w:t>
      </w:r>
      <w:r w:rsidR="00B55670">
        <w:rPr>
          <w:rFonts w:ascii="Arial" w:hAnsi="Arial"/>
          <w:sz w:val="20"/>
        </w:rPr>
        <w:t>ux</w:t>
      </w:r>
      <w:r w:rsidRPr="00AB22D1">
        <w:rPr>
          <w:rFonts w:ascii="Arial" w:hAnsi="Arial"/>
          <w:sz w:val="20"/>
        </w:rPr>
        <w:t xml:space="preserve"> doses thérapeutiques, l'administration de ce médicament est possible pendant l'allaitement.</w:t>
      </w:r>
    </w:p>
    <w:p w14:paraId="68B0F0A3" w14:textId="77777777" w:rsidR="00AB22D1" w:rsidRPr="00AB22D1" w:rsidRDefault="00AB22D1" w:rsidP="00AB22D1">
      <w:pPr>
        <w:keepNext/>
        <w:keepLines/>
        <w:spacing w:before="120" w:after="120"/>
        <w:rPr>
          <w:rFonts w:ascii="Arial" w:hAnsi="Arial"/>
          <w:b/>
          <w:sz w:val="20"/>
          <w:u w:val="single"/>
        </w:rPr>
      </w:pPr>
      <w:r w:rsidRPr="00AB22D1">
        <w:rPr>
          <w:rFonts w:ascii="Arial" w:hAnsi="Arial"/>
          <w:b/>
          <w:sz w:val="20"/>
          <w:u w:val="single"/>
        </w:rPr>
        <w:t>Fertilité</w:t>
      </w:r>
    </w:p>
    <w:p w14:paraId="670C9E64" w14:textId="77777777" w:rsidR="00AB22D1" w:rsidRPr="00AB22D1" w:rsidRDefault="00AB22D1" w:rsidP="00AB22D1">
      <w:pPr>
        <w:spacing w:after="120"/>
        <w:rPr>
          <w:rFonts w:ascii="Arial" w:hAnsi="Arial" w:cs="Arial"/>
          <w:sz w:val="20"/>
        </w:rPr>
      </w:pPr>
      <w:r w:rsidRPr="00AB22D1">
        <w:rPr>
          <w:rFonts w:ascii="Arial" w:hAnsi="Arial" w:cs="Arial"/>
          <w:sz w:val="20"/>
        </w:rPr>
        <w:t>En raison du mécanisme d’action potentiel sur les cyclo-oxygénases et la synthèse de prostaglandines, le paracétamol pourrait altérer la fertilité chez la femme, par un effet sur l’ovulation réversible à l’arrêt du traitement.</w:t>
      </w:r>
    </w:p>
    <w:p w14:paraId="6A2541DC" w14:textId="47548C66" w:rsidR="00E6215C" w:rsidRDefault="00AB22D1" w:rsidP="00AB22D1">
      <w:pPr>
        <w:spacing w:after="120"/>
      </w:pPr>
      <w:r w:rsidRPr="00AB22D1">
        <w:rPr>
          <w:rFonts w:ascii="Arial" w:hAnsi="Arial" w:cs="Arial"/>
          <w:sz w:val="20"/>
        </w:rPr>
        <w:t>Des effets sur la fertilité des mâles ont été observés dans une étude chez l'animal. La pertinence de ces effets chez l'homme n'est pas connue.</w:t>
      </w:r>
    </w:p>
    <w:p w14:paraId="325C8577" w14:textId="473715A1" w:rsidR="009E44EF" w:rsidRDefault="009E44EF" w:rsidP="00B62BC3">
      <w:pPr>
        <w:pStyle w:val="AmmAnnexeTitre2"/>
        <w:keepNext w:val="0"/>
        <w:keepLines w:val="0"/>
        <w:tabs>
          <w:tab w:val="clear" w:pos="720"/>
        </w:tabs>
        <w:ind w:left="0" w:firstLine="0"/>
      </w:pPr>
      <w:r>
        <w:t>4.7.</w:t>
      </w:r>
      <w:r>
        <w:tab/>
        <w:t>Effets sur l'aptitude à conduire des véhicules et à utiliser des machines</w:t>
      </w:r>
      <w:bookmarkEnd w:id="17"/>
    </w:p>
    <w:p w14:paraId="2278F954" w14:textId="77777777" w:rsidR="00E6215C" w:rsidRDefault="00AB22D1" w:rsidP="00AB22D1">
      <w:pPr>
        <w:pStyle w:val="AmmCorpsTexte"/>
        <w:rPr>
          <w:lang w:val="fr-BE"/>
        </w:rPr>
      </w:pPr>
      <w:bookmarkStart w:id="18" w:name="_Toc142278929"/>
      <w:r w:rsidRPr="00390061">
        <w:rPr>
          <w:lang w:val="fr-BE"/>
        </w:rPr>
        <w:t>Le paracétamol n’a aucun effet ou qu’un effet négligeable sur l’aptitude à conduire des véhicules et à utiliser des machines.</w:t>
      </w:r>
    </w:p>
    <w:p w14:paraId="1601CFDA" w14:textId="77777777" w:rsidR="009E44EF" w:rsidRDefault="009E44EF" w:rsidP="00B62BC3">
      <w:pPr>
        <w:pStyle w:val="AmmAnnexeTitre2"/>
        <w:keepNext w:val="0"/>
        <w:keepLines w:val="0"/>
        <w:tabs>
          <w:tab w:val="clear" w:pos="720"/>
        </w:tabs>
        <w:ind w:left="0" w:firstLine="0"/>
      </w:pPr>
      <w:r>
        <w:t>4.8.</w:t>
      </w:r>
      <w:r>
        <w:tab/>
        <w:t>Effets indésirables</w:t>
      </w:r>
      <w:bookmarkEnd w:id="18"/>
    </w:p>
    <w:p w14:paraId="5E8FAAD8" w14:textId="77777777" w:rsidR="00AB22D1" w:rsidRPr="00AB22D1" w:rsidRDefault="00AB22D1" w:rsidP="00AB22D1">
      <w:pPr>
        <w:spacing w:after="120"/>
        <w:rPr>
          <w:rFonts w:ascii="Arial" w:eastAsia="Calibri" w:hAnsi="Arial"/>
          <w:sz w:val="20"/>
        </w:rPr>
      </w:pPr>
      <w:bookmarkStart w:id="19" w:name="_Toc142278922"/>
      <w:r w:rsidRPr="00AB22D1">
        <w:rPr>
          <w:rFonts w:ascii="Arial" w:eastAsia="Calibri" w:hAnsi="Arial"/>
          <w:sz w:val="20"/>
        </w:rPr>
        <w:t xml:space="preserve">Les effets indésirables sont classés par système-organe. Leurs fréquences sont définies de la façon suivante : </w:t>
      </w:r>
    </w:p>
    <w:p w14:paraId="489A19B4" w14:textId="77777777" w:rsidR="00AB22D1" w:rsidRPr="00AB22D1" w:rsidRDefault="00AB22D1" w:rsidP="00AB22D1">
      <w:pPr>
        <w:numPr>
          <w:ilvl w:val="0"/>
          <w:numId w:val="30"/>
        </w:numPr>
        <w:rPr>
          <w:rFonts w:ascii="Arial" w:eastAsia="Calibri" w:hAnsi="Arial"/>
          <w:sz w:val="20"/>
        </w:rPr>
      </w:pPr>
      <w:r w:rsidRPr="00AB22D1">
        <w:rPr>
          <w:rFonts w:ascii="Arial" w:eastAsia="Calibri" w:hAnsi="Arial"/>
          <w:sz w:val="20"/>
        </w:rPr>
        <w:t>Très fréquent (</w:t>
      </w:r>
      <w:r w:rsidRPr="00AB22D1">
        <w:rPr>
          <w:rFonts w:ascii="Arial" w:eastAsia="Calibri" w:hAnsi="Arial"/>
          <w:sz w:val="20"/>
          <w:lang w:val="en-US"/>
        </w:rPr>
        <w:sym w:font="Symbol" w:char="F0B3"/>
      </w:r>
      <w:r w:rsidRPr="00AB22D1">
        <w:rPr>
          <w:rFonts w:ascii="Arial" w:eastAsia="Calibri" w:hAnsi="Arial"/>
          <w:sz w:val="20"/>
        </w:rPr>
        <w:t xml:space="preserve"> 1/10)</w:t>
      </w:r>
    </w:p>
    <w:p w14:paraId="5AD8E42F" w14:textId="77777777" w:rsidR="00AB22D1" w:rsidRPr="00AB22D1" w:rsidRDefault="00AB22D1" w:rsidP="00AB22D1">
      <w:pPr>
        <w:numPr>
          <w:ilvl w:val="0"/>
          <w:numId w:val="30"/>
        </w:numPr>
        <w:rPr>
          <w:rFonts w:ascii="Arial" w:eastAsia="Calibri" w:hAnsi="Arial"/>
          <w:sz w:val="20"/>
        </w:rPr>
      </w:pPr>
      <w:r w:rsidRPr="00AB22D1">
        <w:rPr>
          <w:rFonts w:ascii="Arial" w:eastAsia="Calibri" w:hAnsi="Arial"/>
          <w:sz w:val="20"/>
        </w:rPr>
        <w:t>Fréquent (</w:t>
      </w:r>
      <w:r w:rsidRPr="00AB22D1">
        <w:rPr>
          <w:rFonts w:ascii="Arial" w:eastAsia="Calibri" w:hAnsi="Arial"/>
          <w:sz w:val="20"/>
          <w:lang w:val="en-US"/>
        </w:rPr>
        <w:sym w:font="Symbol" w:char="F0B3"/>
      </w:r>
      <w:r w:rsidRPr="00AB22D1">
        <w:rPr>
          <w:rFonts w:ascii="Arial" w:eastAsia="Calibri" w:hAnsi="Arial"/>
          <w:sz w:val="20"/>
        </w:rPr>
        <w:t xml:space="preserve"> 1/100 à &lt; 1/10)</w:t>
      </w:r>
    </w:p>
    <w:p w14:paraId="4DB6B817" w14:textId="77777777" w:rsidR="00AB22D1" w:rsidRPr="00AB22D1" w:rsidRDefault="00AB22D1" w:rsidP="00AB22D1">
      <w:pPr>
        <w:numPr>
          <w:ilvl w:val="0"/>
          <w:numId w:val="30"/>
        </w:numPr>
        <w:rPr>
          <w:rFonts w:ascii="Arial" w:eastAsia="Calibri" w:hAnsi="Arial"/>
          <w:sz w:val="20"/>
        </w:rPr>
      </w:pPr>
      <w:r w:rsidRPr="00AB22D1">
        <w:rPr>
          <w:rFonts w:ascii="Arial" w:eastAsia="Calibri" w:hAnsi="Arial"/>
          <w:sz w:val="20"/>
        </w:rPr>
        <w:t>Peu fréquent (</w:t>
      </w:r>
      <w:r w:rsidRPr="00AB22D1">
        <w:rPr>
          <w:rFonts w:ascii="Arial" w:eastAsia="Calibri" w:hAnsi="Arial"/>
          <w:sz w:val="20"/>
          <w:lang w:val="en-US"/>
        </w:rPr>
        <w:sym w:font="Symbol" w:char="F0B3"/>
      </w:r>
      <w:r w:rsidR="00231A0D">
        <w:rPr>
          <w:rFonts w:ascii="Arial" w:eastAsia="Calibri" w:hAnsi="Arial"/>
          <w:sz w:val="20"/>
        </w:rPr>
        <w:t xml:space="preserve"> 1/1</w:t>
      </w:r>
      <w:r w:rsidRPr="00AB22D1">
        <w:rPr>
          <w:rFonts w:ascii="Arial" w:eastAsia="Calibri" w:hAnsi="Arial"/>
          <w:sz w:val="20"/>
        </w:rPr>
        <w:t>000 à &lt; 1/100)</w:t>
      </w:r>
    </w:p>
    <w:p w14:paraId="75C11C19" w14:textId="77777777" w:rsidR="00AB22D1" w:rsidRPr="00AB22D1" w:rsidRDefault="00AB22D1" w:rsidP="00AB22D1">
      <w:pPr>
        <w:numPr>
          <w:ilvl w:val="0"/>
          <w:numId w:val="30"/>
        </w:numPr>
        <w:rPr>
          <w:rFonts w:ascii="Arial" w:eastAsia="Calibri" w:hAnsi="Arial"/>
          <w:sz w:val="20"/>
        </w:rPr>
      </w:pPr>
      <w:r w:rsidRPr="00AB22D1">
        <w:rPr>
          <w:rFonts w:ascii="Arial" w:eastAsia="Calibri" w:hAnsi="Arial"/>
          <w:sz w:val="20"/>
        </w:rPr>
        <w:t>Rare (</w:t>
      </w:r>
      <w:r w:rsidRPr="00AB22D1">
        <w:rPr>
          <w:rFonts w:ascii="Arial" w:eastAsia="Calibri" w:hAnsi="Arial"/>
          <w:sz w:val="20"/>
          <w:lang w:val="en-US"/>
        </w:rPr>
        <w:sym w:font="Symbol" w:char="F0B3"/>
      </w:r>
      <w:r w:rsidR="00231A0D">
        <w:rPr>
          <w:rFonts w:ascii="Arial" w:eastAsia="Calibri" w:hAnsi="Arial"/>
          <w:sz w:val="20"/>
        </w:rPr>
        <w:t xml:space="preserve"> 1/10 000 à &lt; 1/1</w:t>
      </w:r>
      <w:r w:rsidRPr="00AB22D1">
        <w:rPr>
          <w:rFonts w:ascii="Arial" w:eastAsia="Calibri" w:hAnsi="Arial"/>
          <w:sz w:val="20"/>
        </w:rPr>
        <w:t>000)</w:t>
      </w:r>
    </w:p>
    <w:p w14:paraId="0C5FF1CE" w14:textId="77777777" w:rsidR="00AB22D1" w:rsidRPr="00AB22D1" w:rsidRDefault="00AB22D1" w:rsidP="00AB22D1">
      <w:pPr>
        <w:numPr>
          <w:ilvl w:val="0"/>
          <w:numId w:val="30"/>
        </w:numPr>
        <w:rPr>
          <w:rFonts w:ascii="Arial" w:eastAsia="Calibri" w:hAnsi="Arial"/>
          <w:sz w:val="20"/>
        </w:rPr>
      </w:pPr>
      <w:r w:rsidRPr="00AB22D1">
        <w:rPr>
          <w:rFonts w:ascii="Arial" w:eastAsia="Calibri" w:hAnsi="Arial"/>
          <w:sz w:val="20"/>
        </w:rPr>
        <w:t xml:space="preserve">Très rare (&lt; 1/10 000)  </w:t>
      </w:r>
    </w:p>
    <w:p w14:paraId="57CC3617" w14:textId="77777777" w:rsidR="00AB22D1" w:rsidRDefault="00AB22D1" w:rsidP="00AB22D1">
      <w:pPr>
        <w:numPr>
          <w:ilvl w:val="0"/>
          <w:numId w:val="30"/>
        </w:numPr>
        <w:rPr>
          <w:rFonts w:ascii="Arial" w:eastAsia="Calibri" w:hAnsi="Arial"/>
          <w:sz w:val="20"/>
        </w:rPr>
      </w:pPr>
      <w:r w:rsidRPr="00AB22D1">
        <w:rPr>
          <w:rFonts w:ascii="Arial" w:eastAsia="Calibri" w:hAnsi="Arial"/>
          <w:sz w:val="20"/>
        </w:rPr>
        <w:t>Fréquence indéterminée (ne peut être estimée sur la base des données disponibles)</w:t>
      </w:r>
    </w:p>
    <w:p w14:paraId="6188125E" w14:textId="77777777" w:rsidR="00CC3B08" w:rsidRPr="00AB22D1" w:rsidRDefault="00CC3B08" w:rsidP="00E85E17">
      <w:pPr>
        <w:ind w:left="360"/>
        <w:rPr>
          <w:rFonts w:ascii="Arial" w:eastAsia="Calibri" w:hAnsi="Arial"/>
          <w:sz w:val="20"/>
        </w:rPr>
      </w:pPr>
    </w:p>
    <w:tbl>
      <w:tblPr>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7"/>
        <w:gridCol w:w="1785"/>
        <w:gridCol w:w="2552"/>
        <w:gridCol w:w="2976"/>
      </w:tblGrid>
      <w:tr w:rsidR="00CC3B08" w:rsidRPr="00492191" w14:paraId="5ED511AF" w14:textId="77777777" w:rsidTr="00B250B6">
        <w:tc>
          <w:tcPr>
            <w:tcW w:w="1867" w:type="dxa"/>
            <w:shd w:val="clear" w:color="auto" w:fill="auto"/>
          </w:tcPr>
          <w:bookmarkEnd w:id="19"/>
          <w:p w14:paraId="083336F7" w14:textId="4441F25D" w:rsidR="00CC3B08" w:rsidRPr="00E85E17" w:rsidRDefault="00CC3B08" w:rsidP="00B250B6">
            <w:pPr>
              <w:pStyle w:val="AmmCorpsTexte"/>
              <w:rPr>
                <w:b/>
                <w:lang w:eastAsia="en-US" w:bidi="en-US"/>
              </w:rPr>
            </w:pPr>
            <w:r w:rsidRPr="00E85E17">
              <w:rPr>
                <w:b/>
                <w:noProof/>
                <w:lang w:eastAsia="en-US"/>
              </w:rPr>
              <w:t>Classe de système</w:t>
            </w:r>
            <w:r w:rsidR="00005352" w:rsidRPr="00E85E17">
              <w:rPr>
                <w:b/>
                <w:noProof/>
                <w:lang w:eastAsia="en-US"/>
              </w:rPr>
              <w:t xml:space="preserve"> d’</w:t>
            </w:r>
            <w:r w:rsidRPr="00E85E17">
              <w:rPr>
                <w:b/>
                <w:noProof/>
                <w:lang w:eastAsia="en-US"/>
              </w:rPr>
              <w:t>organe</w:t>
            </w:r>
            <w:r w:rsidR="00005352" w:rsidRPr="00E85E17">
              <w:rPr>
                <w:b/>
                <w:noProof/>
                <w:lang w:eastAsia="en-US"/>
              </w:rPr>
              <w:t>s</w:t>
            </w:r>
          </w:p>
        </w:tc>
        <w:tc>
          <w:tcPr>
            <w:tcW w:w="1785" w:type="dxa"/>
            <w:shd w:val="clear" w:color="auto" w:fill="auto"/>
          </w:tcPr>
          <w:p w14:paraId="2FD053EF" w14:textId="77777777" w:rsidR="00CC3B08" w:rsidRPr="00810A7D" w:rsidRDefault="00CC3B08" w:rsidP="00B250B6">
            <w:pPr>
              <w:pStyle w:val="AmmCorpsTexte"/>
              <w:rPr>
                <w:b/>
                <w:lang w:val="en-GB" w:eastAsia="en-US" w:bidi="en-US"/>
              </w:rPr>
            </w:pPr>
            <w:r w:rsidRPr="00810A7D">
              <w:rPr>
                <w:b/>
                <w:lang w:val="en-GB" w:eastAsia="en-US" w:bidi="en-US"/>
              </w:rPr>
              <w:t xml:space="preserve">Rare </w:t>
            </w:r>
          </w:p>
          <w:p w14:paraId="6630C61F" w14:textId="77777777" w:rsidR="00CC3B08" w:rsidRPr="00810A7D" w:rsidRDefault="00CC3B08" w:rsidP="00B250B6">
            <w:pPr>
              <w:pStyle w:val="AmmCorpsTexte"/>
              <w:rPr>
                <w:b/>
                <w:lang w:val="en-GB" w:eastAsia="en-US" w:bidi="en-US"/>
              </w:rPr>
            </w:pPr>
            <w:r w:rsidRPr="00810A7D">
              <w:rPr>
                <w:b/>
                <w:lang w:val="en-GB" w:eastAsia="en-US" w:bidi="en-US"/>
              </w:rPr>
              <w:t>(</w:t>
            </w:r>
            <w:r w:rsidRPr="00810A7D">
              <w:rPr>
                <w:b/>
                <w:lang w:val="en-GB" w:eastAsia="en-US" w:bidi="en-US"/>
              </w:rPr>
              <w:sym w:font="Symbol" w:char="F0B3"/>
            </w:r>
            <w:r w:rsidRPr="00810A7D">
              <w:rPr>
                <w:b/>
                <w:lang w:val="en-GB" w:eastAsia="en-US" w:bidi="en-US"/>
              </w:rPr>
              <w:t xml:space="preserve"> 1/10</w:t>
            </w:r>
            <w:r>
              <w:rPr>
                <w:b/>
                <w:lang w:val="en-GB" w:eastAsia="en-US" w:bidi="en-US"/>
              </w:rPr>
              <w:t xml:space="preserve"> </w:t>
            </w:r>
            <w:r w:rsidRPr="00810A7D">
              <w:rPr>
                <w:b/>
                <w:lang w:val="en-GB" w:eastAsia="en-US" w:bidi="en-US"/>
              </w:rPr>
              <w:t xml:space="preserve">000 </w:t>
            </w:r>
            <w:r>
              <w:rPr>
                <w:b/>
                <w:lang w:val="en-GB" w:eastAsia="en-US" w:bidi="en-US"/>
              </w:rPr>
              <w:t>à</w:t>
            </w:r>
            <w:r w:rsidRPr="00810A7D">
              <w:rPr>
                <w:b/>
                <w:lang w:val="en-GB" w:eastAsia="en-US" w:bidi="en-US"/>
              </w:rPr>
              <w:t xml:space="preserve"> </w:t>
            </w:r>
          </w:p>
          <w:p w14:paraId="782D8C58" w14:textId="77777777" w:rsidR="00CC3B08" w:rsidRPr="00810A7D" w:rsidRDefault="00CC3B08" w:rsidP="00B250B6">
            <w:pPr>
              <w:pStyle w:val="AmmCorpsTexte"/>
              <w:rPr>
                <w:b/>
                <w:lang w:val="en-GB" w:eastAsia="en-US" w:bidi="en-US"/>
              </w:rPr>
            </w:pPr>
            <w:r w:rsidRPr="00810A7D">
              <w:rPr>
                <w:b/>
                <w:lang w:val="en-GB" w:eastAsia="en-US" w:bidi="en-US"/>
              </w:rPr>
              <w:t>&lt; 1/1</w:t>
            </w:r>
            <w:r>
              <w:rPr>
                <w:b/>
                <w:lang w:val="en-GB" w:eastAsia="en-US" w:bidi="en-US"/>
              </w:rPr>
              <w:t xml:space="preserve"> </w:t>
            </w:r>
            <w:r w:rsidRPr="00810A7D">
              <w:rPr>
                <w:b/>
                <w:lang w:val="en-GB" w:eastAsia="en-US" w:bidi="en-US"/>
              </w:rPr>
              <w:t>000)</w:t>
            </w:r>
          </w:p>
        </w:tc>
        <w:tc>
          <w:tcPr>
            <w:tcW w:w="2552" w:type="dxa"/>
            <w:shd w:val="clear" w:color="auto" w:fill="auto"/>
          </w:tcPr>
          <w:p w14:paraId="066DFA31" w14:textId="77777777" w:rsidR="00CC3B08" w:rsidRPr="00810A7D" w:rsidRDefault="00CC3B08" w:rsidP="00B250B6">
            <w:pPr>
              <w:pStyle w:val="AmmCorpsTexte"/>
              <w:rPr>
                <w:b/>
                <w:lang w:val="en-GB" w:eastAsia="en-US" w:bidi="en-US"/>
              </w:rPr>
            </w:pPr>
            <w:r w:rsidRPr="00810A7D">
              <w:rPr>
                <w:b/>
                <w:lang w:val="en-GB" w:eastAsia="en-US" w:bidi="en-US"/>
              </w:rPr>
              <w:t xml:space="preserve">Très rare </w:t>
            </w:r>
          </w:p>
          <w:p w14:paraId="4423E4C5" w14:textId="77777777" w:rsidR="00CC3B08" w:rsidRPr="00810A7D" w:rsidRDefault="00CC3B08" w:rsidP="00B250B6">
            <w:pPr>
              <w:pStyle w:val="AmmCorpsTexte"/>
              <w:rPr>
                <w:b/>
                <w:lang w:val="en-GB" w:eastAsia="en-US" w:bidi="en-US"/>
              </w:rPr>
            </w:pPr>
            <w:r w:rsidRPr="00810A7D">
              <w:rPr>
                <w:b/>
                <w:lang w:val="en-GB" w:eastAsia="en-US" w:bidi="en-US"/>
              </w:rPr>
              <w:t>(&lt; 1/10</w:t>
            </w:r>
            <w:r>
              <w:rPr>
                <w:b/>
                <w:lang w:val="en-GB" w:eastAsia="en-US" w:bidi="en-US"/>
              </w:rPr>
              <w:t xml:space="preserve"> </w:t>
            </w:r>
            <w:r w:rsidRPr="00810A7D">
              <w:rPr>
                <w:b/>
                <w:lang w:val="en-GB" w:eastAsia="en-US" w:bidi="en-US"/>
              </w:rPr>
              <w:t>000)</w:t>
            </w:r>
          </w:p>
        </w:tc>
        <w:tc>
          <w:tcPr>
            <w:tcW w:w="2976" w:type="dxa"/>
            <w:shd w:val="clear" w:color="auto" w:fill="auto"/>
          </w:tcPr>
          <w:p w14:paraId="300C3189" w14:textId="77777777" w:rsidR="00CC3B08" w:rsidRPr="00810A7D" w:rsidRDefault="00CC3B08" w:rsidP="00B250B6">
            <w:pPr>
              <w:pStyle w:val="AmmCorpsTexte"/>
              <w:rPr>
                <w:b/>
                <w:lang w:val="en-GB" w:eastAsia="en-US" w:bidi="en-US"/>
              </w:rPr>
            </w:pPr>
            <w:r>
              <w:rPr>
                <w:b/>
                <w:lang w:val="en-GB" w:eastAsia="en-US" w:bidi="en-US"/>
              </w:rPr>
              <w:t>Fréquence i</w:t>
            </w:r>
            <w:r w:rsidRPr="00810A7D">
              <w:rPr>
                <w:b/>
                <w:lang w:val="en-GB" w:eastAsia="en-US" w:bidi="en-US"/>
              </w:rPr>
              <w:t>ndéterminé</w:t>
            </w:r>
            <w:r>
              <w:rPr>
                <w:b/>
                <w:lang w:val="en-GB" w:eastAsia="en-US" w:bidi="en-US"/>
              </w:rPr>
              <w:t>e</w:t>
            </w:r>
          </w:p>
        </w:tc>
      </w:tr>
      <w:tr w:rsidR="00CC3B08" w:rsidRPr="00492191" w14:paraId="164879BC" w14:textId="77777777" w:rsidTr="00B250B6">
        <w:tc>
          <w:tcPr>
            <w:tcW w:w="1867" w:type="dxa"/>
          </w:tcPr>
          <w:p w14:paraId="2F145A44" w14:textId="77777777" w:rsidR="00CC3B08" w:rsidRPr="00121AAC" w:rsidRDefault="00CC3B08" w:rsidP="00B250B6">
            <w:pPr>
              <w:pStyle w:val="AmmCorpsTexte"/>
              <w:rPr>
                <w:b/>
                <w:bCs/>
                <w:lang w:eastAsia="en-US" w:bidi="en-US"/>
              </w:rPr>
            </w:pPr>
            <w:r w:rsidRPr="00121AAC">
              <w:rPr>
                <w:b/>
                <w:bCs/>
              </w:rPr>
              <w:t>Affections hématologiques et du système lymphatique</w:t>
            </w:r>
          </w:p>
        </w:tc>
        <w:tc>
          <w:tcPr>
            <w:tcW w:w="1785" w:type="dxa"/>
          </w:tcPr>
          <w:p w14:paraId="3AD7A790" w14:textId="77777777" w:rsidR="00CC3B08" w:rsidRPr="00492191" w:rsidRDefault="00CC3B08" w:rsidP="00B250B6">
            <w:pPr>
              <w:pStyle w:val="AmmCorpsTexte"/>
              <w:rPr>
                <w:strike/>
                <w:lang w:eastAsia="en-US" w:bidi="en-US"/>
              </w:rPr>
            </w:pPr>
          </w:p>
        </w:tc>
        <w:tc>
          <w:tcPr>
            <w:tcW w:w="2552" w:type="dxa"/>
          </w:tcPr>
          <w:p w14:paraId="7E441660" w14:textId="77777777" w:rsidR="00CC3B08" w:rsidRDefault="00CC3B08" w:rsidP="00B250B6">
            <w:pPr>
              <w:pStyle w:val="AmmCorpsTexte"/>
              <w:spacing w:after="0"/>
              <w:rPr>
                <w:lang w:val="en-US" w:eastAsia="en-US" w:bidi="en-US"/>
              </w:rPr>
            </w:pPr>
            <w:r w:rsidRPr="00492191">
              <w:rPr>
                <w:lang w:val="en-US" w:eastAsia="en-US" w:bidi="en-US"/>
              </w:rPr>
              <w:t>Thrombop</w:t>
            </w:r>
            <w:r>
              <w:rPr>
                <w:lang w:val="en-US" w:eastAsia="en-US" w:bidi="en-US"/>
              </w:rPr>
              <w:t>énie</w:t>
            </w:r>
            <w:r w:rsidRPr="00492191">
              <w:rPr>
                <w:lang w:val="en-US" w:eastAsia="en-US" w:bidi="en-US"/>
              </w:rPr>
              <w:t>, Leu</w:t>
            </w:r>
            <w:r>
              <w:rPr>
                <w:lang w:val="en-US" w:eastAsia="en-US" w:bidi="en-US"/>
              </w:rPr>
              <w:t>c</w:t>
            </w:r>
            <w:r w:rsidRPr="00492191">
              <w:rPr>
                <w:lang w:val="en-US" w:eastAsia="en-US" w:bidi="en-US"/>
              </w:rPr>
              <w:t>op</w:t>
            </w:r>
            <w:r>
              <w:rPr>
                <w:lang w:val="en-US" w:eastAsia="en-US" w:bidi="en-US"/>
              </w:rPr>
              <w:t>énie</w:t>
            </w:r>
            <w:r w:rsidRPr="00492191">
              <w:rPr>
                <w:lang w:val="en-US" w:eastAsia="en-US" w:bidi="en-US"/>
              </w:rPr>
              <w:t xml:space="preserve">, </w:t>
            </w:r>
          </w:p>
          <w:p w14:paraId="151B63A1" w14:textId="77777777" w:rsidR="00CC3B08" w:rsidRPr="00492191" w:rsidRDefault="00CC3B08" w:rsidP="00B250B6">
            <w:pPr>
              <w:pStyle w:val="AmmCorpsTexte"/>
              <w:rPr>
                <w:u w:val="single"/>
                <w:lang w:val="en-US" w:eastAsia="en-US" w:bidi="en-US"/>
              </w:rPr>
            </w:pPr>
            <w:r w:rsidRPr="00492191">
              <w:rPr>
                <w:lang w:val="en-US" w:eastAsia="en-US" w:bidi="en-US"/>
              </w:rPr>
              <w:t>Neutrop</w:t>
            </w:r>
            <w:r>
              <w:rPr>
                <w:lang w:val="en-US" w:eastAsia="en-US" w:bidi="en-US"/>
              </w:rPr>
              <w:t>énie</w:t>
            </w:r>
          </w:p>
        </w:tc>
        <w:tc>
          <w:tcPr>
            <w:tcW w:w="2976" w:type="dxa"/>
          </w:tcPr>
          <w:p w14:paraId="56C9C99D" w14:textId="77777777" w:rsidR="00CC3B08" w:rsidRPr="00492191" w:rsidRDefault="00CC3B08" w:rsidP="00B250B6">
            <w:pPr>
              <w:pStyle w:val="AmmCorpsTexte"/>
              <w:rPr>
                <w:lang w:val="en-GB" w:eastAsia="en-US" w:bidi="en-US"/>
              </w:rPr>
            </w:pPr>
          </w:p>
        </w:tc>
      </w:tr>
      <w:tr w:rsidR="00CC3B08" w:rsidRPr="00492191" w14:paraId="15CF3804" w14:textId="77777777" w:rsidTr="00B250B6">
        <w:tc>
          <w:tcPr>
            <w:tcW w:w="1867" w:type="dxa"/>
          </w:tcPr>
          <w:p w14:paraId="7572D1C6" w14:textId="77777777" w:rsidR="00CC3B08" w:rsidRPr="00121AAC" w:rsidRDefault="00CC3B08" w:rsidP="00B250B6">
            <w:pPr>
              <w:pStyle w:val="AmmCorpsTexte"/>
              <w:rPr>
                <w:b/>
                <w:bCs/>
                <w:lang w:val="en-GB" w:eastAsia="en-US" w:bidi="en-US"/>
              </w:rPr>
            </w:pPr>
            <w:r w:rsidRPr="00121AAC">
              <w:rPr>
                <w:rFonts w:eastAsia="Arial"/>
                <w:b/>
                <w:bCs/>
                <w:lang w:val="en-GB" w:eastAsia="en-US"/>
              </w:rPr>
              <w:t>Affections du système immunitaire</w:t>
            </w:r>
          </w:p>
        </w:tc>
        <w:tc>
          <w:tcPr>
            <w:tcW w:w="1785" w:type="dxa"/>
          </w:tcPr>
          <w:p w14:paraId="50E686C6" w14:textId="77777777" w:rsidR="00CC3B08" w:rsidRPr="00492191" w:rsidRDefault="00CC3B08" w:rsidP="00B250B6">
            <w:pPr>
              <w:pStyle w:val="AmmCorpsTexte"/>
              <w:rPr>
                <w:lang w:val="en-GB" w:eastAsia="en-US" w:bidi="en-US"/>
              </w:rPr>
            </w:pPr>
            <w:r>
              <w:rPr>
                <w:lang w:val="en-GB" w:eastAsia="en-US" w:bidi="en-US"/>
              </w:rPr>
              <w:t>Réactions d’h</w:t>
            </w:r>
            <w:r w:rsidRPr="00492191">
              <w:rPr>
                <w:lang w:val="en-GB" w:eastAsia="en-US" w:bidi="en-US"/>
              </w:rPr>
              <w:t>ypersensi</w:t>
            </w:r>
            <w:r>
              <w:rPr>
                <w:lang w:val="en-GB" w:eastAsia="en-US" w:bidi="en-US"/>
              </w:rPr>
              <w:t>bilité</w:t>
            </w:r>
            <w:r w:rsidRPr="00492191">
              <w:rPr>
                <w:rFonts w:eastAsia="Arial"/>
                <w:vertAlign w:val="superscript"/>
                <w:lang w:val="en-GB"/>
              </w:rPr>
              <w:t>1</w:t>
            </w:r>
          </w:p>
        </w:tc>
        <w:tc>
          <w:tcPr>
            <w:tcW w:w="2552" w:type="dxa"/>
          </w:tcPr>
          <w:p w14:paraId="36CD3EDC" w14:textId="77777777" w:rsidR="00CC3B08" w:rsidRPr="00492191" w:rsidRDefault="00CC3B08" w:rsidP="00B250B6">
            <w:pPr>
              <w:pStyle w:val="AmmCorpsTexte"/>
              <w:rPr>
                <w:lang w:val="en-US" w:eastAsia="en-US" w:bidi="en-US"/>
              </w:rPr>
            </w:pPr>
          </w:p>
        </w:tc>
        <w:tc>
          <w:tcPr>
            <w:tcW w:w="2976" w:type="dxa"/>
          </w:tcPr>
          <w:p w14:paraId="7AF14B18" w14:textId="77777777" w:rsidR="00CC3B08" w:rsidRPr="00492191" w:rsidRDefault="00CC3B08" w:rsidP="00B250B6">
            <w:pPr>
              <w:pStyle w:val="AmmCorpsTexte"/>
            </w:pPr>
            <w:r w:rsidRPr="00492191">
              <w:t>Réaction anaphylactique (dont hypotension)</w:t>
            </w:r>
            <w:r w:rsidRPr="00492191">
              <w:rPr>
                <w:vertAlign w:val="superscript"/>
              </w:rPr>
              <w:t>1</w:t>
            </w:r>
            <w:r w:rsidRPr="00492191">
              <w:t>,</w:t>
            </w:r>
          </w:p>
          <w:p w14:paraId="15DADB5F" w14:textId="77777777" w:rsidR="00CC3B08" w:rsidRPr="00492191" w:rsidRDefault="00CC3B08" w:rsidP="00B250B6">
            <w:pPr>
              <w:pStyle w:val="AmmCorpsTexte"/>
            </w:pPr>
            <w:r w:rsidRPr="00492191">
              <w:t>Choc anaphylactique</w:t>
            </w:r>
            <w:r w:rsidRPr="00492191">
              <w:rPr>
                <w:rFonts w:eastAsia="Arial"/>
                <w:vertAlign w:val="superscript"/>
              </w:rPr>
              <w:t>1</w:t>
            </w:r>
            <w:r w:rsidRPr="00492191">
              <w:rPr>
                <w:rFonts w:eastAsia="Arial"/>
              </w:rPr>
              <w:t>,</w:t>
            </w:r>
          </w:p>
          <w:p w14:paraId="081E8489" w14:textId="77777777" w:rsidR="00CC3B08" w:rsidRPr="00492191" w:rsidRDefault="00CC3B08" w:rsidP="00B250B6">
            <w:pPr>
              <w:pStyle w:val="AmmCorpsTexte"/>
              <w:rPr>
                <w:lang w:bidi="en-US"/>
              </w:rPr>
            </w:pPr>
            <w:r w:rsidRPr="00492191">
              <w:t xml:space="preserve">Angioedème </w:t>
            </w:r>
            <w:r w:rsidRPr="00492191">
              <w:rPr>
                <w:rFonts w:eastAsia="Arial"/>
              </w:rPr>
              <w:t>(œdème de Quincke)</w:t>
            </w:r>
            <w:r w:rsidRPr="00492191">
              <w:rPr>
                <w:rFonts w:eastAsia="Arial"/>
                <w:vertAlign w:val="superscript"/>
              </w:rPr>
              <w:t>1</w:t>
            </w:r>
          </w:p>
        </w:tc>
      </w:tr>
      <w:tr w:rsidR="00CC3B08" w14:paraId="676B8A61" w14:textId="77777777" w:rsidTr="00B250B6">
        <w:tc>
          <w:tcPr>
            <w:tcW w:w="1867" w:type="dxa"/>
            <w:tcBorders>
              <w:top w:val="single" w:sz="4" w:space="0" w:color="auto"/>
              <w:left w:val="single" w:sz="4" w:space="0" w:color="auto"/>
              <w:bottom w:val="single" w:sz="4" w:space="0" w:color="auto"/>
              <w:right w:val="single" w:sz="4" w:space="0" w:color="auto"/>
            </w:tcBorders>
            <w:hideMark/>
          </w:tcPr>
          <w:p w14:paraId="49A4A66D" w14:textId="77777777" w:rsidR="00CC3B08" w:rsidRPr="002C4D81" w:rsidRDefault="00CC3B08" w:rsidP="00B250B6">
            <w:pPr>
              <w:pStyle w:val="AmmCorpsTexte"/>
              <w:rPr>
                <w:rFonts w:eastAsia="Arial"/>
                <w:b/>
                <w:bCs/>
                <w:lang w:eastAsia="en-US"/>
              </w:rPr>
            </w:pPr>
            <w:bookmarkStart w:id="20" w:name="_Hlk141780586"/>
            <w:r>
              <w:rPr>
                <w:rFonts w:eastAsia="Arial"/>
                <w:b/>
                <w:bCs/>
                <w:lang w:eastAsia="en-US"/>
              </w:rPr>
              <w:t xml:space="preserve">Affections </w:t>
            </w:r>
            <w:r w:rsidRPr="002C4D81">
              <w:rPr>
                <w:rFonts w:eastAsia="Arial"/>
                <w:b/>
                <w:bCs/>
                <w:lang w:eastAsia="en-US"/>
              </w:rPr>
              <w:t>respiratoires, thoraciques et médiastina</w:t>
            </w:r>
            <w:r>
              <w:rPr>
                <w:rFonts w:eastAsia="Arial"/>
                <w:b/>
                <w:bCs/>
                <w:lang w:eastAsia="en-US"/>
              </w:rPr>
              <w:t>les</w:t>
            </w:r>
          </w:p>
        </w:tc>
        <w:tc>
          <w:tcPr>
            <w:tcW w:w="1785" w:type="dxa"/>
            <w:tcBorders>
              <w:top w:val="single" w:sz="4" w:space="0" w:color="auto"/>
              <w:left w:val="single" w:sz="4" w:space="0" w:color="auto"/>
              <w:bottom w:val="single" w:sz="4" w:space="0" w:color="auto"/>
              <w:right w:val="single" w:sz="4" w:space="0" w:color="auto"/>
            </w:tcBorders>
            <w:hideMark/>
          </w:tcPr>
          <w:p w14:paraId="4C918D8C" w14:textId="77777777" w:rsidR="00CC3B08" w:rsidRDefault="00CC3B08" w:rsidP="00B250B6">
            <w:pPr>
              <w:rPr>
                <w:rFonts w:eastAsia="Arial"/>
                <w:lang w:eastAsia="en-US"/>
              </w:rPr>
            </w:pPr>
          </w:p>
        </w:tc>
        <w:tc>
          <w:tcPr>
            <w:tcW w:w="2552" w:type="dxa"/>
            <w:tcBorders>
              <w:top w:val="single" w:sz="4" w:space="0" w:color="auto"/>
              <w:left w:val="single" w:sz="4" w:space="0" w:color="auto"/>
              <w:bottom w:val="single" w:sz="4" w:space="0" w:color="auto"/>
              <w:right w:val="single" w:sz="4" w:space="0" w:color="auto"/>
            </w:tcBorders>
          </w:tcPr>
          <w:p w14:paraId="06F0078F" w14:textId="77777777" w:rsidR="00CC3B08" w:rsidRDefault="00CC3B08" w:rsidP="00B250B6">
            <w:pPr>
              <w:pStyle w:val="AmmCorpsTexte"/>
              <w:rPr>
                <w:lang w:eastAsia="en-US" w:bidi="en-US"/>
              </w:rPr>
            </w:pPr>
          </w:p>
        </w:tc>
        <w:tc>
          <w:tcPr>
            <w:tcW w:w="2976" w:type="dxa"/>
            <w:tcBorders>
              <w:top w:val="single" w:sz="4" w:space="0" w:color="auto"/>
              <w:left w:val="single" w:sz="4" w:space="0" w:color="auto"/>
              <w:bottom w:val="single" w:sz="4" w:space="0" w:color="auto"/>
              <w:right w:val="single" w:sz="4" w:space="0" w:color="auto"/>
            </w:tcBorders>
            <w:hideMark/>
          </w:tcPr>
          <w:p w14:paraId="415EA84E" w14:textId="77777777" w:rsidR="00CC3B08" w:rsidRDefault="00CC3B08" w:rsidP="00B250B6">
            <w:pPr>
              <w:pStyle w:val="AmmCorpsTexte"/>
            </w:pPr>
            <w:r>
              <w:t>Bronchospasme (</w:t>
            </w:r>
            <w:r w:rsidRPr="00330090">
              <w:t xml:space="preserve">des cas de bronchospasme ont été identifiés avec le paracétamol, majoritairement chez des patients asthmatiques sensibles à l’aspirine ou </w:t>
            </w:r>
            <w:r>
              <w:t>à d’</w:t>
            </w:r>
            <w:r w:rsidRPr="00330090">
              <w:t>autres anti-inflammatoires non-stéroïdiens)</w:t>
            </w:r>
            <w:r>
              <w:t>.</w:t>
            </w:r>
          </w:p>
        </w:tc>
        <w:bookmarkEnd w:id="20"/>
      </w:tr>
      <w:tr w:rsidR="00CC3B08" w:rsidRPr="00492191" w14:paraId="79562664" w14:textId="77777777" w:rsidTr="00B250B6">
        <w:tc>
          <w:tcPr>
            <w:tcW w:w="1867" w:type="dxa"/>
          </w:tcPr>
          <w:p w14:paraId="23A8A779" w14:textId="77777777" w:rsidR="00CC3B08" w:rsidRPr="00121AAC" w:rsidRDefault="00CC3B08" w:rsidP="00B250B6">
            <w:pPr>
              <w:pStyle w:val="AmmCorpsTexte"/>
              <w:rPr>
                <w:rFonts w:eastAsia="Arial"/>
                <w:b/>
                <w:bCs/>
                <w:lang w:eastAsia="en-US"/>
              </w:rPr>
            </w:pPr>
            <w:r w:rsidRPr="00121AAC">
              <w:rPr>
                <w:b/>
                <w:bCs/>
                <w:noProof/>
              </w:rPr>
              <w:t>Troubles du métabolisme et de la nutrition</w:t>
            </w:r>
          </w:p>
        </w:tc>
        <w:tc>
          <w:tcPr>
            <w:tcW w:w="1785" w:type="dxa"/>
          </w:tcPr>
          <w:p w14:paraId="182D8694" w14:textId="77777777" w:rsidR="00CC3B08" w:rsidRPr="00FB360A" w:rsidRDefault="00CC3B08" w:rsidP="00B250B6">
            <w:pPr>
              <w:pStyle w:val="AmmCorpsTexte"/>
              <w:rPr>
                <w:lang w:eastAsia="en-US" w:bidi="en-US"/>
              </w:rPr>
            </w:pPr>
          </w:p>
        </w:tc>
        <w:tc>
          <w:tcPr>
            <w:tcW w:w="2552" w:type="dxa"/>
          </w:tcPr>
          <w:p w14:paraId="2590A965" w14:textId="77777777" w:rsidR="00CC3B08" w:rsidRPr="00FB360A" w:rsidRDefault="00CC3B08" w:rsidP="00B250B6">
            <w:pPr>
              <w:pStyle w:val="AmmCorpsTexte"/>
              <w:rPr>
                <w:lang w:eastAsia="en-US" w:bidi="en-US"/>
              </w:rPr>
            </w:pPr>
          </w:p>
        </w:tc>
        <w:tc>
          <w:tcPr>
            <w:tcW w:w="2976" w:type="dxa"/>
          </w:tcPr>
          <w:p w14:paraId="39BF4210" w14:textId="77777777" w:rsidR="00CC3B08" w:rsidRPr="00492191" w:rsidRDefault="00CC3B08" w:rsidP="00B250B6">
            <w:pPr>
              <w:pStyle w:val="AmmCorpsTexte"/>
            </w:pPr>
            <w:r>
              <w:rPr>
                <w:rFonts w:cs="Arial"/>
              </w:rPr>
              <w:t>A</w:t>
            </w:r>
            <w:r w:rsidRPr="00D83DF1">
              <w:rPr>
                <w:rFonts w:cs="Arial"/>
              </w:rPr>
              <w:t>cidose pyroglutamique chez les patients présentant des facteurs prédisposant à la déplétion du glutathion.</w:t>
            </w:r>
          </w:p>
        </w:tc>
      </w:tr>
      <w:tr w:rsidR="00CC3B08" w:rsidRPr="00492191" w14:paraId="15F1996F" w14:textId="77777777" w:rsidTr="00B250B6">
        <w:tc>
          <w:tcPr>
            <w:tcW w:w="1867" w:type="dxa"/>
          </w:tcPr>
          <w:p w14:paraId="790BCE93" w14:textId="77777777" w:rsidR="00CC3B08" w:rsidRPr="00121AAC" w:rsidRDefault="00CC3B08" w:rsidP="00B250B6">
            <w:pPr>
              <w:pStyle w:val="AmmCorpsTexte"/>
              <w:rPr>
                <w:b/>
                <w:bCs/>
                <w:lang w:val="en-GB" w:eastAsia="en-US" w:bidi="en-US"/>
              </w:rPr>
            </w:pPr>
            <w:r w:rsidRPr="00121AAC">
              <w:rPr>
                <w:rFonts w:eastAsia="Arial"/>
                <w:b/>
                <w:bCs/>
                <w:lang w:val="en-GB" w:eastAsia="en-US"/>
              </w:rPr>
              <w:lastRenderedPageBreak/>
              <w:t>Affections gastro-intestinales</w:t>
            </w:r>
          </w:p>
        </w:tc>
        <w:tc>
          <w:tcPr>
            <w:tcW w:w="1785" w:type="dxa"/>
          </w:tcPr>
          <w:p w14:paraId="51063C2D" w14:textId="77777777" w:rsidR="00E85E17" w:rsidRDefault="00E85E17" w:rsidP="00E85E17">
            <w:pPr>
              <w:pStyle w:val="AmmCorpsTexte"/>
              <w:rPr>
                <w:rFonts w:cs="Arial"/>
                <w:szCs w:val="18"/>
              </w:rPr>
            </w:pPr>
            <w:r>
              <w:rPr>
                <w:rFonts w:eastAsia="Calibri"/>
              </w:rPr>
              <w:t>D</w:t>
            </w:r>
            <w:r w:rsidRPr="00D92525">
              <w:rPr>
                <w:rFonts w:eastAsia="Calibri"/>
              </w:rPr>
              <w:t>iarrhées</w:t>
            </w:r>
            <w:r w:rsidRPr="00330090">
              <w:rPr>
                <w:rFonts w:cs="Arial"/>
                <w:szCs w:val="18"/>
              </w:rPr>
              <w:t>,</w:t>
            </w:r>
          </w:p>
          <w:p w14:paraId="5500CE2B" w14:textId="773F58A5" w:rsidR="00CC3B08" w:rsidRPr="00492191" w:rsidRDefault="00E85E17" w:rsidP="00E85E17">
            <w:pPr>
              <w:pStyle w:val="AmmCorpsTexte"/>
              <w:rPr>
                <w:lang w:val="en-US" w:eastAsia="en-US" w:bidi="en-US"/>
              </w:rPr>
            </w:pPr>
            <w:r>
              <w:rPr>
                <w:rFonts w:cs="Arial"/>
                <w:szCs w:val="18"/>
              </w:rPr>
              <w:t>D</w:t>
            </w:r>
            <w:r w:rsidRPr="00330090">
              <w:rPr>
                <w:rFonts w:cs="Arial"/>
                <w:szCs w:val="18"/>
              </w:rPr>
              <w:t>ouleurs abdominales.</w:t>
            </w:r>
          </w:p>
        </w:tc>
        <w:tc>
          <w:tcPr>
            <w:tcW w:w="2552" w:type="dxa"/>
          </w:tcPr>
          <w:p w14:paraId="1AF22FB3" w14:textId="77777777" w:rsidR="00CC3B08" w:rsidRPr="00492191" w:rsidRDefault="00CC3B08" w:rsidP="00B250B6">
            <w:pPr>
              <w:pStyle w:val="AmmCorpsTexte"/>
              <w:rPr>
                <w:lang w:val="en-US" w:eastAsia="en-US" w:bidi="en-US"/>
              </w:rPr>
            </w:pPr>
          </w:p>
        </w:tc>
        <w:tc>
          <w:tcPr>
            <w:tcW w:w="2976" w:type="dxa"/>
          </w:tcPr>
          <w:p w14:paraId="5DF187BF" w14:textId="5438AB06" w:rsidR="00CC3B08" w:rsidRPr="00492191" w:rsidRDefault="00CC3B08" w:rsidP="00B250B6">
            <w:pPr>
              <w:pStyle w:val="AmmCorpsTexte"/>
              <w:rPr>
                <w:lang w:val="en-US" w:eastAsia="en-US" w:bidi="en-US"/>
              </w:rPr>
            </w:pPr>
          </w:p>
        </w:tc>
      </w:tr>
      <w:tr w:rsidR="00CC3B08" w:rsidRPr="00687323" w14:paraId="2D85ED39" w14:textId="77777777" w:rsidTr="00B250B6">
        <w:tc>
          <w:tcPr>
            <w:tcW w:w="1867" w:type="dxa"/>
          </w:tcPr>
          <w:p w14:paraId="7097F224" w14:textId="77777777" w:rsidR="00CC3B08" w:rsidRPr="00121AAC" w:rsidRDefault="00CC3B08" w:rsidP="00B250B6">
            <w:pPr>
              <w:pStyle w:val="AmmCorpsTexte"/>
              <w:rPr>
                <w:b/>
                <w:bCs/>
                <w:lang w:eastAsia="en-US" w:bidi="en-US"/>
              </w:rPr>
            </w:pPr>
            <w:r w:rsidRPr="00121AAC">
              <w:rPr>
                <w:b/>
                <w:bCs/>
              </w:rPr>
              <w:t>Affections hépatobiliaires</w:t>
            </w:r>
          </w:p>
        </w:tc>
        <w:tc>
          <w:tcPr>
            <w:tcW w:w="1785" w:type="dxa"/>
          </w:tcPr>
          <w:p w14:paraId="10313F79" w14:textId="77777777" w:rsidR="00CC3B08" w:rsidRPr="00492191" w:rsidRDefault="00CC3B08" w:rsidP="00B250B6">
            <w:pPr>
              <w:pStyle w:val="AmmCorpsTexte"/>
              <w:rPr>
                <w:lang w:eastAsia="en-US" w:bidi="en-US"/>
              </w:rPr>
            </w:pPr>
          </w:p>
        </w:tc>
        <w:tc>
          <w:tcPr>
            <w:tcW w:w="2552" w:type="dxa"/>
          </w:tcPr>
          <w:p w14:paraId="4C5CCA1E" w14:textId="77777777" w:rsidR="00CC3B08" w:rsidRPr="00492191" w:rsidRDefault="00CC3B08" w:rsidP="00B250B6">
            <w:pPr>
              <w:pStyle w:val="AmmCorpsTexte"/>
              <w:rPr>
                <w:lang w:eastAsia="en-US" w:bidi="en-US"/>
              </w:rPr>
            </w:pPr>
          </w:p>
        </w:tc>
        <w:tc>
          <w:tcPr>
            <w:tcW w:w="2976" w:type="dxa"/>
          </w:tcPr>
          <w:p w14:paraId="1EC2AD7A" w14:textId="7A6AAD6F" w:rsidR="00CC3B08" w:rsidRPr="00687323" w:rsidRDefault="00B250B6" w:rsidP="00B250B6">
            <w:pPr>
              <w:pStyle w:val="AmmCorpsTexte"/>
              <w:rPr>
                <w:lang w:eastAsia="en-US" w:bidi="en-US"/>
              </w:rPr>
            </w:pPr>
            <w:r>
              <w:t>Augmentation des enzymes hépatiques</w:t>
            </w:r>
          </w:p>
        </w:tc>
      </w:tr>
      <w:tr w:rsidR="00CC3B08" w:rsidRPr="00D55E7E" w14:paraId="391B96CA" w14:textId="77777777" w:rsidTr="00B250B6">
        <w:tc>
          <w:tcPr>
            <w:tcW w:w="1867" w:type="dxa"/>
          </w:tcPr>
          <w:p w14:paraId="05EA7DA0" w14:textId="77777777" w:rsidR="00CC3B08" w:rsidRPr="00121AAC" w:rsidRDefault="00CC3B08" w:rsidP="00B250B6">
            <w:pPr>
              <w:pStyle w:val="AmmCorpsTexte"/>
              <w:rPr>
                <w:b/>
                <w:bCs/>
                <w:lang w:eastAsia="en-US" w:bidi="en-US"/>
              </w:rPr>
            </w:pPr>
            <w:r w:rsidRPr="00121AAC">
              <w:rPr>
                <w:b/>
                <w:bCs/>
              </w:rPr>
              <w:t>Affections de la peau et du tissu sous-cutané</w:t>
            </w:r>
          </w:p>
        </w:tc>
        <w:tc>
          <w:tcPr>
            <w:tcW w:w="1785" w:type="dxa"/>
          </w:tcPr>
          <w:p w14:paraId="0FE21568" w14:textId="77777777" w:rsidR="00CC3B08" w:rsidRDefault="00CC3B08" w:rsidP="00B250B6">
            <w:pPr>
              <w:pStyle w:val="AmmCorpsTexte"/>
              <w:spacing w:after="0"/>
              <w:rPr>
                <w:lang w:val="pt-BR" w:eastAsia="en-US" w:bidi="en-US"/>
              </w:rPr>
            </w:pPr>
            <w:r w:rsidRPr="00D55E7E">
              <w:rPr>
                <w:lang w:val="pt-BR" w:eastAsia="en-US" w:bidi="en-US"/>
              </w:rPr>
              <w:t>Eryth</w:t>
            </w:r>
            <w:r>
              <w:rPr>
                <w:lang w:val="pt-BR" w:eastAsia="en-US" w:bidi="en-US"/>
              </w:rPr>
              <w:t>ème</w:t>
            </w:r>
            <w:r w:rsidRPr="00894924">
              <w:rPr>
                <w:rFonts w:eastAsia="Arial"/>
                <w:vertAlign w:val="superscript"/>
              </w:rPr>
              <w:t>1</w:t>
            </w:r>
            <w:r>
              <w:rPr>
                <w:lang w:val="pt-BR" w:eastAsia="en-US" w:bidi="en-US"/>
              </w:rPr>
              <w:t>,</w:t>
            </w:r>
          </w:p>
          <w:p w14:paraId="6F5BE5AF" w14:textId="77777777" w:rsidR="00CC3B08" w:rsidRPr="002C4D81" w:rsidRDefault="00CC3B08" w:rsidP="00B250B6">
            <w:pPr>
              <w:pStyle w:val="AmmCorpsTexte"/>
              <w:spacing w:after="0"/>
              <w:rPr>
                <w:rFonts w:eastAsia="Arial"/>
              </w:rPr>
            </w:pPr>
            <w:r w:rsidRPr="00D55E7E">
              <w:rPr>
                <w:lang w:val="pt-BR" w:eastAsia="en-US" w:bidi="en-US"/>
              </w:rPr>
              <w:t>Urtica</w:t>
            </w:r>
            <w:r>
              <w:rPr>
                <w:lang w:val="pt-BR" w:eastAsia="en-US" w:bidi="en-US"/>
              </w:rPr>
              <w:t>ire</w:t>
            </w:r>
            <w:r w:rsidRPr="00D81FB4">
              <w:rPr>
                <w:rFonts w:eastAsia="Arial"/>
                <w:vertAlign w:val="superscript"/>
              </w:rPr>
              <w:t>1</w:t>
            </w:r>
            <w:r>
              <w:rPr>
                <w:rFonts w:eastAsia="Arial"/>
              </w:rPr>
              <w:t>,</w:t>
            </w:r>
          </w:p>
          <w:p w14:paraId="33875F8A" w14:textId="77777777" w:rsidR="00CC3B08" w:rsidRPr="00B33CED" w:rsidRDefault="00CC3B08" w:rsidP="00B250B6">
            <w:pPr>
              <w:pStyle w:val="AmmCorpsTexte"/>
              <w:spacing w:after="0"/>
              <w:rPr>
                <w:lang w:val="pt-BR" w:eastAsia="en-US" w:bidi="en-US"/>
              </w:rPr>
            </w:pPr>
            <w:r w:rsidRPr="00D55E7E">
              <w:rPr>
                <w:lang w:val="pt-BR" w:eastAsia="en-US" w:bidi="en-US"/>
              </w:rPr>
              <w:t>Rash</w:t>
            </w:r>
            <w:r>
              <w:rPr>
                <w:lang w:val="pt-BR" w:eastAsia="en-US" w:bidi="en-US"/>
              </w:rPr>
              <w:t xml:space="preserve"> cutané</w:t>
            </w:r>
            <w:r w:rsidRPr="002C4D81">
              <w:rPr>
                <w:rFonts w:eastAsia="Arial"/>
                <w:vertAlign w:val="superscript"/>
              </w:rPr>
              <w:t>1</w:t>
            </w:r>
            <w:r>
              <w:rPr>
                <w:rFonts w:eastAsia="Arial"/>
              </w:rPr>
              <w:t>,</w:t>
            </w:r>
          </w:p>
          <w:p w14:paraId="6B68F970" w14:textId="77777777" w:rsidR="00CC3B08" w:rsidRPr="00D55E7E" w:rsidRDefault="00CC3B08" w:rsidP="00B250B6">
            <w:pPr>
              <w:pStyle w:val="AmmCorpsTexte"/>
              <w:spacing w:after="0"/>
              <w:rPr>
                <w:lang w:val="pt-BR" w:eastAsia="en-US" w:bidi="en-US"/>
              </w:rPr>
            </w:pPr>
            <w:r w:rsidRPr="00D55E7E">
              <w:rPr>
                <w:lang w:val="pt-BR" w:eastAsia="en-US" w:bidi="en-US"/>
              </w:rPr>
              <w:t>Purpura</w:t>
            </w:r>
            <w:r w:rsidRPr="00D55E7E">
              <w:rPr>
                <w:vertAlign w:val="superscript"/>
                <w:lang w:val="pt-BR" w:eastAsia="en-US" w:bidi="en-US"/>
              </w:rPr>
              <w:t>2</w:t>
            </w:r>
          </w:p>
        </w:tc>
        <w:tc>
          <w:tcPr>
            <w:tcW w:w="2552" w:type="dxa"/>
          </w:tcPr>
          <w:p w14:paraId="35362264" w14:textId="77777777" w:rsidR="00CC3B08" w:rsidRPr="00D55E7E" w:rsidRDefault="00CC3B08" w:rsidP="00B250B6">
            <w:pPr>
              <w:pStyle w:val="AmmCorpsTexte"/>
              <w:rPr>
                <w:lang w:val="pt-BR" w:eastAsia="en-US" w:bidi="en-US"/>
              </w:rPr>
            </w:pPr>
            <w:r>
              <w:rPr>
                <w:lang w:val="pt-BR" w:eastAsia="en-US" w:bidi="en-US"/>
              </w:rPr>
              <w:t>Réactions cutanées graves</w:t>
            </w:r>
            <w:r w:rsidRPr="00D55E7E">
              <w:rPr>
                <w:rFonts w:eastAsia="Arial"/>
                <w:vertAlign w:val="superscript"/>
                <w:lang w:val="en-GB"/>
              </w:rPr>
              <w:t>1</w:t>
            </w:r>
          </w:p>
          <w:p w14:paraId="78D234F6" w14:textId="77777777" w:rsidR="00CC3B08" w:rsidRPr="00D55E7E" w:rsidRDefault="00CC3B08" w:rsidP="00B250B6">
            <w:pPr>
              <w:pStyle w:val="AmmCorpsTexte"/>
              <w:rPr>
                <w:lang w:val="pt-BR" w:eastAsia="en-US" w:bidi="en-US"/>
              </w:rPr>
            </w:pPr>
          </w:p>
        </w:tc>
        <w:tc>
          <w:tcPr>
            <w:tcW w:w="2976" w:type="dxa"/>
          </w:tcPr>
          <w:p w14:paraId="3346AB04" w14:textId="77777777" w:rsidR="00CC3B08" w:rsidRPr="00121AAC" w:rsidRDefault="00CC3B08" w:rsidP="00B250B6">
            <w:pPr>
              <w:pStyle w:val="AmmCorpsTexte"/>
              <w:rPr>
                <w:highlight w:val="cyan"/>
                <w:lang w:eastAsia="en-US" w:bidi="en-US"/>
              </w:rPr>
            </w:pPr>
            <w:r>
              <w:rPr>
                <w:lang w:val="pt-BR" w:eastAsia="en-US" w:bidi="en-US"/>
              </w:rPr>
              <w:t>Erythème pigmenté fixe</w:t>
            </w:r>
          </w:p>
        </w:tc>
      </w:tr>
      <w:tr w:rsidR="00CC3B08" w:rsidRPr="00331948" w14:paraId="5BB57B4E" w14:textId="77777777" w:rsidTr="00B250B6">
        <w:tc>
          <w:tcPr>
            <w:tcW w:w="9180" w:type="dxa"/>
            <w:gridSpan w:val="4"/>
          </w:tcPr>
          <w:p w14:paraId="72749128" w14:textId="77777777" w:rsidR="00CC3B08" w:rsidRPr="00331948" w:rsidRDefault="00CC3B08" w:rsidP="00B250B6">
            <w:pPr>
              <w:widowControl w:val="0"/>
              <w:tabs>
                <w:tab w:val="left" w:pos="567"/>
              </w:tabs>
              <w:autoSpaceDE w:val="0"/>
              <w:autoSpaceDN w:val="0"/>
              <w:adjustRightInd w:val="0"/>
              <w:spacing w:line="320" w:lineRule="atLeast"/>
              <w:jc w:val="left"/>
              <w:rPr>
                <w:rFonts w:ascii="Arial" w:eastAsia="Arial" w:hAnsi="Arial" w:cs="Arial"/>
                <w:sz w:val="20"/>
                <w:lang w:val="pt-BR" w:eastAsia="en-US"/>
              </w:rPr>
            </w:pPr>
            <w:r w:rsidRPr="00331948">
              <w:rPr>
                <w:rFonts w:ascii="Arial" w:eastAsia="Arial" w:hAnsi="Arial" w:cs="Arial"/>
                <w:sz w:val="20"/>
                <w:vertAlign w:val="superscript"/>
                <w:lang w:val="pt-BR" w:eastAsia="en-US"/>
              </w:rPr>
              <w:t>1</w:t>
            </w:r>
            <w:r w:rsidRPr="00331948">
              <w:rPr>
                <w:rFonts w:ascii="Arial" w:eastAsia="Arial" w:hAnsi="Arial" w:cs="Arial"/>
                <w:sz w:val="20"/>
                <w:lang w:val="pt-BR" w:eastAsia="en-US"/>
              </w:rPr>
              <w:t>L</w:t>
            </w:r>
            <w:r>
              <w:rPr>
                <w:rFonts w:eastAsia="Arial" w:cs="Arial"/>
                <w:lang w:val="pt-BR" w:eastAsia="en-US"/>
              </w:rPr>
              <w:t>eur</w:t>
            </w:r>
            <w:r w:rsidRPr="00331948">
              <w:rPr>
                <w:rFonts w:ascii="Arial" w:eastAsia="Arial" w:hAnsi="Arial" w:cs="Arial"/>
                <w:sz w:val="20"/>
                <w:lang w:val="pt-BR" w:eastAsia="en-US"/>
              </w:rPr>
              <w:t xml:space="preserve"> survenue impose l’arrêt </w:t>
            </w:r>
            <w:r>
              <w:rPr>
                <w:rFonts w:eastAsia="Arial" w:cs="Arial"/>
                <w:lang w:val="pt-BR" w:eastAsia="en-US"/>
              </w:rPr>
              <w:t xml:space="preserve">immédiat et définitif </w:t>
            </w:r>
            <w:r w:rsidRPr="00331948">
              <w:rPr>
                <w:rFonts w:ascii="Arial" w:eastAsia="Arial" w:hAnsi="Arial" w:cs="Arial"/>
                <w:sz w:val="20"/>
                <w:lang w:val="pt-BR" w:eastAsia="en-US"/>
              </w:rPr>
              <w:t>de ce m</w:t>
            </w:r>
            <w:r>
              <w:rPr>
                <w:rFonts w:ascii="Arial" w:eastAsia="Arial" w:hAnsi="Arial" w:cs="Arial"/>
                <w:sz w:val="20"/>
                <w:lang w:val="pt-BR" w:eastAsia="en-US"/>
              </w:rPr>
              <w:t>é</w:t>
            </w:r>
            <w:r w:rsidRPr="00331948">
              <w:rPr>
                <w:rFonts w:ascii="Arial" w:eastAsia="Arial" w:hAnsi="Arial" w:cs="Arial"/>
                <w:sz w:val="20"/>
                <w:lang w:val="pt-BR" w:eastAsia="en-US"/>
              </w:rPr>
              <w:t>dicament et des m</w:t>
            </w:r>
            <w:r>
              <w:rPr>
                <w:rFonts w:ascii="Arial" w:eastAsia="Arial" w:hAnsi="Arial" w:cs="Arial"/>
                <w:sz w:val="20"/>
                <w:lang w:val="pt-BR" w:eastAsia="en-US"/>
              </w:rPr>
              <w:t>é</w:t>
            </w:r>
            <w:r w:rsidRPr="00331948">
              <w:rPr>
                <w:rFonts w:ascii="Arial" w:eastAsia="Arial" w:hAnsi="Arial" w:cs="Arial"/>
                <w:sz w:val="20"/>
                <w:lang w:val="pt-BR" w:eastAsia="en-US"/>
              </w:rPr>
              <w:t>dicaments apparentés.</w:t>
            </w:r>
          </w:p>
          <w:p w14:paraId="7CF19A32" w14:textId="698C784D" w:rsidR="00CC3B08" w:rsidRPr="00331948" w:rsidRDefault="00CC3B08" w:rsidP="00005352">
            <w:pPr>
              <w:widowControl w:val="0"/>
              <w:tabs>
                <w:tab w:val="left" w:pos="567"/>
              </w:tabs>
              <w:autoSpaceDE w:val="0"/>
              <w:autoSpaceDN w:val="0"/>
              <w:adjustRightInd w:val="0"/>
              <w:spacing w:line="320" w:lineRule="atLeast"/>
              <w:jc w:val="left"/>
              <w:rPr>
                <w:rFonts w:ascii="Arial" w:hAnsi="Arial" w:cs="Arial"/>
                <w:sz w:val="20"/>
                <w:vertAlign w:val="superscript"/>
                <w:lang w:eastAsia="en-US" w:bidi="en-US"/>
              </w:rPr>
            </w:pPr>
            <w:r w:rsidRPr="00331948">
              <w:rPr>
                <w:rFonts w:ascii="Arial" w:hAnsi="Arial" w:cs="Arial"/>
                <w:sz w:val="20"/>
                <w:vertAlign w:val="superscript"/>
                <w:lang w:eastAsia="en-US" w:bidi="en-US"/>
              </w:rPr>
              <w:t>2</w:t>
            </w:r>
            <w:r w:rsidRPr="00331948">
              <w:rPr>
                <w:rFonts w:ascii="Arial" w:eastAsia="Arial" w:hAnsi="Arial" w:cs="Arial"/>
                <w:sz w:val="20"/>
                <w:lang w:eastAsia="en-US"/>
              </w:rPr>
              <w:t>La survenue de ce</w:t>
            </w:r>
            <w:r>
              <w:rPr>
                <w:rFonts w:ascii="Arial" w:eastAsia="Arial" w:hAnsi="Arial" w:cs="Arial"/>
                <w:sz w:val="20"/>
                <w:lang w:eastAsia="en-US"/>
              </w:rPr>
              <w:t>t</w:t>
            </w:r>
            <w:r w:rsidRPr="00331948">
              <w:rPr>
                <w:rFonts w:ascii="Arial" w:eastAsia="Arial" w:hAnsi="Arial" w:cs="Arial"/>
                <w:sz w:val="20"/>
                <w:lang w:eastAsia="en-US"/>
              </w:rPr>
              <w:t xml:space="preserve"> effet impose l’arrêt </w:t>
            </w:r>
            <w:r>
              <w:rPr>
                <w:rFonts w:ascii="Arial" w:eastAsia="Arial" w:hAnsi="Arial" w:cs="Arial"/>
                <w:sz w:val="20"/>
                <w:lang w:eastAsia="en-US"/>
              </w:rPr>
              <w:t xml:space="preserve">immédiat </w:t>
            </w:r>
            <w:r w:rsidRPr="00331948">
              <w:rPr>
                <w:rFonts w:ascii="Arial" w:eastAsia="Arial" w:hAnsi="Arial" w:cs="Arial"/>
                <w:sz w:val="20"/>
                <w:lang w:eastAsia="en-US"/>
              </w:rPr>
              <w:t>de ce m</w:t>
            </w:r>
            <w:r>
              <w:rPr>
                <w:rFonts w:ascii="Arial" w:eastAsia="Arial" w:hAnsi="Arial" w:cs="Arial"/>
                <w:sz w:val="20"/>
                <w:lang w:eastAsia="en-US"/>
              </w:rPr>
              <w:t>é</w:t>
            </w:r>
            <w:r w:rsidRPr="00331948">
              <w:rPr>
                <w:rFonts w:ascii="Arial" w:eastAsia="Arial" w:hAnsi="Arial" w:cs="Arial"/>
                <w:sz w:val="20"/>
                <w:lang w:eastAsia="en-US"/>
              </w:rPr>
              <w:t>dicament</w:t>
            </w:r>
            <w:r>
              <w:rPr>
                <w:rFonts w:ascii="Arial" w:eastAsia="Arial" w:hAnsi="Arial" w:cs="Arial"/>
                <w:sz w:val="20"/>
                <w:lang w:eastAsia="en-US"/>
              </w:rPr>
              <w:t xml:space="preserve">. </w:t>
            </w:r>
            <w:r w:rsidRPr="00331948">
              <w:rPr>
                <w:rFonts w:ascii="Arial" w:eastAsia="Arial" w:hAnsi="Arial" w:cs="Arial"/>
                <w:sz w:val="20"/>
                <w:lang w:eastAsia="en-US"/>
              </w:rPr>
              <w:t xml:space="preserve">Le </w:t>
            </w:r>
            <w:r w:rsidR="00005352">
              <w:rPr>
                <w:rFonts w:ascii="Arial" w:eastAsia="Arial" w:hAnsi="Arial" w:cs="Arial"/>
                <w:sz w:val="20"/>
                <w:lang w:eastAsia="en-US"/>
              </w:rPr>
              <w:t xml:space="preserve">médicament </w:t>
            </w:r>
            <w:r w:rsidRPr="00331948">
              <w:rPr>
                <w:rFonts w:ascii="Arial" w:eastAsia="Arial" w:hAnsi="Arial" w:cs="Arial"/>
                <w:sz w:val="20"/>
                <w:lang w:eastAsia="en-US"/>
              </w:rPr>
              <w:t>pourra être réintroduit uniquement sur avis médical.</w:t>
            </w:r>
          </w:p>
        </w:tc>
      </w:tr>
    </w:tbl>
    <w:p w14:paraId="0F784AC4" w14:textId="77777777" w:rsidR="00AB22D1" w:rsidRPr="00AB22D1" w:rsidRDefault="00AB22D1" w:rsidP="00AB22D1">
      <w:pPr>
        <w:keepNext/>
        <w:keepLines/>
        <w:spacing w:before="120" w:after="120"/>
        <w:rPr>
          <w:rFonts w:ascii="Arial" w:hAnsi="Arial"/>
          <w:b/>
          <w:sz w:val="20"/>
          <w:u w:val="single"/>
        </w:rPr>
      </w:pPr>
      <w:r w:rsidRPr="00AB22D1">
        <w:rPr>
          <w:rFonts w:ascii="Arial" w:hAnsi="Arial"/>
          <w:b/>
          <w:sz w:val="20"/>
          <w:u w:val="single"/>
        </w:rPr>
        <w:t xml:space="preserve">Déclaration des effets indésirables suspectés </w:t>
      </w:r>
    </w:p>
    <w:p w14:paraId="629CC3F7" w14:textId="6A8EBAC0" w:rsidR="0036080B" w:rsidRPr="00DC4A03" w:rsidRDefault="00AB22D1" w:rsidP="00DC4A03">
      <w:pPr>
        <w:spacing w:after="120"/>
        <w:rPr>
          <w:rFonts w:ascii="Arial" w:eastAsia="Calibri" w:hAnsi="Arial"/>
          <w:sz w:val="20"/>
        </w:rPr>
      </w:pPr>
      <w:r w:rsidRPr="00AB22D1">
        <w:rPr>
          <w:rFonts w:ascii="Arial" w:hAnsi="Arial"/>
          <w:sz w:val="20"/>
        </w:rPr>
        <w:t xml:space="preserve">La déclaration des effets indésirables suspectés après enregistrement du médicament est importante. Elle permet une surveillance continue du rapport bénéfice/risque du médicament. Les professionnels de santé déclarent tout effet indésirable suspecté via le système national de déclaration : </w:t>
      </w:r>
      <w:r w:rsidRPr="00AB22D1">
        <w:rPr>
          <w:rFonts w:ascii="Arial" w:eastAsia="Calibri" w:hAnsi="Arial"/>
          <w:noProof/>
          <w:sz w:val="20"/>
          <w:lang w:eastAsia="zh-CN"/>
        </w:rPr>
        <w:t xml:space="preserve">Agence nationale de sécurité du médicament et des produits de santé (ANSM) et réseau des Centres Régionaux de Pharmacovigilance - </w:t>
      </w:r>
      <w:r w:rsidRPr="00AB22D1">
        <w:rPr>
          <w:rFonts w:ascii="Arial" w:eastAsia="Calibri" w:hAnsi="Arial"/>
          <w:sz w:val="20"/>
          <w:lang w:eastAsia="zh-CN"/>
        </w:rPr>
        <w:t xml:space="preserve">Site internet </w:t>
      </w:r>
      <w:r w:rsidRPr="00AB22D1">
        <w:rPr>
          <w:rFonts w:ascii="Arial" w:eastAsia="Calibri" w:hAnsi="Arial"/>
          <w:noProof/>
          <w:sz w:val="20"/>
          <w:lang w:eastAsia="zh-CN"/>
        </w:rPr>
        <w:t>:</w:t>
      </w:r>
      <w:r w:rsidRPr="00AB22D1">
        <w:rPr>
          <w:rFonts w:ascii="Arial" w:eastAsia="Calibri" w:hAnsi="Arial"/>
          <w:noProof/>
          <w:color w:val="FF0000"/>
          <w:sz w:val="20"/>
          <w:lang w:eastAsia="zh-CN"/>
        </w:rPr>
        <w:t xml:space="preserve"> </w:t>
      </w:r>
      <w:bookmarkStart w:id="21" w:name="_Hlk156481893"/>
      <w:r w:rsidR="00CC3B08" w:rsidRPr="00CC3B08">
        <w:rPr>
          <w:rFonts w:ascii="Arial" w:eastAsia="Calibri" w:hAnsi="Arial"/>
          <w:noProof/>
          <w:color w:val="FF0000"/>
          <w:sz w:val="20"/>
          <w:lang w:eastAsia="zh-CN"/>
        </w:rPr>
        <w:fldChar w:fldCharType="begin"/>
      </w:r>
      <w:r w:rsidR="00CC3B08" w:rsidRPr="00CC3B08">
        <w:rPr>
          <w:rFonts w:ascii="Arial" w:eastAsia="Calibri" w:hAnsi="Arial"/>
          <w:noProof/>
          <w:color w:val="FF0000"/>
          <w:sz w:val="20"/>
          <w:lang w:eastAsia="zh-CN"/>
        </w:rPr>
        <w:instrText xml:space="preserve"> HYPERLINK "https://signalement.social-sante.gouv.fr/" </w:instrText>
      </w:r>
      <w:r w:rsidR="00CC3B08" w:rsidRPr="00CC3B08">
        <w:rPr>
          <w:rFonts w:ascii="Arial" w:eastAsia="Calibri" w:hAnsi="Arial"/>
          <w:noProof/>
          <w:color w:val="FF0000"/>
          <w:sz w:val="20"/>
          <w:lang w:eastAsia="zh-CN"/>
        </w:rPr>
        <w:fldChar w:fldCharType="separate"/>
      </w:r>
      <w:r w:rsidR="00CC3B08" w:rsidRPr="00CC3B08">
        <w:rPr>
          <w:rStyle w:val="Lienhypertexte"/>
          <w:rFonts w:ascii="Arial" w:eastAsia="Calibri" w:hAnsi="Arial"/>
          <w:noProof/>
          <w:sz w:val="20"/>
          <w:lang w:eastAsia="zh-CN"/>
        </w:rPr>
        <w:t>https://signalement.social-sante.gouv.fr/</w:t>
      </w:r>
      <w:r w:rsidR="00CC3B08" w:rsidRPr="00CC3B08">
        <w:rPr>
          <w:rFonts w:ascii="Arial" w:eastAsia="Calibri" w:hAnsi="Arial"/>
          <w:noProof/>
          <w:color w:val="FF0000"/>
          <w:sz w:val="20"/>
          <w:lang w:eastAsia="zh-CN"/>
        </w:rPr>
        <w:fldChar w:fldCharType="end"/>
      </w:r>
      <w:r w:rsidR="00CC3B08" w:rsidRPr="00CC3B08">
        <w:rPr>
          <w:rFonts w:ascii="Arial" w:eastAsia="Calibri" w:hAnsi="Arial"/>
          <w:noProof/>
          <w:color w:val="FF0000"/>
          <w:sz w:val="20"/>
          <w:lang w:eastAsia="zh-CN"/>
        </w:rPr>
        <w:t>.</w:t>
      </w:r>
      <w:bookmarkEnd w:id="21"/>
    </w:p>
    <w:p w14:paraId="3316D756" w14:textId="641CF61A" w:rsidR="009E44EF" w:rsidRDefault="009E44EF" w:rsidP="00B62BC3">
      <w:pPr>
        <w:pStyle w:val="AmmAnnexeTitre2"/>
        <w:keepNext w:val="0"/>
        <w:keepLines w:val="0"/>
        <w:tabs>
          <w:tab w:val="clear" w:pos="720"/>
        </w:tabs>
        <w:ind w:left="0" w:firstLine="0"/>
      </w:pPr>
      <w:bookmarkStart w:id="22" w:name="_Toc142278930"/>
      <w:r>
        <w:t>4.9.</w:t>
      </w:r>
      <w:r>
        <w:tab/>
        <w:t>Surdosage</w:t>
      </w:r>
      <w:bookmarkEnd w:id="22"/>
    </w:p>
    <w:p w14:paraId="0E4FDAB5" w14:textId="3B2A16DC" w:rsidR="005050F2" w:rsidRPr="005050F2" w:rsidRDefault="005050F2" w:rsidP="005050F2">
      <w:pPr>
        <w:spacing w:after="120"/>
        <w:rPr>
          <w:rFonts w:ascii="Arial" w:hAnsi="Arial"/>
          <w:sz w:val="20"/>
        </w:rPr>
      </w:pPr>
      <w:r w:rsidRPr="005050F2">
        <w:rPr>
          <w:rFonts w:ascii="Arial" w:hAnsi="Arial"/>
          <w:sz w:val="20"/>
        </w:rPr>
        <w:t>Le risque d'une intoxication grave (surdosage thérapeutique ou intoxication accidentelle) peut être particulièrement élevé chez les sujets âgés, chez les jeunes enfants, chez les patients avec une atteinte hépatique</w:t>
      </w:r>
      <w:r w:rsidR="00B32141">
        <w:rPr>
          <w:rFonts w:ascii="Arial" w:hAnsi="Arial"/>
          <w:sz w:val="20"/>
        </w:rPr>
        <w:t xml:space="preserve"> </w:t>
      </w:r>
      <w:r w:rsidR="00B32141" w:rsidRPr="00B32141">
        <w:rPr>
          <w:rFonts w:ascii="Arial" w:hAnsi="Arial"/>
          <w:sz w:val="20"/>
        </w:rPr>
        <w:t>ou rénale</w:t>
      </w:r>
      <w:r w:rsidRPr="005050F2">
        <w:rPr>
          <w:rFonts w:ascii="Arial" w:hAnsi="Arial"/>
          <w:sz w:val="20"/>
        </w:rPr>
        <w:t>, en cas d'alcoolisme chronique, chez les patients souffrant de malnutrition chronique (voir rubrique 4.2), jeûne, amaigrissement récent, cholémie familiale (syndrome de Gilbert), ainsi que les patients recevant des médicaments inducteurs enzymatiques. Dans ces cas, l'intoxication peut être mortelle.</w:t>
      </w:r>
    </w:p>
    <w:p w14:paraId="28860AC7" w14:textId="77777777" w:rsidR="005050F2" w:rsidRPr="005050F2" w:rsidRDefault="005050F2" w:rsidP="005050F2">
      <w:pPr>
        <w:keepNext/>
        <w:keepLines/>
        <w:spacing w:before="120" w:after="120"/>
        <w:rPr>
          <w:rFonts w:ascii="Arial" w:hAnsi="Arial"/>
          <w:b/>
          <w:sz w:val="20"/>
          <w:u w:val="single"/>
        </w:rPr>
      </w:pPr>
      <w:r w:rsidRPr="005050F2">
        <w:rPr>
          <w:rFonts w:ascii="Arial" w:hAnsi="Arial"/>
          <w:b/>
          <w:sz w:val="20"/>
          <w:u w:val="single"/>
        </w:rPr>
        <w:t>Symptômes</w:t>
      </w:r>
    </w:p>
    <w:p w14:paraId="39583089" w14:textId="77777777" w:rsidR="005050F2" w:rsidRPr="005050F2" w:rsidRDefault="005050F2" w:rsidP="005050F2">
      <w:pPr>
        <w:spacing w:after="120"/>
        <w:rPr>
          <w:rFonts w:ascii="Arial" w:hAnsi="Arial"/>
          <w:sz w:val="20"/>
        </w:rPr>
      </w:pPr>
      <w:r w:rsidRPr="005050F2">
        <w:rPr>
          <w:rFonts w:ascii="Arial" w:hAnsi="Arial"/>
          <w:sz w:val="20"/>
        </w:rPr>
        <w:t>Nausées, vomissements, anorexie, pâleur, malaise, sudation, douleurs abdominales apparaissent généralement dans les 24 premières heures.</w:t>
      </w:r>
    </w:p>
    <w:p w14:paraId="074AD31C" w14:textId="6E7A891B" w:rsidR="005050F2" w:rsidRPr="005050F2" w:rsidRDefault="005050F2" w:rsidP="005050F2">
      <w:pPr>
        <w:spacing w:after="120"/>
        <w:rPr>
          <w:rFonts w:ascii="Arial" w:hAnsi="Arial"/>
          <w:sz w:val="20"/>
        </w:rPr>
      </w:pPr>
      <w:r w:rsidRPr="005050F2">
        <w:rPr>
          <w:rFonts w:ascii="Arial" w:hAnsi="Arial"/>
          <w:sz w:val="20"/>
        </w:rPr>
        <w:t>Un surdosage peut provoquer une cytolyse hépatique susceptible d'entra</w:t>
      </w:r>
      <w:r w:rsidR="00925916">
        <w:rPr>
          <w:rFonts w:ascii="Arial" w:hAnsi="Arial"/>
          <w:sz w:val="20"/>
        </w:rPr>
        <w:t>î</w:t>
      </w:r>
      <w:r w:rsidRPr="005050F2">
        <w:rPr>
          <w:rFonts w:ascii="Arial" w:hAnsi="Arial"/>
          <w:sz w:val="20"/>
        </w:rPr>
        <w:t>ner une insuffisance hépatocellulaire pouvant nécessiter une greffe hépatique, un saignement gastro intestinal, une acidose métabolique, une encéphalopathie pouvant aller jusqu'au coma et à la mort.</w:t>
      </w:r>
    </w:p>
    <w:p w14:paraId="5C919CC1" w14:textId="0313B7E9" w:rsidR="005050F2" w:rsidRPr="005050F2" w:rsidRDefault="005050F2" w:rsidP="005050F2">
      <w:pPr>
        <w:spacing w:after="120"/>
        <w:rPr>
          <w:rFonts w:ascii="Arial" w:hAnsi="Arial"/>
          <w:sz w:val="20"/>
        </w:rPr>
      </w:pPr>
      <w:r w:rsidRPr="005050F2">
        <w:rPr>
          <w:rFonts w:ascii="Arial" w:hAnsi="Arial"/>
          <w:sz w:val="20"/>
        </w:rPr>
        <w:t>Des cas de coagulation intravasculaire disséminée ont été observés dans un contexte de surdosage au paracétamol</w:t>
      </w:r>
      <w:r w:rsidR="00A5385E">
        <w:rPr>
          <w:rFonts w:ascii="Arial" w:hAnsi="Arial"/>
          <w:sz w:val="20"/>
        </w:rPr>
        <w:t>.</w:t>
      </w:r>
    </w:p>
    <w:p w14:paraId="5937922C" w14:textId="77777777" w:rsidR="005050F2" w:rsidRPr="005050F2" w:rsidRDefault="005050F2" w:rsidP="005050F2">
      <w:pPr>
        <w:spacing w:after="120"/>
        <w:rPr>
          <w:rFonts w:ascii="Arial" w:hAnsi="Arial"/>
          <w:sz w:val="20"/>
        </w:rPr>
      </w:pPr>
      <w:r w:rsidRPr="005050F2">
        <w:rPr>
          <w:rFonts w:ascii="Arial" w:hAnsi="Arial"/>
          <w:sz w:val="20"/>
        </w:rPr>
        <w:t xml:space="preserve">Simultanément, on observe une augmentation des transaminases hépatiques, de la lactico-déshydrogénase, de la bilirubine et une diminution du taux de prothrombine pouvant apparaître 12 à 48 heures après l'ingestion. </w:t>
      </w:r>
      <w:r w:rsidRPr="005050F2">
        <w:rPr>
          <w:rFonts w:ascii="Arial" w:hAnsi="Arial" w:cs="Arial"/>
          <w:sz w:val="20"/>
        </w:rPr>
        <w:t>Les symptômes cliniques de l’atteinte hépatique sont généralement observés après 1 à 2 jours, et atteignent un maximum après 3 à 4 jours.</w:t>
      </w:r>
    </w:p>
    <w:p w14:paraId="43EF77B4" w14:textId="6DEABCB4" w:rsidR="005050F2" w:rsidRPr="005050F2" w:rsidRDefault="005050F2" w:rsidP="005050F2">
      <w:pPr>
        <w:keepNext/>
        <w:keepLines/>
        <w:spacing w:before="120" w:after="120"/>
        <w:rPr>
          <w:rFonts w:ascii="Arial" w:hAnsi="Arial"/>
          <w:sz w:val="20"/>
        </w:rPr>
      </w:pPr>
      <w:r w:rsidRPr="005050F2">
        <w:rPr>
          <w:rFonts w:ascii="Arial" w:hAnsi="Arial"/>
          <w:sz w:val="20"/>
        </w:rPr>
        <w:t>Le surdosage peut également entra</w:t>
      </w:r>
      <w:r w:rsidR="001D6EB2">
        <w:rPr>
          <w:rFonts w:ascii="Arial" w:hAnsi="Arial"/>
          <w:sz w:val="20"/>
        </w:rPr>
        <w:t>î</w:t>
      </w:r>
      <w:r w:rsidRPr="005050F2">
        <w:rPr>
          <w:rFonts w:ascii="Arial" w:hAnsi="Arial"/>
          <w:sz w:val="20"/>
        </w:rPr>
        <w:t>ner une pancréatite</w:t>
      </w:r>
      <w:r w:rsidR="001D6EB2">
        <w:rPr>
          <w:rFonts w:ascii="Arial" w:hAnsi="Arial"/>
          <w:sz w:val="20"/>
        </w:rPr>
        <w:t xml:space="preserve"> aiguë</w:t>
      </w:r>
      <w:r w:rsidRPr="005050F2">
        <w:rPr>
          <w:rFonts w:ascii="Arial" w:hAnsi="Arial"/>
          <w:sz w:val="20"/>
        </w:rPr>
        <w:t>, une hyperamylasémie, une insuffisance rénale aiguë et une pancytopénie.</w:t>
      </w:r>
    </w:p>
    <w:p w14:paraId="54D00670" w14:textId="77777777" w:rsidR="005050F2" w:rsidRPr="005050F2" w:rsidRDefault="005050F2" w:rsidP="005050F2">
      <w:pPr>
        <w:keepNext/>
        <w:keepLines/>
        <w:spacing w:before="120" w:after="120"/>
        <w:rPr>
          <w:rFonts w:ascii="Arial" w:hAnsi="Arial"/>
          <w:b/>
          <w:sz w:val="20"/>
          <w:u w:val="single"/>
        </w:rPr>
      </w:pPr>
      <w:r w:rsidRPr="005050F2">
        <w:rPr>
          <w:rFonts w:ascii="Arial" w:hAnsi="Arial"/>
          <w:b/>
          <w:sz w:val="20"/>
          <w:u w:val="single"/>
        </w:rPr>
        <w:t>Conduite d'urgence</w:t>
      </w:r>
    </w:p>
    <w:p w14:paraId="4B93CC8E" w14:textId="77777777" w:rsidR="005050F2" w:rsidRPr="005050F2" w:rsidRDefault="005050F2" w:rsidP="005050F2">
      <w:pPr>
        <w:numPr>
          <w:ilvl w:val="0"/>
          <w:numId w:val="13"/>
        </w:numPr>
        <w:rPr>
          <w:rFonts w:ascii="Arial" w:hAnsi="Arial"/>
          <w:sz w:val="20"/>
        </w:rPr>
      </w:pPr>
      <w:r w:rsidRPr="005050F2">
        <w:rPr>
          <w:rFonts w:ascii="Arial" w:hAnsi="Arial"/>
          <w:sz w:val="20"/>
        </w:rPr>
        <w:t>Arrêt du traitement.</w:t>
      </w:r>
    </w:p>
    <w:p w14:paraId="001B4393" w14:textId="77777777" w:rsidR="005050F2" w:rsidRPr="005050F2" w:rsidRDefault="005050F2" w:rsidP="005050F2">
      <w:pPr>
        <w:numPr>
          <w:ilvl w:val="0"/>
          <w:numId w:val="13"/>
        </w:numPr>
        <w:rPr>
          <w:rFonts w:ascii="Arial" w:hAnsi="Arial"/>
          <w:sz w:val="20"/>
        </w:rPr>
      </w:pPr>
      <w:r w:rsidRPr="005050F2">
        <w:rPr>
          <w:rFonts w:ascii="Arial" w:hAnsi="Arial"/>
          <w:sz w:val="20"/>
        </w:rPr>
        <w:t>Transfert immédiat en milieu hospitalier, pour des soins médicaux d’urgence, malgré l’absence de symptômes précoces significatifs.</w:t>
      </w:r>
    </w:p>
    <w:p w14:paraId="30FC05AB" w14:textId="77777777" w:rsidR="005050F2" w:rsidRPr="005050F2" w:rsidRDefault="005050F2" w:rsidP="005050F2">
      <w:pPr>
        <w:numPr>
          <w:ilvl w:val="0"/>
          <w:numId w:val="13"/>
        </w:numPr>
        <w:rPr>
          <w:rFonts w:ascii="Arial" w:hAnsi="Arial"/>
          <w:sz w:val="20"/>
        </w:rPr>
      </w:pPr>
      <w:r w:rsidRPr="005050F2">
        <w:rPr>
          <w:rFonts w:ascii="Arial" w:hAnsi="Arial"/>
          <w:sz w:val="20"/>
        </w:rPr>
        <w:t>Evacuation rapide du produit ingéré, par aspiration et lavage gastrique de préférence dans les 4 heures qui suivent l’ingestion.</w:t>
      </w:r>
    </w:p>
    <w:p w14:paraId="4F722B7E" w14:textId="77777777" w:rsidR="005050F2" w:rsidRPr="005050F2" w:rsidRDefault="005050F2" w:rsidP="005050F2">
      <w:pPr>
        <w:numPr>
          <w:ilvl w:val="0"/>
          <w:numId w:val="13"/>
        </w:numPr>
        <w:rPr>
          <w:rFonts w:ascii="Arial" w:hAnsi="Arial"/>
          <w:sz w:val="20"/>
        </w:rPr>
      </w:pPr>
      <w:r w:rsidRPr="005050F2">
        <w:rPr>
          <w:rFonts w:ascii="Arial" w:hAnsi="Arial"/>
          <w:sz w:val="20"/>
        </w:rPr>
        <w:t>Prélèvement sanguin pour faire le dosage plasmatique initial de paracétamol. La concentration plasmatique du paracétamol doit être mesurée au minimum 4 heures après l’ingestion (un dosage réalisé plus tôt n’est pas fiable)</w:t>
      </w:r>
    </w:p>
    <w:p w14:paraId="69FB55BD" w14:textId="77777777" w:rsidR="005050F2" w:rsidRPr="005050F2" w:rsidRDefault="005050F2" w:rsidP="005050F2">
      <w:pPr>
        <w:numPr>
          <w:ilvl w:val="0"/>
          <w:numId w:val="13"/>
        </w:numPr>
        <w:rPr>
          <w:rFonts w:ascii="Arial" w:hAnsi="Arial"/>
          <w:sz w:val="20"/>
        </w:rPr>
      </w:pPr>
      <w:r w:rsidRPr="005050F2">
        <w:rPr>
          <w:rFonts w:ascii="Arial" w:hAnsi="Arial"/>
          <w:sz w:val="20"/>
        </w:rPr>
        <w:t xml:space="preserve">Le traitement du surdosage comprend classiquement l'administration aussi précoce que possible de l'antidote N-acétylcystéine par voie I.V. ou voie orale si possible </w:t>
      </w:r>
      <w:r w:rsidRPr="005050F2">
        <w:rPr>
          <w:rFonts w:ascii="Arial" w:hAnsi="Arial"/>
          <w:sz w:val="20"/>
          <w:u w:val="single"/>
        </w:rPr>
        <w:t>avant</w:t>
      </w:r>
      <w:r w:rsidRPr="005050F2">
        <w:rPr>
          <w:rFonts w:ascii="Arial" w:hAnsi="Arial"/>
          <w:sz w:val="20"/>
        </w:rPr>
        <w:t xml:space="preserve"> la dixième heure. Bien que moins efficace, un effet protecteur de l’antidote peut être obtenu jusqu’à 48 heures post-ingestion. Dans ce cas l’antidote doit être administré plus longtemps.</w:t>
      </w:r>
    </w:p>
    <w:p w14:paraId="6A15331C" w14:textId="77777777" w:rsidR="005050F2" w:rsidRPr="005050F2" w:rsidRDefault="005050F2" w:rsidP="005050F2">
      <w:pPr>
        <w:numPr>
          <w:ilvl w:val="0"/>
          <w:numId w:val="13"/>
        </w:numPr>
        <w:rPr>
          <w:rFonts w:ascii="Arial" w:hAnsi="Arial"/>
          <w:sz w:val="20"/>
        </w:rPr>
      </w:pPr>
      <w:r w:rsidRPr="005050F2">
        <w:rPr>
          <w:rFonts w:ascii="Arial" w:hAnsi="Arial"/>
          <w:sz w:val="20"/>
        </w:rPr>
        <w:t>Traitement symptomatique.</w:t>
      </w:r>
    </w:p>
    <w:p w14:paraId="4A56B840" w14:textId="77777777" w:rsidR="005050F2" w:rsidRPr="005050F2" w:rsidRDefault="005050F2" w:rsidP="005050F2">
      <w:pPr>
        <w:numPr>
          <w:ilvl w:val="0"/>
          <w:numId w:val="13"/>
        </w:numPr>
        <w:rPr>
          <w:rFonts w:ascii="Arial" w:hAnsi="Arial"/>
          <w:sz w:val="20"/>
        </w:rPr>
      </w:pPr>
      <w:r w:rsidRPr="005050F2">
        <w:rPr>
          <w:rFonts w:ascii="Arial" w:hAnsi="Arial"/>
          <w:sz w:val="20"/>
        </w:rPr>
        <w:lastRenderedPageBreak/>
        <w:t>Des tests hépatiques doivent être effectués au début du traitement et répétés toutes les 24 heures. Dans la plupart des cas, les transaminases hépatiques reviennent à la normale en 1 à 2 semaines avec une restitution intégrale de la fonction hépatique. Cependant, dans les cas très graves, une transplantation hépatique peut être nécessaire.</w:t>
      </w:r>
    </w:p>
    <w:p w14:paraId="7BE74B7C" w14:textId="77777777" w:rsidR="009E44EF" w:rsidRPr="009D4369" w:rsidRDefault="005050F2" w:rsidP="00E6215C">
      <w:pPr>
        <w:numPr>
          <w:ilvl w:val="0"/>
          <w:numId w:val="13"/>
        </w:numPr>
        <w:rPr>
          <w:rFonts w:ascii="Arial" w:hAnsi="Arial"/>
          <w:sz w:val="20"/>
        </w:rPr>
      </w:pPr>
      <w:r w:rsidRPr="005050F2">
        <w:rPr>
          <w:rFonts w:ascii="Arial" w:hAnsi="Arial"/>
          <w:sz w:val="20"/>
        </w:rPr>
        <w:t>La prise d’autres mesures dépendra de la gravité, de la nature et de l’évolution des symptômes cliniques de l’intoxication au paracétamol et devra suivre les protocoles standards de soins intensifs.</w:t>
      </w:r>
    </w:p>
    <w:p w14:paraId="7347C4E3" w14:textId="77777777" w:rsidR="009E44EF" w:rsidRDefault="009E44EF">
      <w:pPr>
        <w:pStyle w:val="AmmAnnexeTitre1"/>
        <w:rPr>
          <w:caps w:val="0"/>
        </w:rPr>
      </w:pPr>
      <w:bookmarkStart w:id="23" w:name="_Toc142278931"/>
      <w:r>
        <w:rPr>
          <w:caps w:val="0"/>
        </w:rPr>
        <w:t>5.</w:t>
      </w:r>
      <w:r>
        <w:rPr>
          <w:caps w:val="0"/>
        </w:rPr>
        <w:tab/>
        <w:t>PROPRIETES PHARMACOLOGIQUES</w:t>
      </w:r>
      <w:bookmarkEnd w:id="23"/>
    </w:p>
    <w:p w14:paraId="23592796" w14:textId="77777777" w:rsidR="009E44EF" w:rsidRDefault="009E44EF" w:rsidP="00B62BC3">
      <w:pPr>
        <w:pStyle w:val="AmmAnnexeTitre2"/>
        <w:keepNext w:val="0"/>
        <w:keepLines w:val="0"/>
        <w:tabs>
          <w:tab w:val="clear" w:pos="720"/>
        </w:tabs>
        <w:ind w:left="0" w:firstLine="0"/>
      </w:pPr>
      <w:bookmarkStart w:id="24" w:name="_Toc142278932"/>
      <w:r>
        <w:t>5.1.</w:t>
      </w:r>
      <w:r>
        <w:tab/>
        <w:t>Propriétés pharmacodynamiques</w:t>
      </w:r>
      <w:bookmarkEnd w:id="24"/>
    </w:p>
    <w:p w14:paraId="2E50675B" w14:textId="77777777" w:rsidR="009D4369" w:rsidRPr="009D4369" w:rsidRDefault="009D4369" w:rsidP="009D4369">
      <w:pPr>
        <w:spacing w:after="120"/>
        <w:rPr>
          <w:rFonts w:ascii="Arial" w:hAnsi="Arial" w:cs="Arial"/>
          <w:b/>
          <w:bCs/>
          <w:sz w:val="20"/>
        </w:rPr>
      </w:pPr>
      <w:bookmarkStart w:id="25" w:name="_Toc142278933"/>
      <w:r w:rsidRPr="009D4369">
        <w:rPr>
          <w:rFonts w:ascii="Arial" w:hAnsi="Arial" w:cs="Arial"/>
          <w:b/>
          <w:sz w:val="20"/>
        </w:rPr>
        <w:t xml:space="preserve">Classe pharmacothérapeutique : </w:t>
      </w:r>
      <w:r w:rsidRPr="009D4369">
        <w:rPr>
          <w:rFonts w:ascii="Arial" w:hAnsi="Arial" w:cs="Arial"/>
          <w:b/>
          <w:bCs/>
          <w:sz w:val="20"/>
        </w:rPr>
        <w:t>AUTRES ANALGESIQUES et ANTIPYRETIQUES-ANILIDES.</w:t>
      </w:r>
    </w:p>
    <w:p w14:paraId="5D99DAEF" w14:textId="77777777" w:rsidR="009D4369" w:rsidRPr="009D4369" w:rsidRDefault="009D4369" w:rsidP="009D4369">
      <w:pPr>
        <w:spacing w:after="120"/>
        <w:rPr>
          <w:rFonts w:ascii="Arial" w:hAnsi="Arial" w:cs="Arial"/>
          <w:sz w:val="20"/>
        </w:rPr>
      </w:pPr>
      <w:r w:rsidRPr="009D4369">
        <w:rPr>
          <w:rFonts w:ascii="Arial" w:hAnsi="Arial" w:cs="Arial"/>
          <w:sz w:val="20"/>
        </w:rPr>
        <w:t xml:space="preserve">Code ATC : </w:t>
      </w:r>
      <w:r w:rsidRPr="009D4369">
        <w:rPr>
          <w:rFonts w:ascii="Arial" w:hAnsi="Arial" w:cs="Arial"/>
          <w:b/>
          <w:bCs/>
          <w:sz w:val="20"/>
        </w:rPr>
        <w:t>N02BE01</w:t>
      </w:r>
      <w:r w:rsidRPr="009D4369">
        <w:rPr>
          <w:rFonts w:ascii="Arial" w:hAnsi="Arial" w:cs="Arial"/>
          <w:sz w:val="20"/>
        </w:rPr>
        <w:t>.</w:t>
      </w:r>
    </w:p>
    <w:p w14:paraId="7270EA99" w14:textId="77777777" w:rsidR="0049046C" w:rsidRPr="009D4369" w:rsidRDefault="009D4369" w:rsidP="009D4369">
      <w:pPr>
        <w:spacing w:after="120"/>
        <w:rPr>
          <w:rFonts w:ascii="Arial" w:hAnsi="Arial" w:cs="Arial"/>
          <w:sz w:val="20"/>
        </w:rPr>
      </w:pPr>
      <w:r w:rsidRPr="009D4369">
        <w:rPr>
          <w:rFonts w:ascii="Arial" w:hAnsi="Arial" w:cs="Arial"/>
          <w:sz w:val="20"/>
        </w:rPr>
        <w:t>Le paracétamol a un mécanisme d'action central et périphérique.</w:t>
      </w:r>
    </w:p>
    <w:p w14:paraId="70E4DF5F" w14:textId="77777777" w:rsidR="009E44EF" w:rsidRPr="00B62BC3" w:rsidRDefault="009E44EF" w:rsidP="00B62BC3">
      <w:pPr>
        <w:pStyle w:val="AmmAnnexeTitre2"/>
        <w:keepNext w:val="0"/>
        <w:keepLines w:val="0"/>
        <w:ind w:left="0" w:firstLine="0"/>
      </w:pPr>
      <w:r w:rsidRPr="00B62BC3">
        <w:t>5.2.</w:t>
      </w:r>
      <w:r w:rsidRPr="00B62BC3">
        <w:tab/>
        <w:t>Propriétés pharmacocinétiques</w:t>
      </w:r>
      <w:bookmarkEnd w:id="25"/>
    </w:p>
    <w:p w14:paraId="175A4004" w14:textId="77777777" w:rsidR="009D4369" w:rsidRPr="009D4369" w:rsidRDefault="009D4369" w:rsidP="009D4369">
      <w:pPr>
        <w:keepNext/>
        <w:keepLines/>
        <w:spacing w:before="120" w:after="120"/>
        <w:rPr>
          <w:rFonts w:ascii="Arial" w:hAnsi="Arial"/>
          <w:b/>
          <w:sz w:val="20"/>
          <w:u w:val="single"/>
        </w:rPr>
      </w:pPr>
      <w:bookmarkStart w:id="26" w:name="_Toc142278934"/>
      <w:r w:rsidRPr="009D4369">
        <w:rPr>
          <w:rFonts w:ascii="Arial" w:hAnsi="Arial"/>
          <w:b/>
          <w:sz w:val="20"/>
          <w:u w:val="single"/>
        </w:rPr>
        <w:t>Absorption</w:t>
      </w:r>
    </w:p>
    <w:p w14:paraId="7C56A0B5" w14:textId="77777777" w:rsidR="009D4369" w:rsidRPr="009D4369" w:rsidRDefault="009D4369" w:rsidP="009D4369">
      <w:pPr>
        <w:spacing w:after="120"/>
        <w:rPr>
          <w:rFonts w:ascii="Arial" w:hAnsi="Arial"/>
          <w:sz w:val="20"/>
        </w:rPr>
      </w:pPr>
      <w:r w:rsidRPr="009D4369">
        <w:rPr>
          <w:rFonts w:ascii="Arial" w:hAnsi="Arial"/>
          <w:sz w:val="20"/>
        </w:rPr>
        <w:t>L'absorption du paracétamol par voie orale est complète et rapide. Les concentrations plasmatiques maximales sont atteintes 30 à 60 minutes après ingestion.</w:t>
      </w:r>
    </w:p>
    <w:p w14:paraId="226035FE" w14:textId="77777777" w:rsidR="009D4369" w:rsidRPr="009D4369" w:rsidRDefault="009D4369" w:rsidP="009D4369">
      <w:pPr>
        <w:keepNext/>
        <w:keepLines/>
        <w:spacing w:before="120" w:after="120"/>
        <w:rPr>
          <w:rFonts w:ascii="Arial" w:hAnsi="Arial"/>
          <w:b/>
          <w:sz w:val="20"/>
          <w:u w:val="single"/>
        </w:rPr>
      </w:pPr>
      <w:r w:rsidRPr="009D4369">
        <w:rPr>
          <w:rFonts w:ascii="Arial" w:hAnsi="Arial"/>
          <w:b/>
          <w:sz w:val="20"/>
          <w:u w:val="single"/>
        </w:rPr>
        <w:t>Distribution</w:t>
      </w:r>
    </w:p>
    <w:p w14:paraId="60041D06" w14:textId="77777777" w:rsidR="009D4369" w:rsidRPr="009D4369" w:rsidRDefault="009D4369" w:rsidP="009D4369">
      <w:pPr>
        <w:spacing w:after="120"/>
        <w:rPr>
          <w:rFonts w:ascii="Arial" w:hAnsi="Arial"/>
          <w:sz w:val="20"/>
        </w:rPr>
      </w:pPr>
      <w:r w:rsidRPr="009D4369">
        <w:rPr>
          <w:rFonts w:ascii="Arial" w:hAnsi="Arial"/>
          <w:sz w:val="20"/>
        </w:rPr>
        <w:t>Le paracétamol se distribue rapidement dans tous les tissus. Les concentrations sont comparables dans le sang, la salive et le plasma. La liaison aux protéines plasmatiques est faible.</w:t>
      </w:r>
    </w:p>
    <w:p w14:paraId="18DA6186" w14:textId="77777777" w:rsidR="009D4369" w:rsidRPr="009D4369" w:rsidRDefault="009D4369" w:rsidP="009D4369">
      <w:pPr>
        <w:keepNext/>
        <w:keepLines/>
        <w:spacing w:before="120" w:after="120"/>
        <w:rPr>
          <w:rFonts w:ascii="Arial" w:hAnsi="Arial"/>
          <w:b/>
          <w:sz w:val="20"/>
          <w:u w:val="single"/>
        </w:rPr>
      </w:pPr>
      <w:r w:rsidRPr="009D4369">
        <w:rPr>
          <w:rFonts w:ascii="Arial" w:hAnsi="Arial"/>
          <w:b/>
          <w:sz w:val="20"/>
          <w:u w:val="single"/>
        </w:rPr>
        <w:t>Biotransformation</w:t>
      </w:r>
    </w:p>
    <w:p w14:paraId="0CDC0C34" w14:textId="77777777" w:rsidR="009D4369" w:rsidRPr="009D4369" w:rsidRDefault="009D4369" w:rsidP="009D4369">
      <w:pPr>
        <w:spacing w:after="120"/>
        <w:rPr>
          <w:rFonts w:ascii="Arial" w:hAnsi="Arial"/>
          <w:sz w:val="20"/>
        </w:rPr>
      </w:pPr>
      <w:r w:rsidRPr="009D4369">
        <w:rPr>
          <w:rFonts w:ascii="Arial" w:hAnsi="Arial"/>
          <w:sz w:val="20"/>
        </w:rPr>
        <w:t>Le paracétamol est métabolisé essentiellement au niveau du foie. Les 2 voies métaboliques majeures sont la glycuroconjugaison et la sulfoconjugaison. Cette dernière voie est rapidement saturable aux posologies supérieures aux doses thérapeutiques. Une voie mineure, catalysée par le cytochrome P 450, est la formation d'un intermédiaire réactif (le N-acétyl benzoquinone imine), qui dans les conditions normales d'utilisation, est rapidement détoxifié par le glutathion réduit et éliminé dans les urines après conjugaison à la cystéine et à l'acide mercaptopurique. En revanche, lors d'intoxications massives, la quantité de ce métabolite toxique est augmentée.</w:t>
      </w:r>
    </w:p>
    <w:p w14:paraId="70CCD50B" w14:textId="77777777" w:rsidR="009D4369" w:rsidRPr="009D4369" w:rsidRDefault="009D4369" w:rsidP="009D4369">
      <w:pPr>
        <w:keepNext/>
        <w:keepLines/>
        <w:spacing w:before="120" w:after="120"/>
        <w:rPr>
          <w:rFonts w:ascii="Arial" w:hAnsi="Arial"/>
          <w:b/>
          <w:sz w:val="20"/>
          <w:u w:val="single"/>
        </w:rPr>
      </w:pPr>
      <w:r w:rsidRPr="009D4369">
        <w:rPr>
          <w:rFonts w:ascii="Arial" w:hAnsi="Arial"/>
          <w:b/>
          <w:sz w:val="20"/>
          <w:u w:val="single"/>
        </w:rPr>
        <w:t>Elimination</w:t>
      </w:r>
    </w:p>
    <w:p w14:paraId="7D160300" w14:textId="77777777" w:rsidR="009D4369" w:rsidRPr="009D4369" w:rsidRDefault="009D4369" w:rsidP="009D4369">
      <w:pPr>
        <w:spacing w:after="120"/>
        <w:rPr>
          <w:rFonts w:ascii="Arial" w:hAnsi="Arial"/>
          <w:sz w:val="20"/>
        </w:rPr>
      </w:pPr>
      <w:r w:rsidRPr="009D4369">
        <w:rPr>
          <w:rFonts w:ascii="Arial" w:hAnsi="Arial"/>
          <w:sz w:val="20"/>
        </w:rPr>
        <w:t>L'élimination est essentiellement urinaire. 90% de la dose ingérée est éliminée par le rein en 24 heures, principalement sous forme glycuroconjuguée (60 à 80 %) et sulfoconjuguée (20 à 30 %).</w:t>
      </w:r>
    </w:p>
    <w:p w14:paraId="507E0884" w14:textId="77777777" w:rsidR="009D4369" w:rsidRPr="009D4369" w:rsidRDefault="009D4369" w:rsidP="009D4369">
      <w:pPr>
        <w:spacing w:after="120"/>
        <w:rPr>
          <w:rFonts w:ascii="Arial" w:hAnsi="Arial"/>
          <w:sz w:val="20"/>
        </w:rPr>
      </w:pPr>
      <w:r w:rsidRPr="009D4369">
        <w:rPr>
          <w:rFonts w:ascii="Arial" w:hAnsi="Arial"/>
          <w:sz w:val="20"/>
        </w:rPr>
        <w:t>Moins de 5 % est éliminé sous forme inchangée.</w:t>
      </w:r>
    </w:p>
    <w:p w14:paraId="0E1990FD" w14:textId="77777777" w:rsidR="009D4369" w:rsidRPr="009D4369" w:rsidRDefault="009D4369" w:rsidP="009D4369">
      <w:pPr>
        <w:spacing w:after="120"/>
        <w:rPr>
          <w:rFonts w:ascii="Arial" w:hAnsi="Arial"/>
          <w:sz w:val="20"/>
        </w:rPr>
      </w:pPr>
      <w:r w:rsidRPr="009D4369">
        <w:rPr>
          <w:rFonts w:ascii="Arial" w:hAnsi="Arial"/>
          <w:sz w:val="20"/>
        </w:rPr>
        <w:t>La demi-vie d'élimination est d'environ 2 heures.</w:t>
      </w:r>
    </w:p>
    <w:p w14:paraId="05DBF602" w14:textId="77777777" w:rsidR="009D4369" w:rsidRPr="009D4369" w:rsidRDefault="009D4369" w:rsidP="009D4369">
      <w:pPr>
        <w:keepNext/>
        <w:keepLines/>
        <w:spacing w:before="120" w:after="120"/>
        <w:rPr>
          <w:rFonts w:ascii="Arial" w:hAnsi="Arial"/>
          <w:b/>
          <w:sz w:val="20"/>
          <w:u w:val="single"/>
        </w:rPr>
      </w:pPr>
      <w:r w:rsidRPr="009D4369">
        <w:rPr>
          <w:rFonts w:ascii="Arial" w:hAnsi="Arial"/>
          <w:b/>
          <w:sz w:val="20"/>
          <w:u w:val="single"/>
        </w:rPr>
        <w:t>Variations physiopathologiques</w:t>
      </w:r>
    </w:p>
    <w:p w14:paraId="627951C3" w14:textId="15A6F9B9" w:rsidR="009D4369" w:rsidRPr="009D4369" w:rsidRDefault="009D4369" w:rsidP="009D4369">
      <w:pPr>
        <w:rPr>
          <w:rFonts w:ascii="Arial" w:hAnsi="Arial"/>
          <w:sz w:val="20"/>
        </w:rPr>
      </w:pPr>
      <w:r w:rsidRPr="009D4369">
        <w:rPr>
          <w:rFonts w:ascii="Arial" w:hAnsi="Arial"/>
          <w:b/>
          <w:sz w:val="20"/>
        </w:rPr>
        <w:t xml:space="preserve">Insuffisance rénale </w:t>
      </w:r>
      <w:r w:rsidRPr="009D4369">
        <w:rPr>
          <w:rFonts w:ascii="Arial" w:hAnsi="Arial"/>
          <w:sz w:val="20"/>
        </w:rPr>
        <w:t>(voir rubrique 4.2)</w:t>
      </w:r>
      <w:r w:rsidR="00CC3B08">
        <w:rPr>
          <w:rFonts w:ascii="Arial" w:hAnsi="Arial"/>
          <w:sz w:val="20"/>
        </w:rPr>
        <w:t> :</w:t>
      </w:r>
      <w:r w:rsidRPr="009D4369">
        <w:rPr>
          <w:rFonts w:ascii="Arial" w:hAnsi="Arial"/>
          <w:sz w:val="20"/>
        </w:rPr>
        <w:t xml:space="preserve"> l'élimination du paracétamol et de ses métabolites est retardée.</w:t>
      </w:r>
    </w:p>
    <w:p w14:paraId="4F5EB230" w14:textId="1D05F367" w:rsidR="00F3672E" w:rsidRPr="00F3672E" w:rsidRDefault="009D4369" w:rsidP="00F3672E">
      <w:pPr>
        <w:spacing w:before="120" w:after="120"/>
        <w:rPr>
          <w:rFonts w:ascii="Arial" w:hAnsi="Arial"/>
          <w:sz w:val="20"/>
        </w:rPr>
      </w:pPr>
      <w:bookmarkStart w:id="27" w:name="_Hlk76720629"/>
      <w:r w:rsidRPr="00B018FD">
        <w:rPr>
          <w:rFonts w:ascii="Arial" w:hAnsi="Arial"/>
          <w:b/>
          <w:bCs/>
          <w:sz w:val="20"/>
        </w:rPr>
        <w:t>Insuffisance hépatique :</w:t>
      </w:r>
      <w:bookmarkEnd w:id="27"/>
      <w:r w:rsidR="00E85E17">
        <w:rPr>
          <w:rFonts w:ascii="Arial" w:hAnsi="Arial"/>
          <w:b/>
          <w:bCs/>
          <w:sz w:val="20"/>
        </w:rPr>
        <w:t xml:space="preserve"> </w:t>
      </w:r>
      <w:r w:rsidR="00F3672E" w:rsidRPr="00F3672E">
        <w:rPr>
          <w:rFonts w:ascii="Arial" w:hAnsi="Arial"/>
          <w:sz w:val="20"/>
        </w:rPr>
        <w:t>le métabolisme du paracétamol est altéré chez les patients présentant une insuffisance hépatique chronique, comme le montrent l’augmentation des concentrations plasmatiques de paracétamol et une demi-vie d’élimination plus longue (voir rubrique 4.2).</w:t>
      </w:r>
    </w:p>
    <w:p w14:paraId="0CCF3DDB" w14:textId="0BEE6481" w:rsidR="00E6215C" w:rsidRPr="009D4369" w:rsidRDefault="009D4369" w:rsidP="009D4369">
      <w:pPr>
        <w:spacing w:before="120" w:after="120"/>
        <w:rPr>
          <w:rFonts w:ascii="Arial" w:hAnsi="Arial"/>
          <w:sz w:val="20"/>
        </w:rPr>
      </w:pPr>
      <w:r w:rsidRPr="009D4369">
        <w:rPr>
          <w:rFonts w:ascii="Arial" w:hAnsi="Arial"/>
          <w:b/>
          <w:sz w:val="20"/>
        </w:rPr>
        <w:t>Sujet âgé :</w:t>
      </w:r>
      <w:r w:rsidRPr="009D4369">
        <w:rPr>
          <w:rFonts w:ascii="Arial" w:hAnsi="Arial"/>
          <w:sz w:val="20"/>
        </w:rPr>
        <w:t xml:space="preserve"> la capacité de conjugaison n'est pas modifiée (voir rubrique 4.2).</w:t>
      </w:r>
    </w:p>
    <w:p w14:paraId="0584B0F6" w14:textId="77777777" w:rsidR="009E44EF" w:rsidRDefault="009E44EF">
      <w:pPr>
        <w:pStyle w:val="AmmAnnexeTitre2"/>
        <w:keepNext w:val="0"/>
        <w:keepLines w:val="0"/>
        <w:ind w:left="0" w:firstLine="0"/>
      </w:pPr>
      <w:r>
        <w:t>5.3.</w:t>
      </w:r>
      <w:r>
        <w:tab/>
        <w:t>Données de sécurité préclinique</w:t>
      </w:r>
      <w:bookmarkEnd w:id="26"/>
    </w:p>
    <w:p w14:paraId="4E857BE6" w14:textId="77777777" w:rsidR="009D4369" w:rsidRPr="009D4369" w:rsidRDefault="009D4369" w:rsidP="009D4369">
      <w:pPr>
        <w:spacing w:before="120" w:after="120"/>
        <w:rPr>
          <w:rFonts w:ascii="Arial" w:hAnsi="Arial"/>
          <w:sz w:val="20"/>
        </w:rPr>
      </w:pPr>
      <w:bookmarkStart w:id="28" w:name="_Toc142278935"/>
      <w:r w:rsidRPr="009D4369">
        <w:rPr>
          <w:rFonts w:ascii="Arial" w:hAnsi="Arial"/>
          <w:sz w:val="20"/>
        </w:rPr>
        <w:t>Aucune étude conventionnelle s’appuyant sur les normes actuellement admises pour évaluer la toxicité pour la reproduction et le développement n’est disponible.</w:t>
      </w:r>
    </w:p>
    <w:p w14:paraId="71EEF8AC" w14:textId="77777777" w:rsidR="009E44EF" w:rsidRDefault="009E44EF">
      <w:pPr>
        <w:pStyle w:val="AmmAnnexeTitre1"/>
        <w:rPr>
          <w:caps w:val="0"/>
        </w:rPr>
      </w:pPr>
      <w:r>
        <w:rPr>
          <w:caps w:val="0"/>
        </w:rPr>
        <w:t>6.</w:t>
      </w:r>
      <w:r>
        <w:rPr>
          <w:caps w:val="0"/>
        </w:rPr>
        <w:tab/>
        <w:t>DONNEES PHARMACEUTIQUES</w:t>
      </w:r>
      <w:bookmarkEnd w:id="28"/>
    </w:p>
    <w:p w14:paraId="77C6E1AE" w14:textId="77777777" w:rsidR="009E44EF" w:rsidRDefault="009E44EF">
      <w:pPr>
        <w:pStyle w:val="AmmAnnexeTitre2"/>
        <w:keepNext w:val="0"/>
        <w:keepLines w:val="0"/>
        <w:tabs>
          <w:tab w:val="clear" w:pos="720"/>
        </w:tabs>
        <w:ind w:left="0" w:firstLine="0"/>
      </w:pPr>
      <w:bookmarkStart w:id="29" w:name="_Toc142278936"/>
      <w:r>
        <w:t>6.1.</w:t>
      </w:r>
      <w:r>
        <w:tab/>
        <w:t>Liste des excipient</w:t>
      </w:r>
      <w:bookmarkEnd w:id="29"/>
      <w:r>
        <w:t>s</w:t>
      </w:r>
    </w:p>
    <w:p w14:paraId="23CCD283" w14:textId="77777777" w:rsidR="009E44EF" w:rsidRDefault="009E44EF">
      <w:pPr>
        <w:pStyle w:val="AmmAnnexeTitre2"/>
        <w:keepNext w:val="0"/>
        <w:keepLines w:val="0"/>
        <w:tabs>
          <w:tab w:val="clear" w:pos="720"/>
        </w:tabs>
        <w:ind w:left="0" w:firstLine="0"/>
      </w:pPr>
      <w:bookmarkStart w:id="30" w:name="_Toc142278937"/>
      <w:r>
        <w:t>6.2.</w:t>
      </w:r>
      <w:r>
        <w:tab/>
        <w:t>Incompatibilités</w:t>
      </w:r>
      <w:bookmarkEnd w:id="30"/>
    </w:p>
    <w:p w14:paraId="03B4C0A3" w14:textId="77777777" w:rsidR="009E44EF" w:rsidRDefault="009E44EF">
      <w:pPr>
        <w:pStyle w:val="AmmAnnexeTitre2"/>
        <w:keepNext w:val="0"/>
        <w:keepLines w:val="0"/>
      </w:pPr>
      <w:bookmarkStart w:id="31" w:name="_Toc142278938"/>
      <w:r>
        <w:t>6.3.</w:t>
      </w:r>
      <w:r>
        <w:tab/>
        <w:t>Durée de conservation</w:t>
      </w:r>
      <w:bookmarkEnd w:id="31"/>
    </w:p>
    <w:p w14:paraId="484EE6E9" w14:textId="77777777" w:rsidR="009E44EF" w:rsidRDefault="009E44EF">
      <w:pPr>
        <w:pStyle w:val="AmmAnnexeTitre2"/>
        <w:keepNext w:val="0"/>
        <w:keepLines w:val="0"/>
      </w:pPr>
      <w:bookmarkStart w:id="32" w:name="_Toc142278939"/>
      <w:r>
        <w:lastRenderedPageBreak/>
        <w:t>6.4.</w:t>
      </w:r>
      <w:r>
        <w:tab/>
        <w:t>Précautions particulières de conservation</w:t>
      </w:r>
      <w:bookmarkEnd w:id="32"/>
    </w:p>
    <w:p w14:paraId="15FD4D3E" w14:textId="77777777" w:rsidR="009E44EF" w:rsidRDefault="009E44EF">
      <w:pPr>
        <w:pStyle w:val="AmmAnnexeTitre2"/>
        <w:keepNext w:val="0"/>
        <w:keepLines w:val="0"/>
      </w:pPr>
      <w:bookmarkStart w:id="33" w:name="_Toc142278940"/>
      <w:r>
        <w:t>6.5.</w:t>
      </w:r>
      <w:r>
        <w:tab/>
        <w:t>Nature et contenu de l'emballage extérieur</w:t>
      </w:r>
      <w:bookmarkEnd w:id="33"/>
      <w:r w:rsidR="00710B9B">
        <w:t xml:space="preserve"> </w:t>
      </w:r>
    </w:p>
    <w:p w14:paraId="3188F9C6" w14:textId="77777777" w:rsidR="00710B9B" w:rsidRPr="00707325" w:rsidRDefault="00710B9B" w:rsidP="00707325">
      <w:pPr>
        <w:pStyle w:val="AmmAnnexeTitre2"/>
      </w:pPr>
      <w:bookmarkStart w:id="34" w:name="_Toc142278941"/>
      <w:bookmarkStart w:id="35" w:name="_Toc142278942"/>
      <w:r w:rsidRPr="00707325">
        <w:t>6.6.</w:t>
      </w:r>
      <w:r w:rsidRPr="00707325">
        <w:tab/>
        <w:t>Précautions particulières d’élimination et de manipulation</w:t>
      </w:r>
      <w:bookmarkEnd w:id="34"/>
    </w:p>
    <w:p w14:paraId="6EE2E7E2" w14:textId="77777777" w:rsidR="009E44EF" w:rsidRDefault="009E44EF">
      <w:pPr>
        <w:pStyle w:val="AmmAnnexeTitre1"/>
        <w:rPr>
          <w:caps w:val="0"/>
        </w:rPr>
      </w:pPr>
      <w:r>
        <w:rPr>
          <w:caps w:val="0"/>
        </w:rPr>
        <w:t>7.</w:t>
      </w:r>
      <w:r>
        <w:rPr>
          <w:caps w:val="0"/>
        </w:rPr>
        <w:tab/>
        <w:t>TITULAIRE DE L’AUTORISATION DE MISE SUR LE MARCHE</w:t>
      </w:r>
      <w:bookmarkEnd w:id="35"/>
    </w:p>
    <w:p w14:paraId="11E6C9D5" w14:textId="77777777" w:rsidR="009E44EF" w:rsidRDefault="009E44EF">
      <w:pPr>
        <w:pStyle w:val="AmmAnnexeTitre1"/>
        <w:rPr>
          <w:caps w:val="0"/>
        </w:rPr>
      </w:pPr>
      <w:bookmarkStart w:id="36" w:name="_Toc142278943"/>
      <w:r>
        <w:rPr>
          <w:caps w:val="0"/>
        </w:rPr>
        <w:t>8.</w:t>
      </w:r>
      <w:r>
        <w:rPr>
          <w:caps w:val="0"/>
        </w:rPr>
        <w:tab/>
        <w:t>NUMERO(S) D’AUTORISATION DE MISE SUR LE MARCHE</w:t>
      </w:r>
      <w:bookmarkEnd w:id="36"/>
    </w:p>
    <w:p w14:paraId="5DD9A640" w14:textId="77777777" w:rsidR="009E44EF" w:rsidRPr="007821DC" w:rsidRDefault="009E44EF" w:rsidP="007821DC">
      <w:pPr>
        <w:pStyle w:val="AmmAnnexeTitre1"/>
      </w:pPr>
      <w:bookmarkStart w:id="37" w:name="_Toc142278944"/>
      <w:r w:rsidRPr="007821DC">
        <w:t>9.</w:t>
      </w:r>
      <w:r w:rsidRPr="007821DC">
        <w:tab/>
        <w:t>DATE DE PREMIERE AUTORISATION/DE RENOUVELLEMENT DE L’AUTORISATION</w:t>
      </w:r>
      <w:bookmarkEnd w:id="37"/>
    </w:p>
    <w:p w14:paraId="01CBD619" w14:textId="77777777" w:rsidR="009E44EF" w:rsidRDefault="009E44EF">
      <w:pPr>
        <w:pStyle w:val="AmmAnnexeTitre1"/>
      </w:pPr>
      <w:bookmarkStart w:id="38" w:name="_Toc142278945"/>
      <w:r>
        <w:t>10.</w:t>
      </w:r>
      <w:r>
        <w:tab/>
        <w:t>DATE DE MISE A JOUR DU TEXTE</w:t>
      </w:r>
      <w:bookmarkEnd w:id="38"/>
    </w:p>
    <w:p w14:paraId="03E11F54" w14:textId="77777777" w:rsidR="009E44EF" w:rsidRDefault="009E44EF">
      <w:pPr>
        <w:pStyle w:val="AmmAnnexeTitre1"/>
        <w:ind w:left="0" w:firstLine="0"/>
        <w:rPr>
          <w:caps w:val="0"/>
        </w:rPr>
      </w:pPr>
      <w:bookmarkStart w:id="39" w:name="_Toc142278946"/>
      <w:r>
        <w:rPr>
          <w:caps w:val="0"/>
        </w:rPr>
        <w:t>11.</w:t>
      </w:r>
      <w:r>
        <w:rPr>
          <w:caps w:val="0"/>
        </w:rPr>
        <w:tab/>
        <w:t>DOSIMETRIE</w:t>
      </w:r>
      <w:bookmarkEnd w:id="39"/>
    </w:p>
    <w:p w14:paraId="6E7B8D5E" w14:textId="77777777" w:rsidR="009E44EF" w:rsidRDefault="009E44EF">
      <w:pPr>
        <w:pStyle w:val="AmmAnnexeTitre1"/>
        <w:ind w:left="0" w:firstLine="0"/>
        <w:rPr>
          <w:caps w:val="0"/>
        </w:rPr>
      </w:pPr>
      <w:bookmarkStart w:id="40" w:name="_Toc142278947"/>
      <w:r>
        <w:rPr>
          <w:caps w:val="0"/>
        </w:rPr>
        <w:t>12.</w:t>
      </w:r>
      <w:r>
        <w:rPr>
          <w:caps w:val="0"/>
        </w:rPr>
        <w:tab/>
        <w:t>INSTRUCTIONS POUR LA PREPARATION DES RADIOPHARMACEUTIQUES</w:t>
      </w:r>
      <w:bookmarkEnd w:id="40"/>
    </w:p>
    <w:p w14:paraId="14EB344C" w14:textId="77777777" w:rsidR="009E44EF" w:rsidRDefault="009E44EF">
      <w:pPr>
        <w:pStyle w:val="AmmAnnexeTitre"/>
        <w:pBdr>
          <w:top w:val="single" w:sz="4" w:space="1" w:color="auto"/>
        </w:pBdr>
        <w:rPr>
          <w:caps w:val="0"/>
        </w:rPr>
      </w:pPr>
      <w:bookmarkStart w:id="41" w:name="_Toc142278948"/>
      <w:r>
        <w:rPr>
          <w:caps w:val="0"/>
        </w:rPr>
        <w:t>CONDITIONS DE PRESCRIPTION ET DE DELIVRANCE</w:t>
      </w:r>
      <w:bookmarkEnd w:id="41"/>
    </w:p>
    <w:p w14:paraId="1E41F432" w14:textId="77777777" w:rsidR="000549E0" w:rsidRDefault="00BB70DF" w:rsidP="000549E0">
      <w:pPr>
        <w:pStyle w:val="AmmCorpsTexte"/>
      </w:pPr>
      <w:r w:rsidRPr="00E179E8">
        <w:t xml:space="preserve">Médicament non </w:t>
      </w:r>
      <w:r w:rsidR="000549E0">
        <w:t>soumis à prescription médicale.</w:t>
      </w:r>
    </w:p>
    <w:p w14:paraId="6341D88F" w14:textId="77777777" w:rsidR="009E44EF" w:rsidRDefault="009E44EF" w:rsidP="0062107E">
      <w:pPr>
        <w:pStyle w:val="AmmAnnexeTitre"/>
      </w:pPr>
      <w:r w:rsidRPr="000549E0">
        <w:br w:type="page"/>
      </w:r>
      <w:bookmarkStart w:id="42" w:name="_Toc142278949"/>
      <w:r>
        <w:lastRenderedPageBreak/>
        <w:t>ANNEXE II</w:t>
      </w:r>
      <w:bookmarkEnd w:id="42"/>
    </w:p>
    <w:p w14:paraId="3839627C" w14:textId="77777777" w:rsidR="0062107E" w:rsidRPr="0062107E" w:rsidRDefault="0062107E" w:rsidP="0062107E">
      <w:pPr>
        <w:pStyle w:val="AmmCorpsTexte"/>
      </w:pPr>
    </w:p>
    <w:p w14:paraId="701DE134" w14:textId="77777777" w:rsidR="009E44EF" w:rsidRPr="00EF742F" w:rsidRDefault="009E44EF">
      <w:pPr>
        <w:pStyle w:val="AmmAnnexeTitre1"/>
        <w:rPr>
          <w:caps w:val="0"/>
          <w:color w:val="2F5496"/>
        </w:rPr>
      </w:pPr>
      <w:bookmarkStart w:id="43" w:name="_Toc142278950"/>
      <w:r w:rsidRPr="00B960B8">
        <w:rPr>
          <w:caps w:val="0"/>
          <w:color w:val="2F5496"/>
        </w:rPr>
        <w:t>A.</w:t>
      </w:r>
      <w:r w:rsidRPr="00B960B8">
        <w:rPr>
          <w:caps w:val="0"/>
          <w:color w:val="2F5496"/>
        </w:rPr>
        <w:tab/>
        <w:t>FABRICANT(S) DE LA (DES) SUBSTANCE(S) ACTIVE(S) D’ORIGINE BIOLOGIQUE</w:t>
      </w:r>
      <w:r w:rsidR="00CB272D" w:rsidRPr="00B960B8">
        <w:rPr>
          <w:caps w:val="0"/>
          <w:color w:val="2F5496"/>
        </w:rPr>
        <w:t xml:space="preserve"> ET</w:t>
      </w:r>
      <w:r w:rsidR="002E1DFA" w:rsidRPr="00B960B8">
        <w:rPr>
          <w:caps w:val="0"/>
          <w:color w:val="2F5496"/>
        </w:rPr>
        <w:t xml:space="preserve"> FABRICANT(S) </w:t>
      </w:r>
      <w:r w:rsidRPr="00B960B8">
        <w:rPr>
          <w:caps w:val="0"/>
          <w:color w:val="2F5496"/>
        </w:rPr>
        <w:t>RESPONSABLE</w:t>
      </w:r>
      <w:r w:rsidR="002E1DFA" w:rsidRPr="00B960B8">
        <w:rPr>
          <w:caps w:val="0"/>
          <w:color w:val="2F5496"/>
        </w:rPr>
        <w:t>(S)</w:t>
      </w:r>
      <w:r w:rsidRPr="00B960B8">
        <w:rPr>
          <w:caps w:val="0"/>
          <w:color w:val="2F5496"/>
        </w:rPr>
        <w:t xml:space="preserve"> DE LA LIBERATION DES LOTS</w:t>
      </w:r>
      <w:bookmarkEnd w:id="43"/>
    </w:p>
    <w:p w14:paraId="45558060" w14:textId="77777777" w:rsidR="009E44EF" w:rsidRDefault="009E44EF">
      <w:pPr>
        <w:pStyle w:val="AmmAnnexeTitre2"/>
        <w:rPr>
          <w:noProof/>
        </w:rPr>
      </w:pPr>
      <w:bookmarkStart w:id="44" w:name="_Toc142278951"/>
      <w:r>
        <w:rPr>
          <w:noProof/>
        </w:rPr>
        <w:t>A.1.</w:t>
      </w:r>
      <w:r>
        <w:rPr>
          <w:noProof/>
        </w:rPr>
        <w:tab/>
        <w:t>Nom et adresse du (des) fabricant(s) d</w:t>
      </w:r>
      <w:r w:rsidR="006A126B">
        <w:rPr>
          <w:noProof/>
        </w:rPr>
        <w:t>e la</w:t>
      </w:r>
      <w:r>
        <w:rPr>
          <w:noProof/>
        </w:rPr>
        <w:t xml:space="preserve"> (des) substances(s) active(s) d'origine biologique</w:t>
      </w:r>
      <w:bookmarkEnd w:id="44"/>
    </w:p>
    <w:p w14:paraId="7C2ABFB5" w14:textId="77777777" w:rsidR="003A41AF" w:rsidRDefault="003A41AF" w:rsidP="00DA7F38">
      <w:pPr>
        <w:pStyle w:val="AmmCorpsTexte"/>
        <w:spacing w:after="0"/>
      </w:pPr>
      <w:bookmarkStart w:id="45" w:name="_Toc142278952"/>
      <w:r w:rsidRPr="00B960B8">
        <w:t xml:space="preserve">Sans </w:t>
      </w:r>
      <w:r w:rsidR="000549E0">
        <w:t>objet.</w:t>
      </w:r>
    </w:p>
    <w:p w14:paraId="0F0984FC" w14:textId="77777777" w:rsidR="009E44EF" w:rsidRDefault="009E44EF">
      <w:pPr>
        <w:pStyle w:val="AmmAnnexeTitre2"/>
        <w:rPr>
          <w:noProof/>
        </w:rPr>
      </w:pPr>
      <w:r>
        <w:rPr>
          <w:noProof/>
        </w:rPr>
        <w:t>A.2.</w:t>
      </w:r>
      <w:r>
        <w:rPr>
          <w:noProof/>
        </w:rPr>
        <w:tab/>
        <w:t>Nom et adresse du (des) fabricant(s) responsable(s) de la libération des lots</w:t>
      </w:r>
      <w:bookmarkEnd w:id="45"/>
    </w:p>
    <w:p w14:paraId="7B3F5F55" w14:textId="77777777" w:rsidR="009E44EF" w:rsidRPr="00EF742F" w:rsidRDefault="009E44EF">
      <w:pPr>
        <w:pStyle w:val="AmmAnnexeTitre1"/>
        <w:rPr>
          <w:caps w:val="0"/>
          <w:color w:val="2F5496"/>
          <w:szCs w:val="22"/>
        </w:rPr>
      </w:pPr>
      <w:bookmarkStart w:id="46" w:name="_Toc142278953"/>
      <w:r w:rsidRPr="00EF742F">
        <w:rPr>
          <w:color w:val="2F5496"/>
        </w:rPr>
        <w:t>B.</w:t>
      </w:r>
      <w:r w:rsidRPr="00EF742F">
        <w:rPr>
          <w:color w:val="2F5496"/>
        </w:rPr>
        <w:tab/>
      </w:r>
      <w:r w:rsidRPr="00EF742F">
        <w:rPr>
          <w:caps w:val="0"/>
          <w:color w:val="2F5496"/>
          <w:szCs w:val="22"/>
        </w:rPr>
        <w:t xml:space="preserve">CONDITIONS </w:t>
      </w:r>
      <w:bookmarkEnd w:id="46"/>
      <w:r w:rsidR="00297D8C" w:rsidRPr="00EF742F">
        <w:rPr>
          <w:caps w:val="0"/>
          <w:color w:val="2F5496"/>
          <w:szCs w:val="22"/>
        </w:rPr>
        <w:t>OU RESTRICTIONS DE DELIVRANCE ET D’UTILISATION</w:t>
      </w:r>
    </w:p>
    <w:p w14:paraId="49392B07" w14:textId="77777777" w:rsidR="00E6215C" w:rsidRPr="00A76DCF" w:rsidRDefault="000549E0" w:rsidP="000549E0">
      <w:pPr>
        <w:pStyle w:val="AmmCorpsTexte"/>
      </w:pPr>
      <w:bookmarkStart w:id="47" w:name="_Toc142278955"/>
      <w:r w:rsidRPr="00E179E8">
        <w:t>Médicament non soumis à prescription m</w:t>
      </w:r>
      <w:r>
        <w:t>édicale.</w:t>
      </w:r>
    </w:p>
    <w:p w14:paraId="31347BCB" w14:textId="77777777" w:rsidR="009E44EF" w:rsidRPr="00EF742F" w:rsidRDefault="009E44EF">
      <w:pPr>
        <w:pStyle w:val="AmmAnnexeTitre1"/>
        <w:rPr>
          <w:caps w:val="0"/>
          <w:color w:val="2F5496"/>
        </w:rPr>
      </w:pPr>
      <w:bookmarkStart w:id="48" w:name="_Toc142278957"/>
      <w:bookmarkEnd w:id="47"/>
      <w:r w:rsidRPr="00EF742F">
        <w:rPr>
          <w:caps w:val="0"/>
          <w:color w:val="2F5496"/>
        </w:rPr>
        <w:t>C.</w:t>
      </w:r>
      <w:r w:rsidRPr="00EF742F">
        <w:rPr>
          <w:caps w:val="0"/>
          <w:color w:val="2F5496"/>
        </w:rPr>
        <w:tab/>
      </w:r>
      <w:r w:rsidR="005E500A" w:rsidRPr="00EF742F">
        <w:rPr>
          <w:caps w:val="0"/>
          <w:color w:val="2F5496"/>
        </w:rPr>
        <w:t>AUTRES CONDITIONS ET OBLIGATIONS DE</w:t>
      </w:r>
      <w:r w:rsidRPr="00EF742F">
        <w:rPr>
          <w:caps w:val="0"/>
          <w:color w:val="2F5496"/>
        </w:rPr>
        <w:t xml:space="preserve"> L’AUTORISATION DE MISE SUR LE MARCHE</w:t>
      </w:r>
      <w:bookmarkEnd w:id="48"/>
    </w:p>
    <w:p w14:paraId="457DE2D4" w14:textId="77777777" w:rsidR="000549E0" w:rsidRPr="000549E0" w:rsidRDefault="000549E0" w:rsidP="000549E0">
      <w:pPr>
        <w:numPr>
          <w:ilvl w:val="0"/>
          <w:numId w:val="17"/>
        </w:numPr>
        <w:jc w:val="left"/>
        <w:rPr>
          <w:rFonts w:ascii="Arial" w:hAnsi="Arial"/>
          <w:b/>
          <w:sz w:val="20"/>
          <w:lang w:val="fr-BE"/>
        </w:rPr>
      </w:pPr>
      <w:bookmarkStart w:id="49" w:name="_Toc142278958"/>
      <w:r w:rsidRPr="000549E0">
        <w:rPr>
          <w:rFonts w:ascii="Arial" w:hAnsi="Arial"/>
          <w:b/>
          <w:sz w:val="20"/>
          <w:lang w:val="fr-BE"/>
        </w:rPr>
        <w:t>Rapports périodiques actualisés de sécurité (PSUR)</w:t>
      </w:r>
    </w:p>
    <w:p w14:paraId="0973AED1" w14:textId="77777777" w:rsidR="005E500A" w:rsidRPr="000549E0" w:rsidRDefault="000549E0" w:rsidP="000549E0">
      <w:pPr>
        <w:spacing w:after="120"/>
        <w:rPr>
          <w:rFonts w:ascii="Arial" w:hAnsi="Arial"/>
          <w:sz w:val="20"/>
          <w:lang w:val="fr-BE"/>
        </w:rPr>
      </w:pPr>
      <w:r w:rsidRPr="000549E0">
        <w:rPr>
          <w:rFonts w:ascii="Arial" w:hAnsi="Arial"/>
          <w:sz w:val="20"/>
          <w:lang w:val="fr-BE"/>
        </w:rPr>
        <w:t>Les exigences relatives à la soumission des rapports périodiques actualisés de sécurité pour ce médicament sont définies dans la liste des dates de référence pour l’Union (liste EURD) prévue à l’article 107 quater, paragraphe 7, de la directive 2001/83/CE et ses actualisations publiées sur le portail web européen des médicaments.</w:t>
      </w:r>
    </w:p>
    <w:p w14:paraId="36064C90" w14:textId="77777777" w:rsidR="00CF0602" w:rsidRDefault="00CF0602" w:rsidP="00CF0602">
      <w:pPr>
        <w:pStyle w:val="AmmAnnexeTitre1"/>
        <w:rPr>
          <w:caps w:val="0"/>
          <w:color w:val="2F5496"/>
        </w:rPr>
      </w:pPr>
      <w:r w:rsidRPr="00EF742F">
        <w:rPr>
          <w:caps w:val="0"/>
          <w:color w:val="2F5496"/>
        </w:rPr>
        <w:t>D.</w:t>
      </w:r>
      <w:r w:rsidRPr="00EF742F">
        <w:rPr>
          <w:caps w:val="0"/>
          <w:color w:val="2F5496"/>
        </w:rPr>
        <w:tab/>
        <w:t>CONDITIONS OU RESTRICTIONS EN VUE D’UNE UTILISATION SURE ET EFFICACE DU MEDICAMENT</w:t>
      </w:r>
    </w:p>
    <w:p w14:paraId="75AE7B3A" w14:textId="77777777" w:rsidR="00E85E17" w:rsidRPr="00F351BA" w:rsidRDefault="00E85E17" w:rsidP="00E85E17">
      <w:pPr>
        <w:pStyle w:val="AmmCorpsTexte"/>
        <w:rPr>
          <w:color w:val="538135"/>
        </w:rPr>
      </w:pPr>
      <w:r w:rsidRPr="00F351BA">
        <w:rPr>
          <w:color w:val="538135"/>
        </w:rPr>
        <w:t>[Pour les nouvelles AMM ou les modifications et/ou renouvellement d’AMM avec ajout et/ou modification du PGR]</w:t>
      </w:r>
    </w:p>
    <w:p w14:paraId="41BA6285" w14:textId="77777777" w:rsidR="00E85E17" w:rsidRDefault="00E85E17" w:rsidP="00E85E17">
      <w:pPr>
        <w:pStyle w:val="AmmListePuces1"/>
        <w:rPr>
          <w:b/>
        </w:rPr>
      </w:pPr>
      <w:r w:rsidRPr="00597648">
        <w:rPr>
          <w:b/>
        </w:rPr>
        <w:t>Plan de gestion des risques (PGR)</w:t>
      </w:r>
    </w:p>
    <w:p w14:paraId="26626B4C" w14:textId="77777777" w:rsidR="00E85E17" w:rsidRPr="00CF0602" w:rsidRDefault="00E85E17" w:rsidP="00E85E17">
      <w:pPr>
        <w:pStyle w:val="AmmCorpsTexte"/>
        <w:rPr>
          <w:lang w:val="fr-BE"/>
        </w:rPr>
      </w:pPr>
      <w:r w:rsidRPr="00CF0602">
        <w:t xml:space="preserve">Le titulaire de l’autorisation de mise sur le marché réalise les activités </w:t>
      </w:r>
      <w:r>
        <w:t xml:space="preserve">de pharmacovigilance </w:t>
      </w:r>
      <w:r w:rsidRPr="00CF0602">
        <w:t xml:space="preserve">et interventions requises décrites dans le PGR adopté et présenté dans le Module 1.8.2 de l’autorisation de mise sur le marché, ainsi que toutes actualisations ultérieures adoptées du PGR. </w:t>
      </w:r>
    </w:p>
    <w:p w14:paraId="28BB1A6D" w14:textId="77777777" w:rsidR="00E85E17" w:rsidRPr="007440E7" w:rsidRDefault="00E85E17" w:rsidP="00E85E17">
      <w:pPr>
        <w:pStyle w:val="AmmCorpsTexte"/>
      </w:pPr>
      <w:r w:rsidRPr="007440E7">
        <w:t>De plus, un PGR actualisé doit être soumis :</w:t>
      </w:r>
    </w:p>
    <w:p w14:paraId="2CF19CF1" w14:textId="77777777" w:rsidR="00E85E17" w:rsidRPr="00CF0602" w:rsidRDefault="00E85E17" w:rsidP="00E85E17">
      <w:pPr>
        <w:pStyle w:val="AmmListePuces1"/>
      </w:pPr>
      <w:r w:rsidRPr="00CF0602">
        <w:t>à la demande des autorités compétentes ;</w:t>
      </w:r>
    </w:p>
    <w:p w14:paraId="4C1E9F1E" w14:textId="77777777" w:rsidR="00E85E17" w:rsidRDefault="00E85E17" w:rsidP="00E85E17">
      <w:pPr>
        <w:pStyle w:val="AmmListePuces1"/>
      </w:pPr>
      <w:r w:rsidRPr="00CF0602">
        <w:t xml:space="preserve">dès lors que le système de gestion des risques est modifié, notamment en cas de réception de nouvelles informations pouvant entraîner un changement significatif du profil bénéfice/risque, ou lorsqu’une étape importante (pharmacovigilance ou </w:t>
      </w:r>
      <w:r>
        <w:t>réduction du risque) est franchie.</w:t>
      </w:r>
    </w:p>
    <w:p w14:paraId="4DCB2C5F" w14:textId="77777777" w:rsidR="00E85E17" w:rsidRPr="00CF0602" w:rsidRDefault="00E85E17" w:rsidP="00E85E17">
      <w:pPr>
        <w:pStyle w:val="AmmCorpsTexte"/>
        <w:spacing w:before="120"/>
      </w:pPr>
      <w:r>
        <w:t xml:space="preserve">Un PGR actualisé sera soumis &lt;{calendrier adopté}&gt; </w:t>
      </w:r>
    </w:p>
    <w:p w14:paraId="067216A0" w14:textId="77777777" w:rsidR="00E85E17" w:rsidRPr="00F351BA" w:rsidRDefault="00E85E17" w:rsidP="00E85E17">
      <w:pPr>
        <w:pStyle w:val="AmmCorpsTexte"/>
        <w:keepNext/>
        <w:spacing w:before="120"/>
        <w:rPr>
          <w:color w:val="538135"/>
        </w:rPr>
      </w:pPr>
      <w:r w:rsidRPr="00F351BA">
        <w:rPr>
          <w:color w:val="538135"/>
        </w:rPr>
        <w:t>[Pour les AMM antérieures au 21/07/12 et sans PGR]</w:t>
      </w:r>
    </w:p>
    <w:p w14:paraId="61DAB0FE" w14:textId="77777777" w:rsidR="00E85E17" w:rsidRDefault="00E85E17" w:rsidP="00E85E17">
      <w:pPr>
        <w:pStyle w:val="AmmCorpsTexte"/>
      </w:pPr>
      <w:r w:rsidRPr="00CF0602">
        <w:t>&lt;Sans objet&gt;</w:t>
      </w:r>
    </w:p>
    <w:p w14:paraId="1DC4FB4F" w14:textId="77777777" w:rsidR="00E85E17" w:rsidRDefault="00E85E17" w:rsidP="00E85E17">
      <w:pPr>
        <w:pStyle w:val="AmmListePuces1"/>
        <w:rPr>
          <w:b/>
        </w:rPr>
      </w:pPr>
      <w:r w:rsidRPr="00597648">
        <w:rPr>
          <w:b/>
        </w:rPr>
        <w:t xml:space="preserve">&lt;Mesures additionnelles de </w:t>
      </w:r>
      <w:r>
        <w:rPr>
          <w:b/>
        </w:rPr>
        <w:t>réduction</w:t>
      </w:r>
      <w:r w:rsidRPr="00597648">
        <w:rPr>
          <w:b/>
        </w:rPr>
        <w:t xml:space="preserve"> du risque&gt;</w:t>
      </w:r>
    </w:p>
    <w:p w14:paraId="28E9C2EB" w14:textId="77777777" w:rsidR="00E85E17" w:rsidRDefault="00E85E17" w:rsidP="00E85E17">
      <w:pPr>
        <w:pStyle w:val="AmmListePuces1"/>
        <w:rPr>
          <w:b/>
        </w:rPr>
      </w:pPr>
      <w:r w:rsidRPr="00597648">
        <w:rPr>
          <w:b/>
        </w:rPr>
        <w:t>&lt;Obligation de mise en place de mesures post-autorisation&gt;</w:t>
      </w:r>
    </w:p>
    <w:p w14:paraId="2AE77435" w14:textId="77777777" w:rsidR="00E85E17" w:rsidRPr="00CF0602" w:rsidRDefault="00E85E17" w:rsidP="00E85E17">
      <w:pPr>
        <w:pStyle w:val="AmmCorpsTexte"/>
        <w:spacing w:before="120"/>
        <w:rPr>
          <w:lang w:val="fr-BE"/>
        </w:rPr>
      </w:pPr>
      <w:r w:rsidRPr="00CF0602">
        <w:rPr>
          <w:caps/>
          <w:lang w:val="fr-BE"/>
        </w:rPr>
        <w:t>L</w:t>
      </w:r>
      <w:r w:rsidRPr="00CF0602">
        <w:rPr>
          <w:lang w:val="fr-BE"/>
        </w:rPr>
        <w:t xml:space="preserve">e titulaire de l’autorisation de mise sur le marché </w:t>
      </w:r>
      <w:r>
        <w:rPr>
          <w:lang w:val="fr-BE"/>
        </w:rPr>
        <w:t xml:space="preserve">met en œuvre </w:t>
      </w:r>
      <w:r w:rsidRPr="00CF0602">
        <w:rPr>
          <w:lang w:val="fr-BE"/>
        </w:rPr>
        <w:t>, selon le calendrier indiqué, les mesures ci-après :</w:t>
      </w:r>
    </w:p>
    <w:tbl>
      <w:tblPr>
        <w:tblW w:w="49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433"/>
        <w:gridCol w:w="1446"/>
      </w:tblGrid>
      <w:tr w:rsidR="00E85E17" w:rsidRPr="00CF0602" w14:paraId="6272F567" w14:textId="77777777" w:rsidTr="00C228C8">
        <w:trPr>
          <w:cantSplit/>
          <w:tblHeader/>
        </w:trPr>
        <w:tc>
          <w:tcPr>
            <w:tcW w:w="4186" w:type="pct"/>
            <w:tcBorders>
              <w:top w:val="single" w:sz="4" w:space="0" w:color="auto"/>
              <w:bottom w:val="single" w:sz="4" w:space="0" w:color="auto"/>
            </w:tcBorders>
          </w:tcPr>
          <w:p w14:paraId="0C61EFFF" w14:textId="77777777" w:rsidR="00E85E17" w:rsidRPr="00597648" w:rsidRDefault="00E85E17" w:rsidP="00C228C8">
            <w:pPr>
              <w:pStyle w:val="AmmCorpsTexte"/>
              <w:spacing w:before="60" w:after="60"/>
              <w:rPr>
                <w:b/>
              </w:rPr>
            </w:pPr>
            <w:r w:rsidRPr="00597648">
              <w:rPr>
                <w:b/>
              </w:rPr>
              <w:t>Description</w:t>
            </w:r>
          </w:p>
        </w:tc>
        <w:tc>
          <w:tcPr>
            <w:tcW w:w="814" w:type="pct"/>
            <w:tcBorders>
              <w:top w:val="single" w:sz="4" w:space="0" w:color="auto"/>
              <w:bottom w:val="single" w:sz="4" w:space="0" w:color="auto"/>
            </w:tcBorders>
          </w:tcPr>
          <w:p w14:paraId="2440BBD7" w14:textId="77777777" w:rsidR="00E85E17" w:rsidRPr="00F351BA" w:rsidRDefault="00E85E17" w:rsidP="00C228C8">
            <w:pPr>
              <w:pStyle w:val="AmmCorpsTexte"/>
              <w:spacing w:before="60" w:after="60"/>
              <w:rPr>
                <w:color w:val="538135"/>
              </w:rPr>
            </w:pPr>
            <w:r w:rsidRPr="00F351BA">
              <w:rPr>
                <w:color w:val="538135"/>
              </w:rPr>
              <w:t xml:space="preserve">Date </w:t>
            </w:r>
          </w:p>
        </w:tc>
      </w:tr>
      <w:tr w:rsidR="00E85E17" w:rsidRPr="00CF0602" w14:paraId="3EB7112D" w14:textId="77777777" w:rsidTr="00C228C8">
        <w:trPr>
          <w:cantSplit/>
        </w:trPr>
        <w:tc>
          <w:tcPr>
            <w:tcW w:w="4186" w:type="pct"/>
          </w:tcPr>
          <w:p w14:paraId="6F3D6980" w14:textId="77777777" w:rsidR="00E85E17" w:rsidRPr="00CF0602" w:rsidRDefault="00E85E17" w:rsidP="00C228C8">
            <w:pPr>
              <w:pStyle w:val="AmmCorpsTexte"/>
              <w:spacing w:before="60" w:after="60"/>
            </w:pPr>
            <w:r>
              <w:t>&lt;Etude d’efficacité post-autorisation (PAES) :&gt;</w:t>
            </w:r>
          </w:p>
        </w:tc>
        <w:tc>
          <w:tcPr>
            <w:tcW w:w="814" w:type="pct"/>
          </w:tcPr>
          <w:p w14:paraId="220541B9" w14:textId="77777777" w:rsidR="00E85E17" w:rsidRPr="00CF0602" w:rsidRDefault="00E85E17" w:rsidP="00C228C8">
            <w:pPr>
              <w:pStyle w:val="AmmCorpsTexte"/>
              <w:spacing w:before="60" w:after="60"/>
            </w:pPr>
          </w:p>
        </w:tc>
      </w:tr>
      <w:tr w:rsidR="00E85E17" w:rsidRPr="00CF0602" w14:paraId="085D784C" w14:textId="77777777" w:rsidTr="00C228C8">
        <w:trPr>
          <w:cantSplit/>
        </w:trPr>
        <w:tc>
          <w:tcPr>
            <w:tcW w:w="4186" w:type="pct"/>
          </w:tcPr>
          <w:p w14:paraId="101AC351" w14:textId="77777777" w:rsidR="00E85E17" w:rsidRPr="00CF0602" w:rsidRDefault="00E85E17" w:rsidP="00C228C8">
            <w:pPr>
              <w:pStyle w:val="AmmCorpsTexte"/>
              <w:spacing w:before="60" w:after="60"/>
            </w:pPr>
            <w:r>
              <w:t>&lt;Etude de sécurité post-autorisation non interventionnelle (PASS) :&gt;</w:t>
            </w:r>
          </w:p>
        </w:tc>
        <w:tc>
          <w:tcPr>
            <w:tcW w:w="814" w:type="pct"/>
          </w:tcPr>
          <w:p w14:paraId="6DC3B757" w14:textId="77777777" w:rsidR="00E85E17" w:rsidRPr="00CF0602" w:rsidRDefault="00E85E17" w:rsidP="00C228C8">
            <w:pPr>
              <w:pStyle w:val="AmmCorpsTexte"/>
              <w:spacing w:before="60" w:after="60"/>
            </w:pPr>
          </w:p>
        </w:tc>
      </w:tr>
      <w:tr w:rsidR="00E85E17" w:rsidRPr="00CF0602" w14:paraId="139739C9" w14:textId="77777777" w:rsidTr="00C228C8">
        <w:trPr>
          <w:cantSplit/>
        </w:trPr>
        <w:tc>
          <w:tcPr>
            <w:tcW w:w="4186" w:type="pct"/>
          </w:tcPr>
          <w:p w14:paraId="04DCC079" w14:textId="77777777" w:rsidR="00E85E17" w:rsidRPr="00CF0602" w:rsidRDefault="00E85E17" w:rsidP="00C228C8">
            <w:pPr>
              <w:pStyle w:val="AmmCorpsTexte"/>
              <w:spacing w:before="60" w:after="60"/>
            </w:pPr>
          </w:p>
        </w:tc>
        <w:tc>
          <w:tcPr>
            <w:tcW w:w="814" w:type="pct"/>
          </w:tcPr>
          <w:p w14:paraId="23D092AA" w14:textId="77777777" w:rsidR="00E85E17" w:rsidRPr="00CF0602" w:rsidRDefault="00E85E17" w:rsidP="00C228C8">
            <w:pPr>
              <w:pStyle w:val="AmmCorpsTexte"/>
              <w:spacing w:before="60" w:after="60"/>
            </w:pPr>
          </w:p>
        </w:tc>
      </w:tr>
      <w:tr w:rsidR="00E85E17" w:rsidRPr="00CF0602" w14:paraId="21DED6AB" w14:textId="77777777" w:rsidTr="00C228C8">
        <w:trPr>
          <w:cantSplit/>
        </w:trPr>
        <w:tc>
          <w:tcPr>
            <w:tcW w:w="4186" w:type="pct"/>
            <w:tcBorders>
              <w:bottom w:val="single" w:sz="4" w:space="0" w:color="auto"/>
            </w:tcBorders>
          </w:tcPr>
          <w:p w14:paraId="2B908613" w14:textId="77777777" w:rsidR="00E85E17" w:rsidRPr="00CF0602" w:rsidRDefault="00E85E17" w:rsidP="00C228C8">
            <w:pPr>
              <w:pStyle w:val="AmmCorpsTexte"/>
              <w:spacing w:before="60" w:after="60"/>
            </w:pPr>
          </w:p>
        </w:tc>
        <w:tc>
          <w:tcPr>
            <w:tcW w:w="814" w:type="pct"/>
            <w:tcBorders>
              <w:bottom w:val="single" w:sz="4" w:space="0" w:color="auto"/>
            </w:tcBorders>
          </w:tcPr>
          <w:p w14:paraId="62744744" w14:textId="77777777" w:rsidR="00E85E17" w:rsidRPr="00CF0602" w:rsidRDefault="00E85E17" w:rsidP="00C228C8">
            <w:pPr>
              <w:pStyle w:val="AmmCorpsTexte"/>
              <w:spacing w:before="60" w:after="60"/>
            </w:pPr>
          </w:p>
        </w:tc>
      </w:tr>
    </w:tbl>
    <w:p w14:paraId="0CC568C1" w14:textId="77777777" w:rsidR="009E44EF" w:rsidRDefault="00E97BAB">
      <w:pPr>
        <w:pStyle w:val="AmmAnnexeTitre1"/>
        <w:rPr>
          <w:caps w:val="0"/>
          <w:color w:val="2F5496"/>
        </w:rPr>
      </w:pPr>
      <w:r w:rsidRPr="00EF742F">
        <w:rPr>
          <w:caps w:val="0"/>
          <w:color w:val="2F5496"/>
        </w:rPr>
        <w:lastRenderedPageBreak/>
        <w:t>E</w:t>
      </w:r>
      <w:r w:rsidR="009E44EF" w:rsidRPr="00EF742F">
        <w:rPr>
          <w:caps w:val="0"/>
          <w:color w:val="2F5496"/>
        </w:rPr>
        <w:t>.</w:t>
      </w:r>
      <w:r w:rsidR="009E44EF" w:rsidRPr="00EF742F">
        <w:rPr>
          <w:caps w:val="0"/>
          <w:color w:val="2F5496"/>
        </w:rPr>
        <w:tab/>
      </w:r>
      <w:bookmarkEnd w:id="49"/>
      <w:r w:rsidRPr="00EF742F">
        <w:rPr>
          <w:caps w:val="0"/>
          <w:color w:val="2F5496"/>
        </w:rPr>
        <w:t>OBLIGATION SPECIFIQUE RELATIVE AUX MESURES POST-AUTORISATION CONCERNANT L’AUTORISATION DE MISE SUR LE MARCHE « SOUS CIRCONSTANCES EXCEPTIONNELLES »</w:t>
      </w:r>
    </w:p>
    <w:p w14:paraId="0C50651F" w14:textId="77777777" w:rsidR="000549E0" w:rsidRPr="000549E0" w:rsidRDefault="000549E0" w:rsidP="000549E0">
      <w:pPr>
        <w:pStyle w:val="AmmCorpsTexte"/>
      </w:pPr>
      <w:r>
        <w:t>Sans objet.</w:t>
      </w:r>
    </w:p>
    <w:p w14:paraId="034401CD" w14:textId="77777777" w:rsidR="00E97BAB" w:rsidRPr="000549E0" w:rsidRDefault="00E97BAB" w:rsidP="000549E0">
      <w:pPr>
        <w:pStyle w:val="AmmAnnexeTitre1"/>
        <w:rPr>
          <w:caps w:val="0"/>
          <w:color w:val="2F5496"/>
        </w:rPr>
      </w:pPr>
      <w:r w:rsidRPr="00EF742F">
        <w:rPr>
          <w:caps w:val="0"/>
          <w:color w:val="2F5496"/>
        </w:rPr>
        <w:t>F.</w:t>
      </w:r>
      <w:r w:rsidRPr="00EF742F">
        <w:rPr>
          <w:caps w:val="0"/>
          <w:color w:val="2F5496"/>
        </w:rPr>
        <w:tab/>
        <w:t>COMPOSITION QUALITATIVE ET QUANTITATIVE EN EXCIPIENTS</w:t>
      </w:r>
    </w:p>
    <w:p w14:paraId="6305B70A" w14:textId="77777777" w:rsidR="009E44EF" w:rsidRDefault="009E44EF">
      <w:pPr>
        <w:pStyle w:val="AmmAnnexeTitre"/>
      </w:pPr>
      <w:r>
        <w:br w:type="page"/>
      </w:r>
      <w:bookmarkStart w:id="50" w:name="_Toc142278959"/>
      <w:r>
        <w:lastRenderedPageBreak/>
        <w:t>ANNEXE IIIA</w:t>
      </w:r>
      <w:bookmarkEnd w:id="50"/>
    </w:p>
    <w:p w14:paraId="6D4BE2DC" w14:textId="77777777" w:rsidR="009E44EF" w:rsidRDefault="009E44EF">
      <w:pPr>
        <w:pStyle w:val="AmmAnnexeSousTitre"/>
        <w:rPr>
          <w:caps w:val="0"/>
        </w:rPr>
      </w:pPr>
      <w:bookmarkStart w:id="51" w:name="_Toc142278960"/>
      <w:r>
        <w:rPr>
          <w:caps w:val="0"/>
        </w:rPr>
        <w:t>ETIQUETAGE</w:t>
      </w:r>
      <w:bookmarkEnd w:id="51"/>
    </w:p>
    <w:p w14:paraId="134AF5CE" w14:textId="77777777" w:rsidR="009E44EF" w:rsidRPr="00F425AB" w:rsidRDefault="009E44EF" w:rsidP="00F425AB">
      <w:pPr>
        <w:pStyle w:val="AmmTitreEncadre"/>
      </w:pPr>
      <w:r w:rsidRPr="00F425AB">
        <w:t>MENTIONS DEVANT FIGURER SUR L’EMBALLAGE EXTERIEUR ET SUR LE CONDITIONNEMENT PRIMAIRE</w:t>
      </w:r>
    </w:p>
    <w:p w14:paraId="3DC49842" w14:textId="77777777" w:rsidR="009E44EF" w:rsidRDefault="009E44EF">
      <w:pPr>
        <w:pStyle w:val="AmmCorpsTexte"/>
        <w:rPr>
          <w:sz w:val="2"/>
        </w:rPr>
      </w:pPr>
    </w:p>
    <w:p w14:paraId="3A11ED33" w14:textId="77777777" w:rsidR="002801B6" w:rsidRPr="00854E56" w:rsidRDefault="002801B6" w:rsidP="00F425AB">
      <w:pPr>
        <w:pStyle w:val="AmmTitreEncadre"/>
      </w:pPr>
      <w:bookmarkStart w:id="52" w:name="_Toc142278961"/>
      <w:bookmarkStart w:id="53" w:name="_Toc142278962"/>
      <w:r w:rsidRPr="00854E56">
        <w:t>NATURE/TYPE Emballage extérieur ou Conditionnement primaire</w:t>
      </w:r>
      <w:bookmarkEnd w:id="52"/>
    </w:p>
    <w:p w14:paraId="5CC59378" w14:textId="77777777" w:rsidR="00E6215C" w:rsidRPr="00EF742F" w:rsidRDefault="00E6215C" w:rsidP="00E6215C">
      <w:pPr>
        <w:pStyle w:val="AmmCorpsTexte"/>
        <w:rPr>
          <w:color w:val="808080"/>
        </w:rPr>
      </w:pPr>
      <w:r w:rsidRPr="00EF742F">
        <w:rPr>
          <w:color w:val="808080"/>
        </w:rPr>
        <w:t>&lt; {Emballage extérieur}&gt; &lt;et&gt; &lt;{Conditionnement(s) primaire(s)}&gt;</w:t>
      </w:r>
    </w:p>
    <w:p w14:paraId="22B7498C" w14:textId="77777777" w:rsidR="009E44EF" w:rsidRPr="00854E56" w:rsidRDefault="009E44EF" w:rsidP="00F425AB">
      <w:pPr>
        <w:pStyle w:val="AmmTitreEncadre"/>
      </w:pPr>
      <w:r w:rsidRPr="00854E56">
        <w:t>1.</w:t>
      </w:r>
      <w:r w:rsidRPr="00854E56">
        <w:tab/>
        <w:t>DENOMINATION DU MEDICAMENT</w:t>
      </w:r>
      <w:bookmarkEnd w:id="53"/>
    </w:p>
    <w:p w14:paraId="6C8D495D" w14:textId="77777777" w:rsidR="009E44EF" w:rsidRPr="00CA5AFE" w:rsidRDefault="00361C79" w:rsidP="00CA5AFE">
      <w:pPr>
        <w:pStyle w:val="AmmCorpsTexteGras"/>
      </w:pPr>
      <w:r>
        <w:t>xxx</w:t>
      </w:r>
    </w:p>
    <w:p w14:paraId="034455E5" w14:textId="77777777" w:rsidR="009E44EF" w:rsidRDefault="00497C21" w:rsidP="00FC130D">
      <w:pPr>
        <w:pStyle w:val="AmmCorpsTexteGras"/>
        <w:tabs>
          <w:tab w:val="left" w:pos="2985"/>
        </w:tabs>
      </w:pPr>
      <w:r>
        <w:t>Paracétamol</w:t>
      </w:r>
    </w:p>
    <w:p w14:paraId="6F9FF540" w14:textId="77777777" w:rsidR="009E44EF" w:rsidRPr="00854E56" w:rsidRDefault="009E44EF" w:rsidP="00F425AB">
      <w:pPr>
        <w:pStyle w:val="AmmTitreEncadre"/>
      </w:pPr>
      <w:bookmarkStart w:id="54" w:name="_Toc142278963"/>
      <w:r w:rsidRPr="00854E56">
        <w:t>2.</w:t>
      </w:r>
      <w:r w:rsidRPr="00854E56">
        <w:tab/>
        <w:t>COMPOSITION EN SUBSTANCES ACTIVES</w:t>
      </w:r>
      <w:bookmarkEnd w:id="54"/>
    </w:p>
    <w:p w14:paraId="669087E5" w14:textId="77777777" w:rsidR="004C4D7C" w:rsidRPr="00967A3A" w:rsidRDefault="00E6215C" w:rsidP="00967A3A">
      <w:pPr>
        <w:pStyle w:val="AmmComposition"/>
      </w:pPr>
      <w:bookmarkStart w:id="55" w:name="_Toc142278964"/>
      <w:r w:rsidRPr="00967A3A">
        <w:t>{</w:t>
      </w:r>
      <w:r w:rsidR="008D4988" w:rsidRPr="00967A3A">
        <w:tab/>
      </w:r>
      <w:r w:rsidRPr="00967A3A">
        <w:t xml:space="preserve"> }</w:t>
      </w:r>
    </w:p>
    <w:p w14:paraId="51BA3F78" w14:textId="77777777" w:rsidR="009E44EF" w:rsidRPr="00854E56" w:rsidRDefault="009E44EF" w:rsidP="00F425AB">
      <w:pPr>
        <w:pStyle w:val="AmmTitreEncadre"/>
      </w:pPr>
      <w:r w:rsidRPr="00854E56">
        <w:t>3.</w:t>
      </w:r>
      <w:r w:rsidRPr="00854E56">
        <w:tab/>
        <w:t>LISTE DES EXCIPIENTS</w:t>
      </w:r>
      <w:bookmarkEnd w:id="55"/>
    </w:p>
    <w:p w14:paraId="7121D248" w14:textId="77777777" w:rsidR="004C4D7C" w:rsidRDefault="004C4D7C" w:rsidP="004C4D7C">
      <w:pPr>
        <w:pStyle w:val="AmmCorpsTexte"/>
      </w:pPr>
      <w:bookmarkStart w:id="56" w:name="_Toc142278965"/>
    </w:p>
    <w:p w14:paraId="398CFF61" w14:textId="77777777" w:rsidR="009E44EF" w:rsidRPr="00854E56" w:rsidRDefault="009E44EF" w:rsidP="00F425AB">
      <w:pPr>
        <w:pStyle w:val="AmmTitreEncadre"/>
      </w:pPr>
      <w:r w:rsidRPr="00854E56">
        <w:t>4.</w:t>
      </w:r>
      <w:r w:rsidRPr="00854E56">
        <w:tab/>
        <w:t>FORME PHARMACEUTIQUE ET CONTENU</w:t>
      </w:r>
      <w:bookmarkEnd w:id="56"/>
    </w:p>
    <w:p w14:paraId="712E0361" w14:textId="77777777" w:rsidR="00E6215C" w:rsidRDefault="00E6215C" w:rsidP="00E6215C">
      <w:pPr>
        <w:pStyle w:val="AmmCorpsTexte"/>
      </w:pPr>
      <w:bookmarkStart w:id="57" w:name="_Toc142278966"/>
    </w:p>
    <w:p w14:paraId="0D448399" w14:textId="77777777" w:rsidR="009E44EF" w:rsidRPr="00854E56" w:rsidRDefault="009E44EF" w:rsidP="00F425AB">
      <w:pPr>
        <w:pStyle w:val="AmmTitreEncadre"/>
      </w:pPr>
      <w:r w:rsidRPr="00854E56">
        <w:t>5.</w:t>
      </w:r>
      <w:r w:rsidRPr="00854E56">
        <w:tab/>
        <w:t>MODE ET VOIE(S) D’ADMINISTRATION</w:t>
      </w:r>
      <w:bookmarkEnd w:id="57"/>
    </w:p>
    <w:p w14:paraId="7C99726E" w14:textId="77777777" w:rsidR="00A17BC2" w:rsidRDefault="00A17BC2" w:rsidP="00A17BC2">
      <w:pPr>
        <w:spacing w:after="120"/>
        <w:rPr>
          <w:rFonts w:ascii="Arial" w:hAnsi="Arial"/>
          <w:sz w:val="20"/>
        </w:rPr>
      </w:pPr>
      <w:r w:rsidRPr="00A17BC2">
        <w:rPr>
          <w:rFonts w:ascii="Arial" w:hAnsi="Arial"/>
          <w:sz w:val="20"/>
        </w:rPr>
        <w:t>Voie orale.</w:t>
      </w:r>
    </w:p>
    <w:p w14:paraId="25C7DB86" w14:textId="77777777" w:rsidR="00B018FD" w:rsidRPr="00B018FD" w:rsidRDefault="00B018FD" w:rsidP="00A17BC2">
      <w:pPr>
        <w:spacing w:after="120"/>
        <w:rPr>
          <w:rFonts w:ascii="Arial" w:hAnsi="Arial"/>
          <w:i/>
          <w:sz w:val="20"/>
        </w:rPr>
      </w:pPr>
      <w:r w:rsidRPr="003F09D8">
        <w:rPr>
          <w:rFonts w:ascii="Arial" w:hAnsi="Arial"/>
          <w:i/>
          <w:sz w:val="20"/>
          <w:highlight w:val="yellow"/>
        </w:rPr>
        <w:t>[À adapter selon la forme : effervescent, suspension buvable…)]</w:t>
      </w:r>
    </w:p>
    <w:p w14:paraId="7F3D7D5E" w14:textId="77777777" w:rsidR="00A17BC2" w:rsidRPr="00A17BC2" w:rsidRDefault="00A17BC2" w:rsidP="00A17BC2">
      <w:pPr>
        <w:spacing w:after="120"/>
        <w:rPr>
          <w:rFonts w:ascii="Arial" w:hAnsi="Arial"/>
          <w:sz w:val="20"/>
        </w:rPr>
      </w:pPr>
      <w:r w:rsidRPr="00A17BC2">
        <w:rPr>
          <w:rFonts w:ascii="Arial" w:hAnsi="Arial"/>
          <w:sz w:val="20"/>
          <w:highlight w:val="yellow"/>
        </w:rPr>
        <w:t xml:space="preserve">Les comprimés sont à avaler </w:t>
      </w:r>
      <w:r w:rsidR="00B018FD">
        <w:rPr>
          <w:rFonts w:ascii="Arial" w:hAnsi="Arial"/>
          <w:sz w:val="20"/>
          <w:highlight w:val="yellow"/>
        </w:rPr>
        <w:t>tels quels avec un verre d’eau.</w:t>
      </w:r>
    </w:p>
    <w:p w14:paraId="0AB3A5A1" w14:textId="77777777" w:rsidR="00805D0D" w:rsidRDefault="00805D0D" w:rsidP="00805D0D">
      <w:pPr>
        <w:pStyle w:val="AmmCorpsTexte"/>
      </w:pPr>
      <w:bookmarkStart w:id="58" w:name="_Toc142278967"/>
      <w:r>
        <w:t>Lire la notice avant utilisation.</w:t>
      </w:r>
    </w:p>
    <w:p w14:paraId="74FF693E" w14:textId="77777777" w:rsidR="009E44EF" w:rsidRPr="00854E56" w:rsidRDefault="009E44EF" w:rsidP="00F425AB">
      <w:pPr>
        <w:pStyle w:val="AmmTitreEncadre"/>
      </w:pPr>
      <w:r w:rsidRPr="00854E56">
        <w:t>6.</w:t>
      </w:r>
      <w:r w:rsidRPr="00854E56">
        <w:tab/>
        <w:t xml:space="preserve">MISE EN GARDE SPECIALE INDIQUANT QUE LE MEDICAMENT DOIT ETRE CONSERVE </w:t>
      </w:r>
      <w:r w:rsidRPr="00E002A5">
        <w:t xml:space="preserve">HORS DE </w:t>
      </w:r>
      <w:r w:rsidR="008D5C50" w:rsidRPr="00E002A5">
        <w:t>vue et de PORTEE</w:t>
      </w:r>
      <w:r w:rsidR="00361C79" w:rsidRPr="00854E56">
        <w:t xml:space="preserve"> </w:t>
      </w:r>
      <w:r w:rsidRPr="00854E56">
        <w:t>DES ENFANTS</w:t>
      </w:r>
      <w:bookmarkEnd w:id="58"/>
    </w:p>
    <w:p w14:paraId="05757786" w14:textId="77777777" w:rsidR="009E44EF" w:rsidRDefault="009E44EF">
      <w:pPr>
        <w:pStyle w:val="AmmCorpsTexte"/>
      </w:pPr>
      <w:r>
        <w:t xml:space="preserve">Tenir hors de la </w:t>
      </w:r>
      <w:r w:rsidR="001B79CA">
        <w:t xml:space="preserve">vue et de la </w:t>
      </w:r>
      <w:r>
        <w:t>portée des enfants.</w:t>
      </w:r>
    </w:p>
    <w:p w14:paraId="1CE97C6A" w14:textId="03A3633B" w:rsidR="00D615E5" w:rsidRPr="00F63261" w:rsidRDefault="009E44EF" w:rsidP="00F63261">
      <w:pPr>
        <w:pStyle w:val="AmmTitreEncadre"/>
      </w:pPr>
      <w:bookmarkStart w:id="59" w:name="_Toc142278968"/>
      <w:r w:rsidRPr="00854E56">
        <w:t>7.</w:t>
      </w:r>
      <w:r w:rsidRPr="00854E56">
        <w:tab/>
        <w:t>AUTRE(S) MISE(S) EN GARDE SPECIALE(S), SI NECESSAIRE</w:t>
      </w:r>
      <w:bookmarkEnd w:id="59"/>
    </w:p>
    <w:tbl>
      <w:tblPr>
        <w:tblW w:w="3709" w:type="dxa"/>
        <w:tblInd w:w="2902" w:type="dxa"/>
        <w:tblCellMar>
          <w:top w:w="31" w:type="dxa"/>
          <w:left w:w="202" w:type="dxa"/>
          <w:right w:w="115" w:type="dxa"/>
        </w:tblCellMar>
        <w:tblLook w:val="04A0" w:firstRow="1" w:lastRow="0" w:firstColumn="1" w:lastColumn="0" w:noHBand="0" w:noVBand="1"/>
      </w:tblPr>
      <w:tblGrid>
        <w:gridCol w:w="3709"/>
      </w:tblGrid>
      <w:tr w:rsidR="00D615E5" w:rsidRPr="00D615E5" w14:paraId="43B901D7" w14:textId="77777777" w:rsidTr="00447F81">
        <w:trPr>
          <w:trHeight w:val="610"/>
        </w:trPr>
        <w:tc>
          <w:tcPr>
            <w:tcW w:w="3709" w:type="dxa"/>
            <w:tcBorders>
              <w:top w:val="single" w:sz="17" w:space="0" w:color="FF0000"/>
              <w:left w:val="single" w:sz="17" w:space="0" w:color="FF0000"/>
              <w:bottom w:val="single" w:sz="17" w:space="0" w:color="FF0000"/>
              <w:right w:val="single" w:sz="17" w:space="0" w:color="FF0000"/>
            </w:tcBorders>
            <w:shd w:val="clear" w:color="auto" w:fill="auto"/>
          </w:tcPr>
          <w:p w14:paraId="4456B936" w14:textId="77777777" w:rsidR="00D615E5" w:rsidRPr="00D615E5" w:rsidRDefault="00D615E5" w:rsidP="00D615E5">
            <w:pPr>
              <w:tabs>
                <w:tab w:val="center" w:pos="1765"/>
              </w:tabs>
              <w:spacing w:line="259" w:lineRule="auto"/>
              <w:ind w:right="181"/>
              <w:jc w:val="left"/>
              <w:rPr>
                <w:rFonts w:ascii="Arial" w:hAnsi="Arial" w:cs="Arial"/>
                <w:szCs w:val="22"/>
              </w:rPr>
            </w:pPr>
            <w:r w:rsidRPr="00D615E5">
              <w:rPr>
                <w:rFonts w:ascii="Arial" w:hAnsi="Arial" w:cs="Arial"/>
                <w:noProof/>
                <w:szCs w:val="22"/>
              </w:rPr>
              <w:drawing>
                <wp:inline distT="0" distB="0" distL="0" distR="0" wp14:anchorId="6C610992" wp14:editId="61B91275">
                  <wp:extent cx="198755" cy="174625"/>
                  <wp:effectExtent l="0" t="0" r="0" b="0"/>
                  <wp:docPr id="4"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D615E5">
              <w:rPr>
                <w:rFonts w:ascii="Arial" w:hAnsi="Arial" w:cs="Arial"/>
                <w:b/>
                <w:color w:val="FF0000"/>
                <w:szCs w:val="22"/>
              </w:rPr>
              <w:tab/>
              <w:t xml:space="preserve">SURDOSAGE = DANGER </w:t>
            </w:r>
            <w:r w:rsidRPr="00D615E5">
              <w:rPr>
                <w:rFonts w:ascii="Arial" w:hAnsi="Arial" w:cs="Arial"/>
                <w:szCs w:val="22"/>
              </w:rPr>
              <w:t xml:space="preserve"> </w:t>
            </w:r>
          </w:p>
          <w:p w14:paraId="4E0C2A21" w14:textId="77777777" w:rsidR="00D615E5" w:rsidRPr="00D615E5" w:rsidRDefault="00D615E5" w:rsidP="00D615E5">
            <w:pPr>
              <w:spacing w:line="259" w:lineRule="auto"/>
              <w:ind w:right="181"/>
              <w:jc w:val="left"/>
              <w:rPr>
                <w:szCs w:val="22"/>
              </w:rPr>
            </w:pPr>
            <w:r w:rsidRPr="00D615E5">
              <w:rPr>
                <w:b/>
                <w:color w:val="FF0000"/>
                <w:sz w:val="1"/>
                <w:szCs w:val="22"/>
              </w:rPr>
              <w:t xml:space="preserve"> </w:t>
            </w:r>
            <w:r w:rsidRPr="00D615E5">
              <w:rPr>
                <w:szCs w:val="22"/>
              </w:rPr>
              <w:t xml:space="preserve"> </w:t>
            </w:r>
          </w:p>
        </w:tc>
      </w:tr>
      <w:tr w:rsidR="00D615E5" w:rsidRPr="00D615E5" w14:paraId="2A7FBDD3" w14:textId="77777777" w:rsidTr="00447F81">
        <w:trPr>
          <w:trHeight w:val="638"/>
        </w:trPr>
        <w:tc>
          <w:tcPr>
            <w:tcW w:w="3709" w:type="dxa"/>
            <w:tcBorders>
              <w:top w:val="single" w:sz="17" w:space="0" w:color="FF0000"/>
              <w:left w:val="single" w:sz="17" w:space="0" w:color="FF0000"/>
              <w:bottom w:val="single" w:sz="17" w:space="0" w:color="FF0000"/>
              <w:right w:val="single" w:sz="17" w:space="0" w:color="FF0000"/>
            </w:tcBorders>
            <w:shd w:val="clear" w:color="auto" w:fill="auto"/>
            <w:vAlign w:val="center"/>
          </w:tcPr>
          <w:p w14:paraId="2B886462" w14:textId="77777777" w:rsidR="00D615E5" w:rsidRPr="00D615E5" w:rsidRDefault="00D615E5" w:rsidP="00D615E5">
            <w:pPr>
              <w:spacing w:line="259" w:lineRule="auto"/>
              <w:ind w:right="86"/>
              <w:jc w:val="center"/>
              <w:rPr>
                <w:rFonts w:ascii="Arial" w:hAnsi="Arial" w:cs="Arial"/>
                <w:sz w:val="20"/>
              </w:rPr>
            </w:pPr>
            <w:r w:rsidRPr="00D615E5">
              <w:rPr>
                <w:rFonts w:ascii="Arial" w:hAnsi="Arial" w:cs="Arial"/>
                <w:sz w:val="20"/>
              </w:rPr>
              <w:t xml:space="preserve">Dépasser la dose peut détruire le foie  </w:t>
            </w:r>
          </w:p>
        </w:tc>
      </w:tr>
    </w:tbl>
    <w:p w14:paraId="01A2004D" w14:textId="77777777" w:rsidR="000F0015" w:rsidRDefault="000F0015" w:rsidP="00D615E5">
      <w:pPr>
        <w:pStyle w:val="AmmCorpsTexte"/>
      </w:pPr>
    </w:p>
    <w:p w14:paraId="3EF249BD" w14:textId="77777777" w:rsidR="009E44EF" w:rsidRPr="00854E56" w:rsidRDefault="009E44EF" w:rsidP="00F425AB">
      <w:pPr>
        <w:pStyle w:val="AmmTitreEncadre"/>
      </w:pPr>
      <w:bookmarkStart w:id="60" w:name="_Toc142278969"/>
      <w:r w:rsidRPr="00854E56">
        <w:t>8.</w:t>
      </w:r>
      <w:r w:rsidRPr="00854E56">
        <w:tab/>
        <w:t>DATE DE PEREMPTION</w:t>
      </w:r>
      <w:bookmarkEnd w:id="60"/>
    </w:p>
    <w:p w14:paraId="7003A13D" w14:textId="77777777" w:rsidR="00E6215C" w:rsidRDefault="00E6215C" w:rsidP="00E6215C">
      <w:pPr>
        <w:pStyle w:val="AmmCorpsTexte"/>
      </w:pPr>
      <w:bookmarkStart w:id="61" w:name="_Toc142278970"/>
    </w:p>
    <w:p w14:paraId="564D94B3" w14:textId="77777777" w:rsidR="009E44EF" w:rsidRPr="00854E56" w:rsidRDefault="009E44EF" w:rsidP="00DA39F2">
      <w:pPr>
        <w:pStyle w:val="AmmTitreEncadre"/>
      </w:pPr>
      <w:r w:rsidRPr="00854E56">
        <w:lastRenderedPageBreak/>
        <w:t>9.</w:t>
      </w:r>
      <w:r w:rsidRPr="00854E56">
        <w:tab/>
        <w:t>PRECAUTIONS PARTICULIERES DE CONSERVATION</w:t>
      </w:r>
      <w:bookmarkEnd w:id="61"/>
    </w:p>
    <w:p w14:paraId="794E7476" w14:textId="77777777" w:rsidR="004C4D7C" w:rsidRDefault="004C4D7C" w:rsidP="004C4D7C">
      <w:pPr>
        <w:pStyle w:val="AmmCorpsTexte"/>
      </w:pPr>
      <w:bookmarkStart w:id="62" w:name="_Toc142278971"/>
    </w:p>
    <w:p w14:paraId="51D6C01D" w14:textId="77777777" w:rsidR="009E44EF" w:rsidRPr="00854E56" w:rsidRDefault="009E44EF" w:rsidP="00F425AB">
      <w:pPr>
        <w:pStyle w:val="AmmTitreEncadre"/>
      </w:pPr>
      <w:r w:rsidRPr="00854E56">
        <w:t>10.</w:t>
      </w:r>
      <w:r w:rsidRPr="00854E56">
        <w:tab/>
        <w:t>PRECAUTIONS PARTICULIERES D’ELIMINATION DES MEDICAMENTS NON UTILISES OU DES DECHETS PROVENANT DE CES MEDICAMENTS S’IL Y A LIEU</w:t>
      </w:r>
      <w:bookmarkEnd w:id="62"/>
    </w:p>
    <w:p w14:paraId="3694EC15" w14:textId="77777777" w:rsidR="00E6215C" w:rsidRDefault="00E6215C" w:rsidP="00DC4CEC">
      <w:pPr>
        <w:pStyle w:val="AmmCorpsTexte"/>
      </w:pPr>
      <w:bookmarkStart w:id="63" w:name="_Toc142278972"/>
    </w:p>
    <w:p w14:paraId="0A31A96A" w14:textId="77777777" w:rsidR="009E44EF" w:rsidRPr="00854E56" w:rsidRDefault="009E44EF" w:rsidP="00F425AB">
      <w:pPr>
        <w:pStyle w:val="AmmTitreEncadre"/>
      </w:pPr>
      <w:r w:rsidRPr="00854E56">
        <w:t>11.</w:t>
      </w:r>
      <w:r w:rsidRPr="00854E56">
        <w:tab/>
        <w:t>NOM ET ADRESSE DU TITULAIRE DE L’AUTORISATION DE MISE SUR LE MARCHE</w:t>
      </w:r>
      <w:bookmarkEnd w:id="63"/>
    </w:p>
    <w:p w14:paraId="2E3CFB6F" w14:textId="77777777" w:rsidR="00E002A5" w:rsidRDefault="00E002A5" w:rsidP="00EB4343">
      <w:pPr>
        <w:pStyle w:val="AmmAnnexeTitre2"/>
      </w:pPr>
      <w:bookmarkStart w:id="64" w:name="_Toc142278975"/>
      <w:bookmarkStart w:id="65" w:name="_Toc142278976"/>
      <w:r>
        <w:t>Titulaire</w:t>
      </w:r>
    </w:p>
    <w:p w14:paraId="7486A671" w14:textId="77777777" w:rsidR="008E1B97" w:rsidRDefault="008E1B97" w:rsidP="00D615E5">
      <w:pPr>
        <w:pStyle w:val="AmmCorpsTexteGras"/>
        <w:spacing w:after="0"/>
      </w:pPr>
    </w:p>
    <w:p w14:paraId="6CAC2413" w14:textId="77777777" w:rsidR="00E002A5" w:rsidRDefault="00E002A5" w:rsidP="00EB4343">
      <w:pPr>
        <w:pStyle w:val="AmmAnnexeTitre2"/>
      </w:pPr>
      <w:r>
        <w:t>Exploitant</w:t>
      </w:r>
    </w:p>
    <w:p w14:paraId="22F0E3D1" w14:textId="77777777" w:rsidR="008E1B97" w:rsidRDefault="008E1B97" w:rsidP="00D615E5">
      <w:pPr>
        <w:pStyle w:val="AmmCorpsTexteGras"/>
        <w:spacing w:after="0"/>
      </w:pPr>
    </w:p>
    <w:bookmarkEnd w:id="64"/>
    <w:p w14:paraId="0E608698" w14:textId="77777777" w:rsidR="009E44EF" w:rsidRPr="00854E56" w:rsidRDefault="009E44EF" w:rsidP="00F425AB">
      <w:pPr>
        <w:pStyle w:val="AmmTitreEncadre"/>
      </w:pPr>
      <w:r w:rsidRPr="00854E56">
        <w:t>12.</w:t>
      </w:r>
      <w:r w:rsidRPr="00854E56">
        <w:tab/>
        <w:t>NUMERO(S) D’AUTORISATION DE MISE SUR LE MARCHE</w:t>
      </w:r>
      <w:bookmarkEnd w:id="65"/>
    </w:p>
    <w:p w14:paraId="28183B81" w14:textId="77777777" w:rsidR="009E44EF" w:rsidRDefault="009E44EF">
      <w:pPr>
        <w:pStyle w:val="AmmCorpsTexte"/>
      </w:pPr>
    </w:p>
    <w:p w14:paraId="44AF85E0" w14:textId="77777777" w:rsidR="009E44EF" w:rsidRPr="00B117FF" w:rsidRDefault="009E44EF" w:rsidP="00F425AB">
      <w:pPr>
        <w:pStyle w:val="AmmTitreEncadre"/>
      </w:pPr>
      <w:bookmarkStart w:id="66" w:name="_Toc142278977"/>
      <w:r w:rsidRPr="004D0B8B">
        <w:t>13.</w:t>
      </w:r>
      <w:r w:rsidRPr="004D0B8B">
        <w:tab/>
        <w:t>NUMERO D</w:t>
      </w:r>
      <w:r w:rsidR="000F0015" w:rsidRPr="00B117FF">
        <w:t>U</w:t>
      </w:r>
      <w:r w:rsidRPr="00B117FF">
        <w:t xml:space="preserve"> LOT</w:t>
      </w:r>
      <w:bookmarkEnd w:id="66"/>
    </w:p>
    <w:p w14:paraId="1CAFBD31" w14:textId="77777777" w:rsidR="009E44EF" w:rsidRPr="004D0B8B" w:rsidRDefault="009E44EF">
      <w:pPr>
        <w:pStyle w:val="AmmCorpsTexte"/>
      </w:pPr>
    </w:p>
    <w:p w14:paraId="1CF9B9F9" w14:textId="77777777" w:rsidR="009E44EF" w:rsidRPr="00854E56" w:rsidRDefault="009E44EF" w:rsidP="00F425AB">
      <w:pPr>
        <w:pStyle w:val="AmmTitreEncadre"/>
      </w:pPr>
      <w:bookmarkStart w:id="67" w:name="_Toc142278978"/>
      <w:r w:rsidRPr="00854E56">
        <w:t>14.</w:t>
      </w:r>
      <w:r w:rsidRPr="00854E56">
        <w:tab/>
        <w:t>CONDITIONS DE PRESCRIPTION ET DE DELIVRANCE</w:t>
      </w:r>
      <w:bookmarkEnd w:id="67"/>
    </w:p>
    <w:p w14:paraId="33604FA3" w14:textId="77777777" w:rsidR="00E6215C" w:rsidRPr="007821DC" w:rsidRDefault="00D615E5" w:rsidP="00E6215C">
      <w:pPr>
        <w:pStyle w:val="AmmCorpsTexte"/>
        <w:rPr>
          <w:color w:val="538135"/>
        </w:rPr>
      </w:pPr>
      <w:bookmarkStart w:id="68" w:name="_Toc142278979"/>
      <w:r w:rsidRPr="008803FB">
        <w:t>Médicament non soumis à prescription médicale.</w:t>
      </w:r>
    </w:p>
    <w:p w14:paraId="10DBF350" w14:textId="77777777" w:rsidR="009E44EF" w:rsidRPr="00854E56" w:rsidRDefault="009E44EF" w:rsidP="00F425AB">
      <w:pPr>
        <w:pStyle w:val="AmmTitreEncadre"/>
      </w:pPr>
      <w:r w:rsidRPr="00854E56">
        <w:t>15.</w:t>
      </w:r>
      <w:r w:rsidRPr="00854E56">
        <w:tab/>
        <w:t>INDICATIONS D’UTILISATION</w:t>
      </w:r>
      <w:bookmarkEnd w:id="68"/>
    </w:p>
    <w:p w14:paraId="61120865" w14:textId="77777777" w:rsidR="008F1105" w:rsidRPr="008F1105" w:rsidRDefault="008F1105" w:rsidP="008F1105">
      <w:pPr>
        <w:spacing w:after="112" w:line="248" w:lineRule="auto"/>
        <w:ind w:left="9" w:right="183" w:hanging="10"/>
        <w:rPr>
          <w:rFonts w:ascii="Arial" w:eastAsia="Arial" w:hAnsi="Arial" w:cs="Arial"/>
          <w:color w:val="000000"/>
          <w:sz w:val="20"/>
          <w:szCs w:val="22"/>
        </w:rPr>
      </w:pPr>
      <w:r w:rsidRPr="008F1105">
        <w:rPr>
          <w:rFonts w:ascii="Arial" w:eastAsia="Arial" w:hAnsi="Arial" w:cs="Arial"/>
          <w:color w:val="000000"/>
          <w:sz w:val="20"/>
          <w:szCs w:val="22"/>
        </w:rPr>
        <w:t xml:space="preserve">Ce médicament contient du paracétamol.  </w:t>
      </w:r>
    </w:p>
    <w:p w14:paraId="0BD8FDB6" w14:textId="59F9BCEF" w:rsidR="008F1105" w:rsidRPr="008F1105" w:rsidRDefault="008F1105" w:rsidP="00CD3D43">
      <w:pPr>
        <w:spacing w:after="120" w:line="247" w:lineRule="auto"/>
        <w:ind w:right="181"/>
        <w:rPr>
          <w:rFonts w:ascii="Arial" w:eastAsia="Arial" w:hAnsi="Arial" w:cs="Arial"/>
          <w:color w:val="000000"/>
          <w:sz w:val="20"/>
          <w:szCs w:val="22"/>
        </w:rPr>
      </w:pPr>
      <w:r w:rsidRPr="008F1105">
        <w:rPr>
          <w:rFonts w:ascii="Arial" w:eastAsia="Arial" w:hAnsi="Arial" w:cs="Arial"/>
          <w:color w:val="000000"/>
          <w:sz w:val="20"/>
          <w:szCs w:val="22"/>
        </w:rPr>
        <w:t xml:space="preserve">Ce médicament est indiqué en cas de douleurs </w:t>
      </w:r>
      <w:r w:rsidR="001D6EB2">
        <w:rPr>
          <w:rFonts w:ascii="Arial" w:eastAsia="Arial" w:hAnsi="Arial" w:cs="Arial"/>
          <w:color w:val="000000"/>
          <w:sz w:val="20"/>
          <w:szCs w:val="22"/>
        </w:rPr>
        <w:t xml:space="preserve">légères à modérées </w:t>
      </w:r>
      <w:r w:rsidRPr="008F1105">
        <w:rPr>
          <w:rFonts w:ascii="Arial" w:eastAsia="Arial" w:hAnsi="Arial" w:cs="Arial"/>
          <w:color w:val="000000"/>
          <w:sz w:val="20"/>
          <w:szCs w:val="22"/>
        </w:rPr>
        <w:t>et/ou fièvre telles que maux de tête, états grippaux, douleurs dentaires, courbatures, règles douloureuses</w:t>
      </w:r>
      <w:r w:rsidR="00805EBB">
        <w:rPr>
          <w:rFonts w:ascii="Arial" w:eastAsia="Arial" w:hAnsi="Arial" w:cs="Arial"/>
          <w:color w:val="000000"/>
          <w:sz w:val="20"/>
          <w:szCs w:val="22"/>
        </w:rPr>
        <w:t xml:space="preserve">, </w:t>
      </w:r>
      <w:r w:rsidR="00805EBB">
        <w:rPr>
          <w:rFonts w:ascii="Arial" w:hAnsi="Arial"/>
          <w:sz w:val="20"/>
        </w:rPr>
        <w:t>poussées douloureuses de l’arthrose</w:t>
      </w:r>
      <w:r w:rsidR="00805EBB" w:rsidRPr="00715C43">
        <w:rPr>
          <w:rFonts w:ascii="Arial" w:hAnsi="Arial"/>
          <w:sz w:val="20"/>
        </w:rPr>
        <w:t>.</w:t>
      </w:r>
    </w:p>
    <w:tbl>
      <w:tblPr>
        <w:tblW w:w="9045" w:type="dxa"/>
        <w:tblInd w:w="108" w:type="dxa"/>
        <w:tblBorders>
          <w:top w:val="single" w:sz="12" w:space="0" w:color="FF0000"/>
          <w:left w:val="single" w:sz="12" w:space="0" w:color="FF0000"/>
          <w:bottom w:val="single" w:sz="12" w:space="0" w:color="FF0000"/>
          <w:right w:val="single" w:sz="12" w:space="0" w:color="FF0000"/>
        </w:tblBorders>
        <w:tblCellMar>
          <w:top w:w="28" w:type="dxa"/>
          <w:left w:w="0" w:type="dxa"/>
          <w:right w:w="115" w:type="dxa"/>
        </w:tblCellMar>
        <w:tblLook w:val="04A0" w:firstRow="1" w:lastRow="0" w:firstColumn="1" w:lastColumn="0" w:noHBand="0" w:noVBand="1"/>
      </w:tblPr>
      <w:tblGrid>
        <w:gridCol w:w="9045"/>
      </w:tblGrid>
      <w:tr w:rsidR="008F1105" w:rsidRPr="008F1105" w14:paraId="29BB5EEB" w14:textId="77777777" w:rsidTr="001D6EB2">
        <w:trPr>
          <w:trHeight w:val="401"/>
        </w:trPr>
        <w:tc>
          <w:tcPr>
            <w:tcW w:w="9045" w:type="dxa"/>
            <w:shd w:val="clear" w:color="auto" w:fill="auto"/>
          </w:tcPr>
          <w:p w14:paraId="1E89DBA1" w14:textId="43532557" w:rsidR="008F1105" w:rsidRPr="008F1105" w:rsidRDefault="008F1105" w:rsidP="00F63261">
            <w:pPr>
              <w:ind w:left="284" w:right="352" w:hanging="284"/>
              <w:jc w:val="center"/>
              <w:rPr>
                <w:rFonts w:ascii="Arial" w:eastAsia="Arial" w:hAnsi="Arial" w:cs="Arial"/>
                <w:b/>
                <w:bCs/>
                <w:color w:val="000000"/>
                <w:sz w:val="20"/>
                <w:szCs w:val="22"/>
              </w:rPr>
            </w:pPr>
            <w:r w:rsidRPr="008F1105">
              <w:rPr>
                <w:rFonts w:ascii="Arial" w:eastAsia="Arial" w:hAnsi="Arial" w:cs="Arial"/>
                <w:b/>
                <w:bCs/>
                <w:color w:val="FF0000"/>
                <w:sz w:val="20"/>
                <w:szCs w:val="22"/>
              </w:rPr>
              <w:t>ATTENTION</w:t>
            </w:r>
          </w:p>
        </w:tc>
      </w:tr>
      <w:tr w:rsidR="008F1105" w:rsidRPr="008F1105" w14:paraId="3D5174B6" w14:textId="77777777" w:rsidTr="001D6EB2">
        <w:trPr>
          <w:trHeight w:val="503"/>
        </w:trPr>
        <w:tc>
          <w:tcPr>
            <w:tcW w:w="9045" w:type="dxa"/>
            <w:shd w:val="clear" w:color="auto" w:fill="auto"/>
          </w:tcPr>
          <w:p w14:paraId="40FB069C" w14:textId="47980D2E" w:rsidR="001D6EB2" w:rsidRDefault="001D6EB2" w:rsidP="00F63261">
            <w:pPr>
              <w:numPr>
                <w:ilvl w:val="0"/>
                <w:numId w:val="31"/>
              </w:numPr>
              <w:autoSpaceDE w:val="0"/>
              <w:autoSpaceDN w:val="0"/>
              <w:adjustRightInd w:val="0"/>
              <w:ind w:left="714" w:hanging="357"/>
              <w:rPr>
                <w:rFonts w:ascii="Arial" w:hAnsi="Arial" w:cs="Arial"/>
                <w:sz w:val="20"/>
              </w:rPr>
            </w:pPr>
            <w:r>
              <w:rPr>
                <w:rFonts w:ascii="Arial" w:hAnsi="Arial" w:cs="Arial"/>
                <w:sz w:val="20"/>
              </w:rPr>
              <w:t>Réservé à l’adulte et à l’enfant à partir de 50 kg (environ 15 ans)</w:t>
            </w:r>
          </w:p>
          <w:p w14:paraId="519AC117" w14:textId="66DB3C40" w:rsidR="001D6EB2" w:rsidRPr="00F76F4F" w:rsidRDefault="001D6EB2" w:rsidP="001D6EB2">
            <w:pPr>
              <w:numPr>
                <w:ilvl w:val="0"/>
                <w:numId w:val="31"/>
              </w:numPr>
              <w:autoSpaceDE w:val="0"/>
              <w:autoSpaceDN w:val="0"/>
              <w:adjustRightInd w:val="0"/>
              <w:spacing w:line="264" w:lineRule="auto"/>
              <w:rPr>
                <w:rFonts w:ascii="Arial" w:hAnsi="Arial" w:cs="Arial"/>
                <w:sz w:val="20"/>
              </w:rPr>
            </w:pPr>
            <w:r>
              <w:rPr>
                <w:rFonts w:ascii="Arial" w:hAnsi="Arial" w:cs="Arial"/>
                <w:sz w:val="20"/>
              </w:rPr>
              <w:t>P</w:t>
            </w:r>
            <w:r w:rsidRPr="00F76F4F">
              <w:rPr>
                <w:rFonts w:ascii="Arial" w:hAnsi="Arial" w:cs="Arial"/>
                <w:sz w:val="20"/>
              </w:rPr>
              <w:t>ren</w:t>
            </w:r>
            <w:r>
              <w:rPr>
                <w:rFonts w:ascii="Arial" w:hAnsi="Arial" w:cs="Arial"/>
                <w:sz w:val="20"/>
              </w:rPr>
              <w:t>dre 1 seul xxx par prise</w:t>
            </w:r>
            <w:r w:rsidRPr="00F76F4F">
              <w:rPr>
                <w:rFonts w:ascii="Arial" w:hAnsi="Arial" w:cs="Arial"/>
                <w:sz w:val="20"/>
              </w:rPr>
              <w:t>.</w:t>
            </w:r>
          </w:p>
          <w:p w14:paraId="51D3DACD" w14:textId="77777777" w:rsidR="008F1105" w:rsidRPr="008F1105" w:rsidRDefault="008F1105" w:rsidP="001D6EB2">
            <w:pPr>
              <w:numPr>
                <w:ilvl w:val="0"/>
                <w:numId w:val="31"/>
              </w:numPr>
              <w:ind w:right="181"/>
              <w:jc w:val="left"/>
              <w:rPr>
                <w:rFonts w:ascii="Arial" w:eastAsia="Arial" w:hAnsi="Arial" w:cs="Arial"/>
                <w:color w:val="000000"/>
                <w:sz w:val="20"/>
                <w:szCs w:val="22"/>
              </w:rPr>
            </w:pPr>
            <w:r w:rsidRPr="008F1105">
              <w:rPr>
                <w:rFonts w:ascii="Arial" w:eastAsia="Arial" w:hAnsi="Arial" w:cs="Arial"/>
                <w:color w:val="000000"/>
                <w:sz w:val="20"/>
                <w:szCs w:val="22"/>
              </w:rPr>
              <w:t xml:space="preserve">Espacer les prises d’au moins 4 heures.  </w:t>
            </w:r>
          </w:p>
          <w:p w14:paraId="477DB9E6" w14:textId="77777777" w:rsidR="008F1105" w:rsidRPr="001D6EB2" w:rsidRDefault="008F1105" w:rsidP="00F63261">
            <w:pPr>
              <w:numPr>
                <w:ilvl w:val="0"/>
                <w:numId w:val="31"/>
              </w:numPr>
              <w:ind w:right="181"/>
              <w:jc w:val="left"/>
              <w:rPr>
                <w:rFonts w:ascii="Arial" w:eastAsia="Arial" w:hAnsi="Arial" w:cs="Arial"/>
                <w:color w:val="000000"/>
                <w:sz w:val="20"/>
                <w:szCs w:val="22"/>
              </w:rPr>
            </w:pPr>
            <w:r w:rsidRPr="00F63261">
              <w:rPr>
                <w:rFonts w:ascii="Arial" w:eastAsia="Arial" w:hAnsi="Arial" w:cs="Arial"/>
                <w:color w:val="000000"/>
                <w:sz w:val="20"/>
                <w:szCs w:val="22"/>
              </w:rPr>
              <w:t>Ne pas dépasser 3 xxx</w:t>
            </w:r>
            <w:r w:rsidRPr="001D6EB2">
              <w:rPr>
                <w:rFonts w:ascii="Arial" w:eastAsia="Arial" w:hAnsi="Arial" w:cs="Arial"/>
                <w:color w:val="000000"/>
                <w:sz w:val="20"/>
                <w:szCs w:val="22"/>
              </w:rPr>
              <w:t xml:space="preserve"> par jour sans avis médical.  </w:t>
            </w:r>
          </w:p>
        </w:tc>
      </w:tr>
      <w:tr w:rsidR="008F1105" w:rsidRPr="008F1105" w14:paraId="408104FA" w14:textId="77777777" w:rsidTr="001D6EB2">
        <w:trPr>
          <w:trHeight w:val="309"/>
        </w:trPr>
        <w:tc>
          <w:tcPr>
            <w:tcW w:w="9045" w:type="dxa"/>
            <w:shd w:val="clear" w:color="auto" w:fill="auto"/>
          </w:tcPr>
          <w:p w14:paraId="78F740E2" w14:textId="77777777" w:rsidR="008F1105" w:rsidRPr="008F1105" w:rsidRDefault="008F1105" w:rsidP="00F63261">
            <w:pPr>
              <w:numPr>
                <w:ilvl w:val="0"/>
                <w:numId w:val="31"/>
              </w:numPr>
              <w:ind w:left="714" w:right="181" w:hanging="357"/>
              <w:jc w:val="left"/>
              <w:rPr>
                <w:rFonts w:ascii="Arial" w:eastAsia="Arial" w:hAnsi="Arial" w:cs="Arial"/>
                <w:color w:val="000000"/>
                <w:sz w:val="20"/>
                <w:szCs w:val="22"/>
              </w:rPr>
            </w:pPr>
            <w:r w:rsidRPr="008F1105">
              <w:rPr>
                <w:rFonts w:ascii="Arial" w:eastAsia="Arial" w:hAnsi="Arial" w:cs="Arial"/>
                <w:color w:val="000000"/>
                <w:sz w:val="20"/>
                <w:szCs w:val="22"/>
              </w:rPr>
              <w:t xml:space="preserve">Ne pas prendre un autre médicament contenant du paracétamol.  </w:t>
            </w:r>
          </w:p>
        </w:tc>
      </w:tr>
    </w:tbl>
    <w:p w14:paraId="30A8D3CC" w14:textId="77777777" w:rsidR="001B79CA" w:rsidRPr="007821DC" w:rsidRDefault="001B79CA" w:rsidP="008F1105">
      <w:pPr>
        <w:pStyle w:val="AmmCorpsTexte"/>
        <w:rPr>
          <w:color w:val="538135"/>
        </w:rPr>
      </w:pPr>
    </w:p>
    <w:p w14:paraId="57D1FEF1" w14:textId="77777777" w:rsidR="009E44EF" w:rsidRPr="00854E56" w:rsidRDefault="009E44EF" w:rsidP="00F425AB">
      <w:pPr>
        <w:pStyle w:val="AmmTitreEncadre"/>
      </w:pPr>
      <w:bookmarkStart w:id="69" w:name="_Toc142278980"/>
      <w:r w:rsidRPr="00854E56">
        <w:t>16.</w:t>
      </w:r>
      <w:r w:rsidRPr="00854E56">
        <w:tab/>
        <w:t>INFORMATIONS EN BRAILLE</w:t>
      </w:r>
      <w:bookmarkEnd w:id="69"/>
    </w:p>
    <w:p w14:paraId="2E2E487B" w14:textId="77777777" w:rsidR="004C4D7C" w:rsidRPr="00527CC4" w:rsidRDefault="004C4D7C" w:rsidP="004C4D7C">
      <w:pPr>
        <w:pStyle w:val="AmmCorpsTexte"/>
        <w:rPr>
          <w:color w:val="538135"/>
        </w:rPr>
      </w:pPr>
    </w:p>
    <w:p w14:paraId="409F63DC" w14:textId="77777777" w:rsidR="006076D6" w:rsidRPr="006076D6" w:rsidRDefault="006076D6" w:rsidP="006076D6">
      <w:pPr>
        <w:pStyle w:val="AmmCorpsTexte"/>
        <w:pBdr>
          <w:top w:val="single" w:sz="4" w:space="1" w:color="auto"/>
          <w:left w:val="single" w:sz="4" w:space="4" w:color="auto"/>
          <w:bottom w:val="single" w:sz="4" w:space="1" w:color="auto"/>
          <w:right w:val="single" w:sz="4" w:space="4" w:color="auto"/>
        </w:pBdr>
      </w:pPr>
      <w:r w:rsidRPr="006076D6">
        <w:rPr>
          <w:b/>
        </w:rPr>
        <w:t>1</w:t>
      </w:r>
      <w:r>
        <w:rPr>
          <w:b/>
        </w:rPr>
        <w:t>7</w:t>
      </w:r>
      <w:r w:rsidRPr="006076D6">
        <w:rPr>
          <w:b/>
        </w:rPr>
        <w:t>. IDENTIFIANT UNIQUE - CODE-BARRES 2D</w:t>
      </w:r>
    </w:p>
    <w:p w14:paraId="3DC6CC35" w14:textId="77777777" w:rsidR="006076D6" w:rsidRPr="006076D6" w:rsidRDefault="006076D6" w:rsidP="008F1105">
      <w:pPr>
        <w:pStyle w:val="AmmCorpsTexte"/>
      </w:pPr>
      <w:r w:rsidRPr="006076D6">
        <w:t xml:space="preserve"> </w:t>
      </w:r>
    </w:p>
    <w:p w14:paraId="0E94EC91" w14:textId="77777777" w:rsidR="006076D6" w:rsidRPr="006076D6" w:rsidRDefault="006076D6" w:rsidP="006076D6">
      <w:pPr>
        <w:pStyle w:val="AmmCorpsTexte"/>
        <w:pBdr>
          <w:top w:val="single" w:sz="4" w:space="1" w:color="auto"/>
          <w:left w:val="single" w:sz="4" w:space="4" w:color="auto"/>
          <w:bottom w:val="single" w:sz="4" w:space="1" w:color="auto"/>
          <w:right w:val="single" w:sz="4" w:space="4" w:color="auto"/>
        </w:pBdr>
      </w:pPr>
      <w:r>
        <w:rPr>
          <w:b/>
        </w:rPr>
        <w:t>18</w:t>
      </w:r>
      <w:r w:rsidRPr="006076D6">
        <w:rPr>
          <w:b/>
        </w:rPr>
        <w:t>. IDENTIFIANT UNIQUE - DONNÉES LISIBLES PAR LES HUMAINS</w:t>
      </w:r>
    </w:p>
    <w:p w14:paraId="02442BF4" w14:textId="77777777" w:rsidR="006076D6" w:rsidRDefault="006076D6" w:rsidP="008F1105">
      <w:pPr>
        <w:pStyle w:val="AmmCorpsTexte"/>
      </w:pPr>
    </w:p>
    <w:p w14:paraId="0C56E8BD" w14:textId="77777777" w:rsidR="009E44EF" w:rsidRPr="00854E56" w:rsidRDefault="009E44EF" w:rsidP="00F425AB">
      <w:pPr>
        <w:pStyle w:val="AmmTitreEncadre"/>
      </w:pPr>
      <w:r w:rsidRPr="00854E56">
        <w:lastRenderedPageBreak/>
        <w:t>PICTOGRAMME DEVANT FIGURER SUR L’EMBALLAGE EXTERIEUR OU, EN L’ABSENCE D’EMBALLAGE EXTERIEUR, SUR LE CONDITIONNEMENT PRIMAIRE</w:t>
      </w:r>
    </w:p>
    <w:p w14:paraId="7D2B5DDF" w14:textId="77777777" w:rsidR="00FA3EAE" w:rsidRDefault="00FA3EAE" w:rsidP="00E97AA1">
      <w:pPr>
        <w:pStyle w:val="AmmCorpsTexte"/>
      </w:pPr>
    </w:p>
    <w:p w14:paraId="03BD223A" w14:textId="77777777" w:rsidR="009E44EF" w:rsidRPr="007C4C0A" w:rsidRDefault="009E44EF" w:rsidP="007C4C0A">
      <w:pPr>
        <w:pStyle w:val="AmmTitreEncadre"/>
      </w:pPr>
      <w:r w:rsidRPr="00FA3EAE">
        <w:br w:type="page"/>
      </w:r>
      <w:r w:rsidRPr="007C4C0A">
        <w:lastRenderedPageBreak/>
        <w:t>MENTIONS MINIMALES DEVANT FIGURER SUR LES PLAQUETTES OU LES FILMS THERMOSOUDES</w:t>
      </w:r>
    </w:p>
    <w:p w14:paraId="09D6B6C2" w14:textId="77777777" w:rsidR="009E44EF" w:rsidRPr="004810C1" w:rsidRDefault="009E44EF" w:rsidP="004810C1">
      <w:pPr>
        <w:pStyle w:val="AmmCorpsTexte"/>
        <w:rPr>
          <w:sz w:val="2"/>
        </w:rPr>
      </w:pPr>
    </w:p>
    <w:p w14:paraId="0D2DDFFC" w14:textId="77777777" w:rsidR="00522BC7" w:rsidRPr="00854E56" w:rsidRDefault="00522BC7" w:rsidP="00F425AB">
      <w:pPr>
        <w:pStyle w:val="AmmTitreEncadre"/>
      </w:pPr>
      <w:bookmarkStart w:id="70" w:name="_Toc142278981"/>
      <w:bookmarkStart w:id="71" w:name="_Toc142278982"/>
      <w:r w:rsidRPr="00854E56">
        <w:t>NATURE/TYPE Plaquettes / Films</w:t>
      </w:r>
      <w:bookmarkEnd w:id="70"/>
    </w:p>
    <w:p w14:paraId="33F6802B" w14:textId="77777777" w:rsidR="00E6215C" w:rsidRDefault="00E6215C" w:rsidP="00005DB7">
      <w:pPr>
        <w:pStyle w:val="AmmCorpsTexte"/>
      </w:pPr>
    </w:p>
    <w:p w14:paraId="129FBF40" w14:textId="77777777" w:rsidR="009E44EF" w:rsidRPr="00854E56" w:rsidRDefault="009E44EF" w:rsidP="00F425AB">
      <w:pPr>
        <w:pStyle w:val="AmmTitreEncadre"/>
      </w:pPr>
      <w:r w:rsidRPr="00854E56">
        <w:t>1.</w:t>
      </w:r>
      <w:r w:rsidRPr="00854E56">
        <w:tab/>
        <w:t>DENOMINATION DU MEDICAMENT</w:t>
      </w:r>
      <w:bookmarkEnd w:id="71"/>
    </w:p>
    <w:p w14:paraId="1578B49F" w14:textId="77777777" w:rsidR="00E6215C" w:rsidRDefault="00E6215C" w:rsidP="00005DB7">
      <w:pPr>
        <w:pStyle w:val="AmmCorpsTexteGras"/>
      </w:pPr>
      <w:bookmarkStart w:id="72" w:name="_Toc142278983"/>
    </w:p>
    <w:p w14:paraId="52B5FE58" w14:textId="77777777" w:rsidR="009E44EF" w:rsidRPr="00854E56" w:rsidRDefault="009E44EF" w:rsidP="00F425AB">
      <w:pPr>
        <w:pStyle w:val="AmmTitreEncadre"/>
      </w:pPr>
      <w:r w:rsidRPr="00854E56">
        <w:t>2.</w:t>
      </w:r>
      <w:r w:rsidRPr="00854E56">
        <w:tab/>
        <w:t>NOM DU TITULAIRE DE L’AUTORISATION DE MISE SUR LE MARCHE</w:t>
      </w:r>
      <w:bookmarkEnd w:id="72"/>
    </w:p>
    <w:p w14:paraId="2AEB53DB" w14:textId="77777777" w:rsidR="00E65860" w:rsidRPr="00FF0284" w:rsidRDefault="00E65860" w:rsidP="00E65860">
      <w:pPr>
        <w:pStyle w:val="AmmCorpsTexteGras"/>
      </w:pPr>
      <w:bookmarkStart w:id="73" w:name="_Toc142278985"/>
      <w:bookmarkStart w:id="74" w:name="_Toc142278986"/>
    </w:p>
    <w:bookmarkEnd w:id="73"/>
    <w:p w14:paraId="20FCC2E4" w14:textId="77777777" w:rsidR="009E44EF" w:rsidRPr="00854E56" w:rsidRDefault="009E44EF" w:rsidP="00F425AB">
      <w:pPr>
        <w:pStyle w:val="AmmTitreEncadre"/>
      </w:pPr>
      <w:r w:rsidRPr="00854E56">
        <w:t>3.</w:t>
      </w:r>
      <w:r w:rsidRPr="00854E56">
        <w:tab/>
        <w:t>DATE DE PEREMPTION</w:t>
      </w:r>
      <w:bookmarkEnd w:id="74"/>
    </w:p>
    <w:p w14:paraId="1BCD5F80" w14:textId="77777777" w:rsidR="009E44EF" w:rsidRDefault="009E44EF" w:rsidP="00005DB7">
      <w:pPr>
        <w:pStyle w:val="AmmCorpsTexte"/>
      </w:pPr>
    </w:p>
    <w:p w14:paraId="30D56D98" w14:textId="77777777" w:rsidR="009E2076" w:rsidRPr="003F09D8" w:rsidRDefault="009E2076" w:rsidP="00F425AB">
      <w:pPr>
        <w:pStyle w:val="AmmTitreEncadre"/>
      </w:pPr>
      <w:r w:rsidRPr="003F09D8">
        <w:t>4.</w:t>
      </w:r>
      <w:r w:rsidRPr="003F09D8">
        <w:tab/>
        <w:t>NUMERO DU LOT</w:t>
      </w:r>
    </w:p>
    <w:p w14:paraId="06DA2DA0" w14:textId="77777777" w:rsidR="009E44EF" w:rsidRDefault="009E44EF" w:rsidP="00005DB7">
      <w:pPr>
        <w:pStyle w:val="AmmCorpsTexte"/>
      </w:pPr>
    </w:p>
    <w:p w14:paraId="7B14F896" w14:textId="77777777" w:rsidR="009E44EF" w:rsidRPr="00854E56" w:rsidRDefault="009E44EF" w:rsidP="00F425AB">
      <w:pPr>
        <w:pStyle w:val="AmmTitreEncadre"/>
      </w:pPr>
      <w:bookmarkStart w:id="75" w:name="_Toc142278988"/>
      <w:r w:rsidRPr="00854E56">
        <w:t>5.</w:t>
      </w:r>
      <w:r w:rsidRPr="00854E56">
        <w:tab/>
        <w:t>AUTRES</w:t>
      </w:r>
      <w:bookmarkEnd w:id="75"/>
    </w:p>
    <w:p w14:paraId="6E918BCC" w14:textId="77777777" w:rsidR="006E7013" w:rsidRDefault="006E7013" w:rsidP="00005DB7">
      <w:pPr>
        <w:pStyle w:val="AmmCorpsTexte"/>
      </w:pPr>
    </w:p>
    <w:p w14:paraId="60AD144F" w14:textId="77777777" w:rsidR="009E44EF" w:rsidRPr="00854E56" w:rsidRDefault="009E44EF" w:rsidP="00F425AB">
      <w:pPr>
        <w:pStyle w:val="AmmTitreEncadre"/>
      </w:pPr>
      <w:r>
        <w:br w:type="page"/>
      </w:r>
      <w:r w:rsidRPr="00854E56">
        <w:lastRenderedPageBreak/>
        <w:t>MENTIONS MINIMALES DEVANT FIGURER SUR LES PETITS CONDITIONNEMENTS PRIMAIRES</w:t>
      </w:r>
    </w:p>
    <w:p w14:paraId="6AF0F6A2" w14:textId="77777777" w:rsidR="009E44EF" w:rsidRPr="004810C1" w:rsidRDefault="009E44EF" w:rsidP="004810C1">
      <w:pPr>
        <w:pStyle w:val="AmmCorpsTexte"/>
        <w:rPr>
          <w:sz w:val="2"/>
        </w:rPr>
      </w:pPr>
    </w:p>
    <w:p w14:paraId="3932A02F" w14:textId="77777777" w:rsidR="00AA2EEF" w:rsidRPr="00854E56" w:rsidRDefault="00AA2EEF" w:rsidP="00F425AB">
      <w:pPr>
        <w:pStyle w:val="AmmTitreEncadre"/>
      </w:pPr>
      <w:bookmarkStart w:id="76" w:name="_Toc142278989"/>
      <w:r w:rsidRPr="00854E56">
        <w:t>NATURE/TYPE Petits conditionnements primaires</w:t>
      </w:r>
      <w:bookmarkEnd w:id="76"/>
    </w:p>
    <w:p w14:paraId="66380450" w14:textId="77777777" w:rsidR="009E44EF" w:rsidRDefault="009E44EF" w:rsidP="00005DB7">
      <w:pPr>
        <w:pStyle w:val="AmmCorpsTexte"/>
      </w:pPr>
    </w:p>
    <w:p w14:paraId="0E0A57B8" w14:textId="77777777" w:rsidR="009E44EF" w:rsidRPr="00854E56" w:rsidRDefault="009E44EF" w:rsidP="00F425AB">
      <w:pPr>
        <w:pStyle w:val="AmmTitreEncadre"/>
      </w:pPr>
      <w:bookmarkStart w:id="77" w:name="_Toc142278990"/>
      <w:r w:rsidRPr="00854E56">
        <w:t>1.</w:t>
      </w:r>
      <w:r w:rsidRPr="00854E56">
        <w:tab/>
        <w:t>DENOMINATION DU MEDICAMENT ET VOIE(S) D’ADMINISTRATION</w:t>
      </w:r>
      <w:bookmarkEnd w:id="77"/>
    </w:p>
    <w:p w14:paraId="3DD3DB7A" w14:textId="77777777" w:rsidR="00E6215C" w:rsidRDefault="00E6215C" w:rsidP="00005DB7">
      <w:pPr>
        <w:pStyle w:val="AmmCorpsTexteGras"/>
      </w:pPr>
      <w:bookmarkStart w:id="78" w:name="_Toc142278991"/>
    </w:p>
    <w:p w14:paraId="0397A28D" w14:textId="77777777" w:rsidR="009E44EF" w:rsidRPr="00854E56" w:rsidRDefault="009E44EF" w:rsidP="00F425AB">
      <w:pPr>
        <w:pStyle w:val="AmmTitreEncadre"/>
      </w:pPr>
      <w:r w:rsidRPr="00854E56">
        <w:t>2.</w:t>
      </w:r>
      <w:r w:rsidRPr="00854E56">
        <w:tab/>
        <w:t>MODE D’ADMINISTRATION</w:t>
      </w:r>
      <w:bookmarkEnd w:id="78"/>
    </w:p>
    <w:p w14:paraId="6B43BCC8" w14:textId="77777777" w:rsidR="009E44EF" w:rsidRDefault="009E44EF">
      <w:pPr>
        <w:pStyle w:val="AmmCorpsTexte"/>
      </w:pPr>
    </w:p>
    <w:p w14:paraId="20AE4263" w14:textId="77777777" w:rsidR="009E44EF" w:rsidRPr="00854E56" w:rsidRDefault="009E44EF" w:rsidP="00F425AB">
      <w:pPr>
        <w:pStyle w:val="AmmTitreEncadre"/>
      </w:pPr>
      <w:bookmarkStart w:id="79" w:name="_Toc142278992"/>
      <w:r w:rsidRPr="00854E56">
        <w:t>3.</w:t>
      </w:r>
      <w:r w:rsidRPr="00854E56">
        <w:tab/>
        <w:t>DATE DE PEREMPTION</w:t>
      </w:r>
      <w:bookmarkEnd w:id="79"/>
    </w:p>
    <w:p w14:paraId="5835A203" w14:textId="77777777" w:rsidR="009E44EF" w:rsidRDefault="009E44EF" w:rsidP="00005DB7">
      <w:pPr>
        <w:pStyle w:val="AmmCorpsTexte"/>
      </w:pPr>
    </w:p>
    <w:p w14:paraId="1C9522F6" w14:textId="77777777" w:rsidR="001F18DD" w:rsidRPr="00A87328" w:rsidRDefault="001F18DD" w:rsidP="00F425AB">
      <w:pPr>
        <w:pStyle w:val="AmmTitreEncadre"/>
      </w:pPr>
      <w:r w:rsidRPr="00A87328">
        <w:t>4.</w:t>
      </w:r>
      <w:r w:rsidRPr="00A87328">
        <w:tab/>
        <w:t>NUMERO DU LOT</w:t>
      </w:r>
    </w:p>
    <w:p w14:paraId="206AF0FD" w14:textId="77777777" w:rsidR="009E44EF" w:rsidRDefault="009E44EF" w:rsidP="00005DB7">
      <w:pPr>
        <w:pStyle w:val="AmmCorpsTexte"/>
      </w:pPr>
    </w:p>
    <w:p w14:paraId="41ABE789" w14:textId="77777777" w:rsidR="009E44EF" w:rsidRPr="00854E56" w:rsidRDefault="009E44EF" w:rsidP="00F425AB">
      <w:pPr>
        <w:pStyle w:val="AmmTitreEncadre"/>
      </w:pPr>
      <w:bookmarkStart w:id="80" w:name="_Toc142278994"/>
      <w:r w:rsidRPr="00854E56">
        <w:t>5.</w:t>
      </w:r>
      <w:r w:rsidRPr="00854E56">
        <w:tab/>
        <w:t>CONTENU EN POIDS, VOLUME OU UNITE</w:t>
      </w:r>
      <w:bookmarkEnd w:id="80"/>
    </w:p>
    <w:p w14:paraId="7ADE5380" w14:textId="77777777" w:rsidR="009E44EF" w:rsidRDefault="009E44EF">
      <w:pPr>
        <w:pStyle w:val="AmmCorpsTexte"/>
      </w:pPr>
    </w:p>
    <w:p w14:paraId="3E364272" w14:textId="77777777" w:rsidR="009E44EF" w:rsidRPr="00854E56" w:rsidRDefault="009E44EF" w:rsidP="00F425AB">
      <w:pPr>
        <w:pStyle w:val="AmmTitreEncadre"/>
      </w:pPr>
      <w:bookmarkStart w:id="81" w:name="_Toc142278995"/>
      <w:r w:rsidRPr="00854E56">
        <w:t>6.</w:t>
      </w:r>
      <w:r w:rsidRPr="00854E56">
        <w:tab/>
        <w:t>AUTRES</w:t>
      </w:r>
      <w:bookmarkEnd w:id="81"/>
    </w:p>
    <w:p w14:paraId="429FED73" w14:textId="77777777" w:rsidR="00FC4862" w:rsidRDefault="00FC4862" w:rsidP="00005DB7">
      <w:pPr>
        <w:pStyle w:val="AmmCorpsTexte"/>
      </w:pPr>
    </w:p>
    <w:p w14:paraId="0C652D0C" w14:textId="77777777" w:rsidR="009E44EF" w:rsidRDefault="009E44EF">
      <w:pPr>
        <w:pStyle w:val="AmmAnnexeTitre"/>
      </w:pPr>
      <w:r>
        <w:br w:type="page"/>
      </w:r>
      <w:bookmarkStart w:id="82" w:name="_Toc142278996"/>
      <w:r>
        <w:lastRenderedPageBreak/>
        <w:t>ANNEXE IIIB</w:t>
      </w:r>
      <w:bookmarkEnd w:id="82"/>
    </w:p>
    <w:p w14:paraId="207DD7CA" w14:textId="77777777" w:rsidR="009E44EF" w:rsidRDefault="009E44EF">
      <w:pPr>
        <w:pStyle w:val="AmmAnnexeSousTitre"/>
        <w:rPr>
          <w:caps w:val="0"/>
        </w:rPr>
      </w:pPr>
      <w:bookmarkStart w:id="83" w:name="_Toc142278997"/>
      <w:r>
        <w:rPr>
          <w:caps w:val="0"/>
        </w:rPr>
        <w:t>NOTICE : INFORMATION DE L’UTILISATEUR</w:t>
      </w:r>
      <w:bookmarkEnd w:id="83"/>
    </w:p>
    <w:p w14:paraId="16CC1D3A" w14:textId="77777777" w:rsidR="008656C7" w:rsidRDefault="008656C7" w:rsidP="003E18E9">
      <w:pPr>
        <w:pStyle w:val="AmmNoticeTitre1"/>
      </w:pPr>
      <w:bookmarkStart w:id="84" w:name="_Toc142278998"/>
      <w:r>
        <w:t>Dénomination du médicament</w:t>
      </w:r>
      <w:bookmarkEnd w:id="84"/>
    </w:p>
    <w:p w14:paraId="2F8A006E" w14:textId="77777777" w:rsidR="00BB5BF4" w:rsidRPr="00CE5BDC" w:rsidRDefault="000B6782" w:rsidP="00CA5AFE">
      <w:pPr>
        <w:pStyle w:val="AmmCorpsTexteGras"/>
        <w:jc w:val="center"/>
      </w:pPr>
      <w:bookmarkStart w:id="85" w:name="_Toc142278999"/>
      <w:r w:rsidRPr="00CE5BDC">
        <w:rPr>
          <w:highlight w:val="yellow"/>
        </w:rPr>
        <w:t>XXX 1000 mg, xxx</w:t>
      </w:r>
    </w:p>
    <w:p w14:paraId="5C3F44F1" w14:textId="77777777" w:rsidR="00E6215C" w:rsidRPr="00CE5BDC" w:rsidRDefault="000B6782" w:rsidP="00CA5AFE">
      <w:pPr>
        <w:pStyle w:val="AmmCorpsTexteGras"/>
        <w:jc w:val="center"/>
      </w:pPr>
      <w:r w:rsidRPr="00CE5BDC">
        <w:t>Paracétamol</w:t>
      </w:r>
    </w:p>
    <w:p w14:paraId="0244A83F" w14:textId="77777777" w:rsidR="002B127C" w:rsidRPr="00CE5BDC" w:rsidRDefault="009E44EF" w:rsidP="00CE5BDC">
      <w:pPr>
        <w:pStyle w:val="AmmNoticeTitre1"/>
      </w:pPr>
      <w:r>
        <w:t>Encadré</w:t>
      </w:r>
      <w:bookmarkStart w:id="86" w:name="_Toc142279000"/>
      <w:bookmarkEnd w:id="85"/>
    </w:p>
    <w:bookmarkEnd w:id="86"/>
    <w:p w14:paraId="1EF7326F" w14:textId="77777777" w:rsidR="00CE5BDC" w:rsidRPr="00CE5BDC" w:rsidRDefault="00CE5BDC" w:rsidP="00CE5BDC">
      <w:pPr>
        <w:spacing w:before="120" w:after="120"/>
        <w:rPr>
          <w:rFonts w:ascii="Arial" w:hAnsi="Arial"/>
          <w:b/>
          <w:bCs/>
          <w:sz w:val="20"/>
          <w:lang w:val="fr-BE"/>
        </w:rPr>
      </w:pPr>
      <w:r w:rsidRPr="00CE5BDC">
        <w:rPr>
          <w:rFonts w:ascii="Arial" w:hAnsi="Arial"/>
          <w:b/>
          <w:bCs/>
          <w:sz w:val="20"/>
          <w:lang w:val="fr-BE"/>
        </w:rPr>
        <w:t>Veuillez lire attentivement cette notice avant de prendre ce médicament car elle contient des informations importantes pour vous.</w:t>
      </w:r>
    </w:p>
    <w:p w14:paraId="0C5692FD" w14:textId="61498226" w:rsidR="00CE5BDC" w:rsidRPr="00CE5BDC" w:rsidRDefault="00CE5BDC" w:rsidP="00CE5BDC">
      <w:pPr>
        <w:spacing w:after="120"/>
        <w:rPr>
          <w:rFonts w:ascii="Arial" w:hAnsi="Arial"/>
          <w:sz w:val="20"/>
          <w:lang w:val="fr-BE"/>
        </w:rPr>
      </w:pPr>
      <w:r w:rsidRPr="00CE5BDC">
        <w:rPr>
          <w:rFonts w:ascii="Arial" w:hAnsi="Arial"/>
          <w:sz w:val="20"/>
          <w:lang w:val="fr-BE"/>
        </w:rPr>
        <w:t>Vous devez toujours prendre ce médicament en suivant scrupuleusement les informations fournies dans cette notice ou par votre médecin</w:t>
      </w:r>
      <w:r w:rsidR="001D6EB2">
        <w:rPr>
          <w:rFonts w:ascii="Arial" w:hAnsi="Arial"/>
          <w:sz w:val="20"/>
          <w:lang w:val="fr-BE"/>
        </w:rPr>
        <w:t xml:space="preserve"> </w:t>
      </w:r>
      <w:r w:rsidR="001D6EB2" w:rsidRPr="001D6EB2">
        <w:rPr>
          <w:rFonts w:ascii="Arial" w:hAnsi="Arial"/>
          <w:sz w:val="20"/>
          <w:lang w:val="fr-BE"/>
        </w:rPr>
        <w:t>ou votre pharmacien</w:t>
      </w:r>
      <w:r w:rsidRPr="00CE5BDC">
        <w:rPr>
          <w:rFonts w:ascii="Arial" w:hAnsi="Arial"/>
          <w:sz w:val="20"/>
          <w:lang w:val="fr-BE"/>
        </w:rPr>
        <w:t>.</w:t>
      </w:r>
    </w:p>
    <w:p w14:paraId="7051A30A" w14:textId="77777777" w:rsidR="00CE5BDC" w:rsidRPr="00CE5BDC" w:rsidRDefault="00CE5BDC" w:rsidP="00CE5BDC">
      <w:pPr>
        <w:numPr>
          <w:ilvl w:val="0"/>
          <w:numId w:val="13"/>
        </w:numPr>
        <w:jc w:val="left"/>
        <w:rPr>
          <w:rFonts w:ascii="Arial" w:hAnsi="Arial"/>
          <w:sz w:val="20"/>
          <w:lang w:val="fr-BE"/>
        </w:rPr>
      </w:pPr>
      <w:r w:rsidRPr="00CE5BDC">
        <w:rPr>
          <w:rFonts w:ascii="Arial" w:hAnsi="Arial"/>
          <w:sz w:val="20"/>
          <w:lang w:val="fr-BE"/>
        </w:rPr>
        <w:t>Gardez cette notice. Vous pourriez avoir besoin de la relire.</w:t>
      </w:r>
    </w:p>
    <w:p w14:paraId="06E89A24" w14:textId="77777777" w:rsidR="00CE5BDC" w:rsidRPr="00CE5BDC" w:rsidRDefault="00CE5BDC" w:rsidP="00CE5BDC">
      <w:pPr>
        <w:numPr>
          <w:ilvl w:val="0"/>
          <w:numId w:val="13"/>
        </w:numPr>
        <w:jc w:val="left"/>
        <w:rPr>
          <w:rFonts w:ascii="Arial" w:hAnsi="Arial"/>
          <w:sz w:val="20"/>
          <w:lang w:val="fr-BE"/>
        </w:rPr>
      </w:pPr>
      <w:r w:rsidRPr="00CE5BDC">
        <w:rPr>
          <w:rFonts w:ascii="Arial" w:hAnsi="Arial"/>
          <w:sz w:val="20"/>
          <w:lang w:val="fr-BE"/>
        </w:rPr>
        <w:t>Adressez-vous à votre pharmacien pour tout conseil ou information.</w:t>
      </w:r>
    </w:p>
    <w:p w14:paraId="246E12F3" w14:textId="7BB74207" w:rsidR="00CE5BDC" w:rsidRPr="00CE5BDC" w:rsidRDefault="00CE5BDC" w:rsidP="00CE5BDC">
      <w:pPr>
        <w:numPr>
          <w:ilvl w:val="0"/>
          <w:numId w:val="13"/>
        </w:numPr>
        <w:jc w:val="left"/>
        <w:rPr>
          <w:rFonts w:ascii="Arial" w:hAnsi="Arial"/>
          <w:b/>
          <w:sz w:val="20"/>
          <w:lang w:val="fr-BE"/>
        </w:rPr>
      </w:pPr>
      <w:r w:rsidRPr="00CE5BDC">
        <w:rPr>
          <w:rFonts w:ascii="Arial" w:hAnsi="Arial"/>
          <w:sz w:val="20"/>
          <w:lang w:val="fr-BE"/>
        </w:rPr>
        <w:t>Si vous ressentez un quelconque effet indésirable, parlez-en à votre médecin ou votre pharmacien. Ceci s’applique aussi à tout effet indésirable qui ne serait pas mentionné dans cette notice.</w:t>
      </w:r>
      <w:r w:rsidRPr="00CE5BDC">
        <w:rPr>
          <w:rFonts w:ascii="Arial" w:hAnsi="Arial"/>
          <w:noProof/>
          <w:sz w:val="20"/>
          <w:lang w:val="fr-BE"/>
        </w:rPr>
        <w:t xml:space="preserve"> </w:t>
      </w:r>
      <w:r w:rsidRPr="00CE5BDC">
        <w:rPr>
          <w:rFonts w:ascii="Arial" w:hAnsi="Arial"/>
          <w:noProof/>
          <w:sz w:val="20"/>
        </w:rPr>
        <w:t>Voir rubrique 4.</w:t>
      </w:r>
    </w:p>
    <w:p w14:paraId="2DD9ACC6" w14:textId="77777777" w:rsidR="00CE5BDC" w:rsidRPr="00CE5BDC" w:rsidRDefault="00CE5BDC" w:rsidP="00CE5BDC">
      <w:pPr>
        <w:numPr>
          <w:ilvl w:val="0"/>
          <w:numId w:val="13"/>
        </w:numPr>
        <w:jc w:val="left"/>
        <w:rPr>
          <w:rFonts w:ascii="Arial" w:hAnsi="Arial"/>
          <w:sz w:val="20"/>
        </w:rPr>
      </w:pPr>
      <w:r w:rsidRPr="00CE5BDC">
        <w:rPr>
          <w:rFonts w:ascii="Arial" w:hAnsi="Arial"/>
          <w:sz w:val="20"/>
        </w:rPr>
        <w:t xml:space="preserve">Vous devez vous adresser à votre médecin si </w:t>
      </w:r>
      <w:r w:rsidRPr="00D56A81">
        <w:rPr>
          <w:rFonts w:ascii="Arial" w:hAnsi="Arial"/>
          <w:sz w:val="20"/>
        </w:rPr>
        <w:t>la douleur persiste plus de 5 jours, ou la fièvre plus de 3 jours,</w:t>
      </w:r>
      <w:r w:rsidRPr="00CE5BDC">
        <w:rPr>
          <w:rFonts w:ascii="Arial" w:hAnsi="Arial"/>
          <w:sz w:val="20"/>
        </w:rPr>
        <w:t xml:space="preserve"> ou en cas d’efficacité insuffisante ou de survenue de tout autre signe.</w:t>
      </w:r>
    </w:p>
    <w:p w14:paraId="12C60020" w14:textId="77777777" w:rsidR="009E44EF" w:rsidRPr="00EF742F" w:rsidRDefault="001B79CA" w:rsidP="003E18E9">
      <w:pPr>
        <w:pStyle w:val="AmmNoticeTitre1"/>
        <w:rPr>
          <w:color w:val="000000"/>
        </w:rPr>
      </w:pPr>
      <w:r>
        <w:t xml:space="preserve">Que contient </w:t>
      </w:r>
      <w:r w:rsidR="0038380A">
        <w:t xml:space="preserve">cette </w:t>
      </w:r>
      <w:r w:rsidR="0038380A" w:rsidRPr="003E18E9">
        <w:t>notice</w:t>
      </w:r>
      <w:r w:rsidR="00F71DD1" w:rsidRPr="003E18E9">
        <w:t> ?</w:t>
      </w:r>
    </w:p>
    <w:p w14:paraId="50FF7715" w14:textId="77777777" w:rsidR="00CE5BDC" w:rsidRPr="005A5292" w:rsidRDefault="00CE5BDC" w:rsidP="00CE5BDC">
      <w:pPr>
        <w:pStyle w:val="AmmCorpsTexte"/>
        <w:spacing w:after="0"/>
        <w:ind w:left="284" w:hanging="284"/>
        <w:rPr>
          <w:rFonts w:ascii="Times New Roman" w:hAnsi="Times New Roman"/>
          <w:sz w:val="22"/>
          <w:lang w:eastAsia="en-US"/>
        </w:rPr>
      </w:pPr>
      <w:bookmarkStart w:id="87" w:name="_Toc142279001"/>
      <w:r>
        <w:t>1.</w:t>
      </w:r>
      <w:r>
        <w:tab/>
      </w:r>
      <w:r w:rsidRPr="005A5292">
        <w:t xml:space="preserve">Qu'est-ce que </w:t>
      </w:r>
      <w:r w:rsidRPr="005A5292">
        <w:rPr>
          <w:noProof/>
        </w:rPr>
        <w:t>xxx</w:t>
      </w:r>
      <w:r w:rsidRPr="005A5292">
        <w:t xml:space="preserve"> et dans quels cas est-il utilisé ?</w:t>
      </w:r>
    </w:p>
    <w:p w14:paraId="738847F4" w14:textId="77777777" w:rsidR="00CE5BDC" w:rsidRPr="005A5292" w:rsidRDefault="00CE5BDC" w:rsidP="00CE5BDC">
      <w:pPr>
        <w:pStyle w:val="AmmCorpsTexte"/>
        <w:spacing w:after="0"/>
        <w:ind w:left="284" w:hanging="284"/>
        <w:rPr>
          <w:rFonts w:ascii="Times New Roman" w:hAnsi="Times New Roman"/>
          <w:sz w:val="22"/>
          <w:lang w:eastAsia="en-US"/>
        </w:rPr>
      </w:pPr>
      <w:r w:rsidRPr="005A5292">
        <w:t>2.</w:t>
      </w:r>
      <w:r w:rsidRPr="005A5292">
        <w:tab/>
        <w:t xml:space="preserve">Quelles sont les </w:t>
      </w:r>
      <w:r>
        <w:t>informations à connaître avant de prendre</w:t>
      </w:r>
      <w:r w:rsidRPr="005A5292">
        <w:t xml:space="preserve"> </w:t>
      </w:r>
      <w:r w:rsidRPr="005A5292">
        <w:rPr>
          <w:noProof/>
        </w:rPr>
        <w:t>xxx</w:t>
      </w:r>
      <w:r w:rsidRPr="005A5292">
        <w:t xml:space="preserve"> ?</w:t>
      </w:r>
    </w:p>
    <w:p w14:paraId="4E3D47FD" w14:textId="77777777" w:rsidR="00CE5BDC" w:rsidRPr="005A5292" w:rsidRDefault="00CE5BDC" w:rsidP="00CE5BDC">
      <w:pPr>
        <w:pStyle w:val="AmmCorpsTexte"/>
        <w:spacing w:after="0"/>
        <w:ind w:left="284" w:hanging="284"/>
        <w:rPr>
          <w:rFonts w:ascii="Times New Roman" w:hAnsi="Times New Roman"/>
          <w:sz w:val="22"/>
          <w:lang w:eastAsia="en-US"/>
        </w:rPr>
      </w:pPr>
      <w:r>
        <w:t>3.</w:t>
      </w:r>
      <w:r>
        <w:tab/>
        <w:t>Comment prendre</w:t>
      </w:r>
      <w:r w:rsidRPr="005A5292">
        <w:t xml:space="preserve"> </w:t>
      </w:r>
      <w:r w:rsidRPr="005A5292">
        <w:rPr>
          <w:noProof/>
        </w:rPr>
        <w:t>xxx</w:t>
      </w:r>
      <w:r w:rsidRPr="005A5292">
        <w:t xml:space="preserve"> ?</w:t>
      </w:r>
    </w:p>
    <w:p w14:paraId="1FFF8190" w14:textId="77777777" w:rsidR="00CE5BDC" w:rsidRPr="005A5292" w:rsidRDefault="00CE5BDC" w:rsidP="00CE5BDC">
      <w:pPr>
        <w:pStyle w:val="AmmCorpsTexte"/>
        <w:spacing w:after="0"/>
        <w:ind w:left="284" w:hanging="284"/>
        <w:rPr>
          <w:rFonts w:ascii="Times New Roman" w:hAnsi="Times New Roman"/>
          <w:sz w:val="22"/>
          <w:lang w:eastAsia="en-US"/>
        </w:rPr>
      </w:pPr>
      <w:r w:rsidRPr="005A5292">
        <w:t>4.</w:t>
      </w:r>
      <w:r w:rsidRPr="005A5292">
        <w:tab/>
        <w:t>Quels sont les effets indésirables éventuels ?</w:t>
      </w:r>
    </w:p>
    <w:p w14:paraId="281A442F" w14:textId="77777777" w:rsidR="00CE5BDC" w:rsidRPr="005A5292" w:rsidRDefault="00CE5BDC" w:rsidP="00CE5BDC">
      <w:pPr>
        <w:pStyle w:val="AmmCorpsTexte"/>
        <w:spacing w:after="0"/>
        <w:ind w:left="284" w:hanging="284"/>
        <w:rPr>
          <w:rFonts w:ascii="Times New Roman" w:hAnsi="Times New Roman"/>
          <w:sz w:val="22"/>
          <w:lang w:eastAsia="en-US"/>
        </w:rPr>
      </w:pPr>
      <w:r w:rsidRPr="005A5292">
        <w:t>5.</w:t>
      </w:r>
      <w:r w:rsidRPr="005A5292">
        <w:tab/>
        <w:t xml:space="preserve">Comment conserver </w:t>
      </w:r>
      <w:r w:rsidRPr="005A5292">
        <w:rPr>
          <w:noProof/>
        </w:rPr>
        <w:t>xxx</w:t>
      </w:r>
      <w:r w:rsidRPr="005A5292">
        <w:t xml:space="preserve"> ?</w:t>
      </w:r>
    </w:p>
    <w:p w14:paraId="12B694DF" w14:textId="77777777" w:rsidR="00CE5BDC" w:rsidRPr="00EF742F" w:rsidRDefault="00CE5BDC" w:rsidP="00CE5BDC">
      <w:pPr>
        <w:pStyle w:val="AmmCorpsTexte"/>
        <w:spacing w:after="0"/>
        <w:ind w:left="284" w:hanging="284"/>
        <w:rPr>
          <w:color w:val="000000"/>
        </w:rPr>
      </w:pPr>
      <w:r w:rsidRPr="00EF742F">
        <w:rPr>
          <w:color w:val="000000"/>
        </w:rPr>
        <w:t>6.</w:t>
      </w:r>
      <w:r w:rsidRPr="00EF742F">
        <w:rPr>
          <w:color w:val="000000"/>
        </w:rPr>
        <w:tab/>
        <w:t>Contenu de l’emballage et autres informations.</w:t>
      </w:r>
    </w:p>
    <w:p w14:paraId="0179E1AB" w14:textId="77777777" w:rsidR="009E44EF" w:rsidRDefault="009E44EF">
      <w:pPr>
        <w:pStyle w:val="AmmAnnexeTitre1"/>
        <w:rPr>
          <w:caps w:val="0"/>
        </w:rPr>
      </w:pPr>
      <w:r>
        <w:rPr>
          <w:caps w:val="0"/>
        </w:rPr>
        <w:t>1.</w:t>
      </w:r>
      <w:r>
        <w:rPr>
          <w:caps w:val="0"/>
        </w:rPr>
        <w:tab/>
        <w:t>QU’EST-CE QUE xxx ET DANS QUELS CAS EST-IL UTILISE ?</w:t>
      </w:r>
      <w:bookmarkEnd w:id="87"/>
    </w:p>
    <w:p w14:paraId="3BD30881" w14:textId="77777777" w:rsidR="00CE5BDC" w:rsidRDefault="00CE5BDC" w:rsidP="00CE5BDC">
      <w:pPr>
        <w:pStyle w:val="AmmCorpsTexte"/>
      </w:pPr>
      <w:bookmarkStart w:id="88" w:name="_Toc142279003"/>
      <w:r>
        <w:t>Classe pharmacothérapeutique - code ATC : N02BE01</w:t>
      </w:r>
    </w:p>
    <w:p w14:paraId="29FA1D39" w14:textId="77777777" w:rsidR="00CE5BDC" w:rsidRDefault="00CE5BDC" w:rsidP="00CE5BDC">
      <w:pPr>
        <w:pStyle w:val="AmmCorpsTexte"/>
      </w:pPr>
      <w:bookmarkStart w:id="89" w:name="_Toc142279004"/>
      <w:bookmarkEnd w:id="88"/>
      <w:r w:rsidRPr="00CE5BDC">
        <w:rPr>
          <w:highlight w:val="yellow"/>
        </w:rPr>
        <w:t>XXX 1000 mg, xxx</w:t>
      </w:r>
      <w:r>
        <w:t xml:space="preserve"> contient du paracétamol. Le paracétamol est un antalgique (calme la douleur) et un antipyrétique (fait baisser la fièvre).</w:t>
      </w:r>
    </w:p>
    <w:p w14:paraId="7B3FE946" w14:textId="2F3E71A2" w:rsidR="00715C43" w:rsidRPr="00715C43" w:rsidRDefault="00715C43" w:rsidP="00715C43">
      <w:pPr>
        <w:spacing w:after="120" w:line="247" w:lineRule="auto"/>
        <w:ind w:right="181"/>
        <w:rPr>
          <w:rFonts w:ascii="Arial" w:hAnsi="Arial"/>
          <w:sz w:val="20"/>
        </w:rPr>
      </w:pPr>
      <w:r w:rsidRPr="00715C43">
        <w:rPr>
          <w:rFonts w:ascii="Arial" w:hAnsi="Arial"/>
          <w:sz w:val="20"/>
        </w:rPr>
        <w:t>Ce médicament est indiqué chez</w:t>
      </w:r>
      <w:r w:rsidRPr="00715C43">
        <w:rPr>
          <w:rFonts w:ascii="Arial" w:hAnsi="Arial"/>
          <w:b/>
          <w:bCs/>
          <w:sz w:val="20"/>
        </w:rPr>
        <w:t xml:space="preserve"> </w:t>
      </w:r>
      <w:r w:rsidRPr="00715C43">
        <w:rPr>
          <w:rFonts w:ascii="Arial" w:hAnsi="Arial"/>
          <w:bCs/>
          <w:sz w:val="20"/>
        </w:rPr>
        <w:t>l’adulte et l’enfant à partir de 50 kg (environ 15 ans)</w:t>
      </w:r>
      <w:r w:rsidRPr="00715C43">
        <w:rPr>
          <w:rFonts w:ascii="Arial" w:hAnsi="Arial"/>
          <w:sz w:val="20"/>
        </w:rPr>
        <w:t xml:space="preserve"> pour faire baisser la fièvre et</w:t>
      </w:r>
      <w:r w:rsidR="007E5E85">
        <w:rPr>
          <w:rFonts w:ascii="Arial" w:hAnsi="Arial"/>
          <w:sz w:val="20"/>
        </w:rPr>
        <w:t>/ou</w:t>
      </w:r>
      <w:r w:rsidRPr="00715C43">
        <w:rPr>
          <w:rFonts w:ascii="Arial" w:hAnsi="Arial"/>
          <w:sz w:val="20"/>
        </w:rPr>
        <w:t xml:space="preserve"> soulager les douleurs légères à modérées (par exemple : maux de tête, états grippaux, douleurs dentaires, courbatures, règles douloureuses</w:t>
      </w:r>
      <w:r w:rsidR="00F85897">
        <w:rPr>
          <w:rFonts w:ascii="Arial" w:hAnsi="Arial"/>
          <w:sz w:val="20"/>
        </w:rPr>
        <w:t>, poussées douloureuses de l’arthrose</w:t>
      </w:r>
      <w:r w:rsidRPr="00715C43">
        <w:rPr>
          <w:rFonts w:ascii="Arial" w:hAnsi="Arial"/>
          <w:sz w:val="20"/>
        </w:rPr>
        <w:t xml:space="preserve">).  </w:t>
      </w:r>
    </w:p>
    <w:p w14:paraId="5DE50CE7" w14:textId="77777777" w:rsidR="00715C43" w:rsidRPr="00715C43" w:rsidRDefault="00715C43" w:rsidP="00715C43">
      <w:pPr>
        <w:spacing w:after="120" w:line="247" w:lineRule="auto"/>
        <w:ind w:left="284" w:right="181" w:hanging="284"/>
        <w:rPr>
          <w:rFonts w:ascii="Arial" w:hAnsi="Arial"/>
          <w:sz w:val="20"/>
        </w:rPr>
      </w:pPr>
      <w:r w:rsidRPr="00715C43">
        <w:rPr>
          <w:rFonts w:ascii="Arial" w:hAnsi="Arial"/>
          <w:sz w:val="20"/>
        </w:rPr>
        <w:t xml:space="preserve">Lire attentivement le paragraphe « Posologie » de la rubrique 3.   </w:t>
      </w:r>
    </w:p>
    <w:p w14:paraId="372CD81B" w14:textId="779BD637" w:rsidR="00715C43" w:rsidRPr="00715C43" w:rsidRDefault="00715C43" w:rsidP="00715C43">
      <w:pPr>
        <w:spacing w:after="120" w:line="247" w:lineRule="auto"/>
        <w:ind w:right="181"/>
        <w:rPr>
          <w:rFonts w:ascii="Arial" w:eastAsia="Arial" w:hAnsi="Arial" w:cs="Arial"/>
          <w:color w:val="000000"/>
          <w:sz w:val="20"/>
          <w:szCs w:val="22"/>
        </w:rPr>
      </w:pPr>
      <w:r w:rsidRPr="00715C43">
        <w:rPr>
          <w:rFonts w:ascii="Arial" w:eastAsia="Arial" w:hAnsi="Arial" w:cs="Arial"/>
          <w:color w:val="000000"/>
          <w:sz w:val="20"/>
          <w:szCs w:val="22"/>
        </w:rPr>
        <w:t xml:space="preserve">Pour les </w:t>
      </w:r>
      <w:r w:rsidR="00F042CA">
        <w:rPr>
          <w:rFonts w:ascii="Arial" w:eastAsia="Arial" w:hAnsi="Arial" w:cs="Arial"/>
          <w:color w:val="000000"/>
          <w:sz w:val="20"/>
          <w:szCs w:val="22"/>
        </w:rPr>
        <w:t>enfants</w:t>
      </w:r>
      <w:r w:rsidR="00F042CA" w:rsidRPr="00715C43">
        <w:rPr>
          <w:rFonts w:ascii="Arial" w:eastAsia="Arial" w:hAnsi="Arial" w:cs="Arial"/>
          <w:color w:val="000000"/>
          <w:sz w:val="20"/>
          <w:szCs w:val="22"/>
        </w:rPr>
        <w:t xml:space="preserve"> </w:t>
      </w:r>
      <w:r w:rsidR="00575D93">
        <w:rPr>
          <w:rFonts w:ascii="Arial" w:eastAsia="Arial" w:hAnsi="Arial" w:cs="Arial"/>
          <w:color w:val="000000"/>
          <w:sz w:val="20"/>
          <w:szCs w:val="22"/>
        </w:rPr>
        <w:t>de moins de</w:t>
      </w:r>
      <w:r w:rsidRPr="00715C43">
        <w:rPr>
          <w:rFonts w:ascii="Arial" w:eastAsia="Arial" w:hAnsi="Arial" w:cs="Arial"/>
          <w:color w:val="000000"/>
          <w:sz w:val="20"/>
          <w:szCs w:val="22"/>
        </w:rPr>
        <w:t xml:space="preserve"> 50 kg, il existe d’autre</w:t>
      </w:r>
      <w:r w:rsidR="00CE3485">
        <w:rPr>
          <w:rFonts w:ascii="Arial" w:eastAsia="Arial" w:hAnsi="Arial" w:cs="Arial"/>
          <w:color w:val="000000"/>
          <w:sz w:val="20"/>
          <w:szCs w:val="22"/>
        </w:rPr>
        <w:t>s présentations de paracétamol : d</w:t>
      </w:r>
      <w:r w:rsidRPr="00715C43">
        <w:rPr>
          <w:rFonts w:ascii="Arial" w:eastAsia="Arial" w:hAnsi="Arial" w:cs="Arial"/>
          <w:color w:val="000000"/>
          <w:sz w:val="20"/>
          <w:szCs w:val="22"/>
        </w:rPr>
        <w:t>emandez conseil à votre médecin ou à votre pharmacien</w:t>
      </w:r>
      <w:r w:rsidRPr="00715C43">
        <w:rPr>
          <w:rFonts w:ascii="Arial" w:hAnsi="Arial"/>
          <w:bCs/>
          <w:sz w:val="20"/>
        </w:rPr>
        <w:t xml:space="preserve">.   </w:t>
      </w:r>
    </w:p>
    <w:p w14:paraId="040F07DB" w14:textId="68ECCF82" w:rsidR="009E44EF" w:rsidRDefault="009E44EF">
      <w:pPr>
        <w:pStyle w:val="AmmAnnexeTitre1"/>
        <w:rPr>
          <w:caps w:val="0"/>
        </w:rPr>
      </w:pPr>
      <w:r>
        <w:rPr>
          <w:caps w:val="0"/>
        </w:rPr>
        <w:t>2.</w:t>
      </w:r>
      <w:r>
        <w:rPr>
          <w:caps w:val="0"/>
        </w:rPr>
        <w:tab/>
        <w:t xml:space="preserve">QUELLES SONT LES </w:t>
      </w:r>
      <w:r w:rsidR="00193442">
        <w:rPr>
          <w:caps w:val="0"/>
        </w:rPr>
        <w:t xml:space="preserve">INFORMATIONS A CONNAITRE AVANT DE PRENDRE </w:t>
      </w:r>
      <w:r>
        <w:rPr>
          <w:caps w:val="0"/>
        </w:rPr>
        <w:t>xxx ?</w:t>
      </w:r>
      <w:bookmarkEnd w:id="89"/>
    </w:p>
    <w:p w14:paraId="4FAD1A26" w14:textId="77777777" w:rsidR="00193442" w:rsidRPr="00193442" w:rsidRDefault="00193442" w:rsidP="00193442">
      <w:pPr>
        <w:spacing w:after="120"/>
        <w:rPr>
          <w:rFonts w:ascii="Arial" w:hAnsi="Arial"/>
          <w:b/>
          <w:bCs/>
          <w:sz w:val="20"/>
        </w:rPr>
      </w:pPr>
      <w:bookmarkStart w:id="90" w:name="_Toc142279015"/>
      <w:r w:rsidRPr="00193442">
        <w:rPr>
          <w:rFonts w:ascii="Arial" w:hAnsi="Arial"/>
          <w:b/>
          <w:bCs/>
          <w:sz w:val="20"/>
        </w:rPr>
        <w:t>Ne prenez jamais xxx :</w:t>
      </w:r>
    </w:p>
    <w:p w14:paraId="3ED1097C" w14:textId="311BC58C" w:rsidR="00193442" w:rsidRPr="00193442" w:rsidRDefault="00193442" w:rsidP="00193442">
      <w:pPr>
        <w:numPr>
          <w:ilvl w:val="0"/>
          <w:numId w:val="13"/>
        </w:numPr>
        <w:jc w:val="left"/>
        <w:rPr>
          <w:rFonts w:ascii="Arial" w:hAnsi="Arial"/>
          <w:sz w:val="20"/>
        </w:rPr>
      </w:pPr>
      <w:r w:rsidRPr="00193442">
        <w:rPr>
          <w:rFonts w:ascii="Arial" w:hAnsi="Arial"/>
          <w:sz w:val="20"/>
        </w:rPr>
        <w:t>si vous êtes allergique au paracétamol ou à l’un des autres composants contenus dans ce médicament, mentionnés dans la rubrique 6</w:t>
      </w:r>
      <w:r w:rsidR="001D6EB2">
        <w:rPr>
          <w:rFonts w:ascii="Arial" w:hAnsi="Arial"/>
          <w:sz w:val="20"/>
        </w:rPr>
        <w:t>.</w:t>
      </w:r>
    </w:p>
    <w:p w14:paraId="7465A02D" w14:textId="117656F1" w:rsidR="00193442" w:rsidRPr="00193442" w:rsidRDefault="00193442" w:rsidP="00193442">
      <w:pPr>
        <w:numPr>
          <w:ilvl w:val="0"/>
          <w:numId w:val="13"/>
        </w:numPr>
        <w:jc w:val="left"/>
        <w:rPr>
          <w:rFonts w:ascii="Arial" w:hAnsi="Arial"/>
          <w:sz w:val="20"/>
          <w:lang w:val="fr-BE"/>
        </w:rPr>
      </w:pPr>
      <w:r w:rsidRPr="00193442">
        <w:rPr>
          <w:rFonts w:ascii="Arial" w:hAnsi="Arial"/>
          <w:sz w:val="20"/>
        </w:rPr>
        <w:t>si vous avez une maladie grave du foie</w:t>
      </w:r>
      <w:r w:rsidR="001D6EB2">
        <w:rPr>
          <w:rFonts w:ascii="Arial" w:hAnsi="Arial"/>
          <w:sz w:val="20"/>
          <w:lang w:val="fr-BE"/>
        </w:rPr>
        <w:t>.</w:t>
      </w:r>
    </w:p>
    <w:p w14:paraId="79BEDF25" w14:textId="77777777" w:rsidR="00193442" w:rsidRPr="00193442" w:rsidRDefault="00193442" w:rsidP="00193442">
      <w:pPr>
        <w:ind w:left="360" w:hanging="360"/>
        <w:jc w:val="left"/>
        <w:rPr>
          <w:rFonts w:ascii="Arial" w:hAnsi="Arial"/>
          <w:sz w:val="20"/>
          <w:lang w:val="fr-BE"/>
        </w:rPr>
      </w:pPr>
    </w:p>
    <w:p w14:paraId="2A8397F0" w14:textId="77777777" w:rsidR="00193442" w:rsidRDefault="00193442" w:rsidP="00193442">
      <w:pPr>
        <w:ind w:left="360" w:hanging="360"/>
        <w:jc w:val="left"/>
        <w:rPr>
          <w:rFonts w:ascii="Arial" w:hAnsi="Arial"/>
          <w:sz w:val="20"/>
          <w:lang w:val="fr-BE"/>
        </w:rPr>
      </w:pPr>
      <w:r w:rsidRPr="00193442">
        <w:rPr>
          <w:rFonts w:ascii="Arial" w:hAnsi="Arial"/>
          <w:sz w:val="20"/>
          <w:lang w:val="fr-BE"/>
        </w:rPr>
        <w:t>En cas de doute, demandez l’avis de votre médecin ou de votre pharmacien.</w:t>
      </w:r>
    </w:p>
    <w:p w14:paraId="156891A8" w14:textId="77777777" w:rsidR="00193442" w:rsidRPr="00193442" w:rsidRDefault="00193442" w:rsidP="00193442">
      <w:pPr>
        <w:ind w:left="360" w:hanging="360"/>
        <w:jc w:val="left"/>
        <w:rPr>
          <w:rFonts w:ascii="Arial" w:hAnsi="Arial"/>
          <w:sz w:val="20"/>
          <w:lang w:val="fr-BE"/>
        </w:rPr>
      </w:pPr>
    </w:p>
    <w:p w14:paraId="67A887BC" w14:textId="77777777" w:rsidR="00E6215C" w:rsidRPr="00B24DF1" w:rsidRDefault="001E61F2" w:rsidP="00A0599B">
      <w:pPr>
        <w:pStyle w:val="AmmCorpsTexteGras"/>
      </w:pPr>
      <w:r w:rsidRPr="00B24DF1">
        <w:t>Avertissements et précautions</w:t>
      </w:r>
    </w:p>
    <w:p w14:paraId="476C2FDB" w14:textId="77777777" w:rsidR="00193442" w:rsidRDefault="00193442" w:rsidP="00193442">
      <w:pPr>
        <w:pStyle w:val="AmmCorpsTexte"/>
        <w:rPr>
          <w:lang w:val="fr-BE"/>
        </w:rPr>
      </w:pPr>
      <w:r w:rsidRPr="0034110B">
        <w:rPr>
          <w:lang w:val="fr-BE"/>
        </w:rPr>
        <w:t>Adressez</w:t>
      </w:r>
      <w:r>
        <w:rPr>
          <w:lang w:val="fr-BE"/>
        </w:rPr>
        <w:t>-vous à votre médecin ou votre pharmacien avant de prendre</w:t>
      </w:r>
      <w:r w:rsidRPr="0034110B">
        <w:rPr>
          <w:lang w:val="fr-BE"/>
        </w:rPr>
        <w:t xml:space="preserve"> </w:t>
      </w:r>
      <w:r w:rsidRPr="00E85F88">
        <w:rPr>
          <w:noProof/>
        </w:rPr>
        <w:t>xxx</w:t>
      </w:r>
      <w:r>
        <w:rPr>
          <w:noProof/>
        </w:rPr>
        <w:t> </w:t>
      </w:r>
      <w:r>
        <w:rPr>
          <w:lang w:val="fr-BE"/>
        </w:rPr>
        <w:t>:</w:t>
      </w:r>
    </w:p>
    <w:p w14:paraId="1C74C85E" w14:textId="77777777" w:rsidR="00193442" w:rsidRPr="00CA2FEE" w:rsidRDefault="00193442" w:rsidP="00193442">
      <w:pPr>
        <w:pStyle w:val="AmmCorpsTexte"/>
        <w:rPr>
          <w:lang w:val="fr-BE"/>
        </w:rPr>
      </w:pPr>
      <w:r w:rsidRPr="00CA2FEE">
        <w:rPr>
          <w:lang w:val="fr-BE"/>
        </w:rPr>
        <w:t>•</w:t>
      </w:r>
      <w:r w:rsidRPr="00CA2FEE">
        <w:rPr>
          <w:lang w:val="fr-BE"/>
        </w:rPr>
        <w:tab/>
        <w:t>si vous êtes un adulte de moins de 50 kg,</w:t>
      </w:r>
    </w:p>
    <w:p w14:paraId="47376F87" w14:textId="77777777" w:rsidR="00193442" w:rsidRPr="00CA2FEE" w:rsidRDefault="00193442" w:rsidP="00193442">
      <w:pPr>
        <w:pStyle w:val="AmmCorpsTexte"/>
        <w:rPr>
          <w:lang w:val="fr-BE"/>
        </w:rPr>
      </w:pPr>
      <w:r w:rsidRPr="00CA2FEE">
        <w:rPr>
          <w:lang w:val="fr-BE"/>
        </w:rPr>
        <w:t>•</w:t>
      </w:r>
      <w:r w:rsidRPr="00CA2FEE">
        <w:rPr>
          <w:lang w:val="fr-BE"/>
        </w:rPr>
        <w:tab/>
        <w:t>si vous avez une maladie des reins ou du foie,</w:t>
      </w:r>
    </w:p>
    <w:p w14:paraId="34BE5C6B" w14:textId="77777777" w:rsidR="00193442" w:rsidRPr="00CA2FEE" w:rsidRDefault="00193442" w:rsidP="00193442">
      <w:pPr>
        <w:pStyle w:val="AmmCorpsTexte"/>
        <w:rPr>
          <w:lang w:val="fr-BE"/>
        </w:rPr>
      </w:pPr>
      <w:r w:rsidRPr="00CA2FEE">
        <w:rPr>
          <w:lang w:val="fr-BE"/>
        </w:rPr>
        <w:t>•</w:t>
      </w:r>
      <w:r w:rsidRPr="00CA2FEE">
        <w:rPr>
          <w:lang w:val="fr-BE"/>
        </w:rPr>
        <w:tab/>
        <w:t>si vous êtes une personne âgée,</w:t>
      </w:r>
    </w:p>
    <w:p w14:paraId="05EC4E90" w14:textId="77777777" w:rsidR="00193442" w:rsidRPr="00CA2FEE" w:rsidRDefault="00193442" w:rsidP="00193442">
      <w:pPr>
        <w:pStyle w:val="AmmCorpsTexte"/>
        <w:rPr>
          <w:lang w:val="fr-BE"/>
        </w:rPr>
      </w:pPr>
      <w:r w:rsidRPr="00CA2FEE">
        <w:rPr>
          <w:lang w:val="fr-BE"/>
        </w:rPr>
        <w:lastRenderedPageBreak/>
        <w:t>•</w:t>
      </w:r>
      <w:r w:rsidRPr="00CA2FEE">
        <w:rPr>
          <w:lang w:val="fr-BE"/>
        </w:rPr>
        <w:tab/>
        <w:t>si vous consommez régulièrement de l’alcool ou que vous avez arrêté de boire de l’alcool récemment,</w:t>
      </w:r>
    </w:p>
    <w:p w14:paraId="558EAE0C" w14:textId="77777777" w:rsidR="00193442" w:rsidRPr="00CA2FEE" w:rsidRDefault="00193442" w:rsidP="00193442">
      <w:pPr>
        <w:pStyle w:val="AmmCorpsTexte"/>
        <w:rPr>
          <w:lang w:val="fr-BE"/>
        </w:rPr>
      </w:pPr>
      <w:r w:rsidRPr="00CA2FEE">
        <w:rPr>
          <w:lang w:val="fr-BE"/>
        </w:rPr>
        <w:t>•</w:t>
      </w:r>
      <w:r w:rsidRPr="00CA2FEE">
        <w:rPr>
          <w:lang w:val="fr-BE"/>
        </w:rPr>
        <w:tab/>
        <w:t>en cas de malnutrition chroniqu</w:t>
      </w:r>
      <w:r>
        <w:rPr>
          <w:lang w:val="fr-BE"/>
        </w:rPr>
        <w:t xml:space="preserve">e, jeûne, amaigrissement, </w:t>
      </w:r>
      <w:r w:rsidRPr="00CA2FEE">
        <w:rPr>
          <w:lang w:val="fr-BE"/>
        </w:rPr>
        <w:t>anorexie ou cachexie</w:t>
      </w:r>
      <w:r>
        <w:rPr>
          <w:lang w:val="fr-BE"/>
        </w:rPr>
        <w:t xml:space="preserve"> </w:t>
      </w:r>
      <w:r w:rsidRPr="00CA2FEE">
        <w:rPr>
          <w:lang w:val="fr-BE"/>
        </w:rPr>
        <w:t>(faibles réserves ou déficit en glutathion</w:t>
      </w:r>
      <w:r>
        <w:rPr>
          <w:lang w:val="fr-BE"/>
        </w:rPr>
        <w:t xml:space="preserve"> hépatique</w:t>
      </w:r>
      <w:r w:rsidRPr="00CA2FEE">
        <w:rPr>
          <w:lang w:val="fr-BE"/>
        </w:rPr>
        <w:t>),</w:t>
      </w:r>
    </w:p>
    <w:p w14:paraId="2F0DDC0C" w14:textId="16BDD0A5" w:rsidR="00957D73" w:rsidRPr="00CA2FEE" w:rsidRDefault="00193442" w:rsidP="00957D73">
      <w:pPr>
        <w:pStyle w:val="AmmCorpsTexte"/>
        <w:rPr>
          <w:lang w:val="fr-BE"/>
        </w:rPr>
      </w:pPr>
      <w:r w:rsidRPr="00CA2FEE">
        <w:rPr>
          <w:lang w:val="fr-BE"/>
        </w:rPr>
        <w:t>•</w:t>
      </w:r>
      <w:r w:rsidRPr="00CA2FEE">
        <w:rPr>
          <w:lang w:val="fr-BE"/>
        </w:rPr>
        <w:tab/>
      </w:r>
      <w:r>
        <w:rPr>
          <w:lang w:val="fr-BE"/>
        </w:rPr>
        <w:t xml:space="preserve">en </w:t>
      </w:r>
      <w:r w:rsidRPr="00CA2FEE">
        <w:rPr>
          <w:lang w:val="fr-BE"/>
        </w:rPr>
        <w:t>cas de déshydratation,</w:t>
      </w:r>
    </w:p>
    <w:p w14:paraId="72B254BF" w14:textId="5D35B74E" w:rsidR="00193442" w:rsidRPr="00CA2FEE" w:rsidRDefault="00193442" w:rsidP="00193442">
      <w:pPr>
        <w:pStyle w:val="AmmCorpsTexte"/>
        <w:rPr>
          <w:lang w:val="fr-BE"/>
        </w:rPr>
      </w:pPr>
      <w:r w:rsidRPr="00CA2FEE">
        <w:rPr>
          <w:lang w:val="fr-BE"/>
        </w:rPr>
        <w:t>•</w:t>
      </w:r>
      <w:r w:rsidRPr="00CA2FEE">
        <w:rPr>
          <w:lang w:val="fr-BE"/>
        </w:rPr>
        <w:tab/>
        <w:t>en cas de déficience en Glucose-6-Phosphate Déshydrogénase (G6PD)</w:t>
      </w:r>
      <w:r w:rsidR="00957D73">
        <w:rPr>
          <w:lang w:val="fr-BE"/>
        </w:rPr>
        <w:t xml:space="preserve"> (pouvant conduire à une anémie hémolytique)</w:t>
      </w:r>
      <w:r w:rsidRPr="00CA2FEE">
        <w:rPr>
          <w:lang w:val="fr-BE"/>
        </w:rPr>
        <w:t>,</w:t>
      </w:r>
    </w:p>
    <w:p w14:paraId="3E6A1C8C" w14:textId="77777777" w:rsidR="00193442" w:rsidRDefault="00193442" w:rsidP="00193442">
      <w:pPr>
        <w:pStyle w:val="AmmCorpsTexte"/>
        <w:rPr>
          <w:lang w:val="fr-BE"/>
        </w:rPr>
      </w:pPr>
      <w:r w:rsidRPr="00CA2FEE">
        <w:rPr>
          <w:lang w:val="fr-BE"/>
        </w:rPr>
        <w:t>•</w:t>
      </w:r>
      <w:r w:rsidRPr="00CA2FEE">
        <w:rPr>
          <w:lang w:val="fr-BE"/>
        </w:rPr>
        <w:tab/>
        <w:t>en cas de syndrome de Gilbert (jaunisse familiale non hémolytique).</w:t>
      </w:r>
    </w:p>
    <w:p w14:paraId="07D5F5C3" w14:textId="77777777" w:rsidR="00193442" w:rsidRDefault="00193442" w:rsidP="00193442">
      <w:pPr>
        <w:pStyle w:val="AmmCorpsTexte"/>
        <w:rPr>
          <w:lang w:val="fr-BE"/>
        </w:rPr>
      </w:pPr>
      <w:r w:rsidRPr="00C30624">
        <w:rPr>
          <w:lang w:val="fr-BE"/>
        </w:rPr>
        <w:t>En cas d’hépatite virale aiguë, arrêtez le traitement et consultez votre médecin.</w:t>
      </w:r>
    </w:p>
    <w:p w14:paraId="1BC3DC62" w14:textId="4E92E7F4" w:rsidR="00193442" w:rsidRPr="007E5E85" w:rsidRDefault="00193442" w:rsidP="00193442">
      <w:pPr>
        <w:pStyle w:val="AmmCorpsTexte"/>
      </w:pPr>
      <w:r w:rsidRPr="004E45CE">
        <w:rPr>
          <w:lang w:val="fr-BE"/>
        </w:rPr>
        <w:t xml:space="preserve">Au long cours, l’utilisation incorrecte et/ou à fortes doses de </w:t>
      </w:r>
      <w:r w:rsidR="007E5E85">
        <w:rPr>
          <w:lang w:val="fr-BE"/>
        </w:rPr>
        <w:t xml:space="preserve">ce </w:t>
      </w:r>
      <w:r w:rsidRPr="004E45CE">
        <w:rPr>
          <w:lang w:val="fr-BE"/>
        </w:rPr>
        <w:t xml:space="preserve">médicament </w:t>
      </w:r>
      <w:r w:rsidR="007E5E85" w:rsidRPr="00392480">
        <w:t xml:space="preserve">chez des patients </w:t>
      </w:r>
      <w:r w:rsidR="006E2015">
        <w:t>atteints</w:t>
      </w:r>
      <w:r w:rsidR="006E2015" w:rsidRPr="00392480">
        <w:t xml:space="preserve"> </w:t>
      </w:r>
      <w:r w:rsidR="007E5E85" w:rsidRPr="00392480">
        <w:t xml:space="preserve">de </w:t>
      </w:r>
      <w:r w:rsidR="007E5E85">
        <w:t>maux de tête</w:t>
      </w:r>
      <w:r w:rsidR="007E5E85" w:rsidRPr="00392480">
        <w:t xml:space="preserve"> chroniques</w:t>
      </w:r>
      <w:r w:rsidRPr="004E45CE">
        <w:rPr>
          <w:lang w:val="fr-BE"/>
        </w:rPr>
        <w:t xml:space="preserve"> peut entra</w:t>
      </w:r>
      <w:r w:rsidR="007E5E85">
        <w:rPr>
          <w:lang w:val="fr-BE"/>
        </w:rPr>
        <w:t>î</w:t>
      </w:r>
      <w:r w:rsidRPr="004E45CE">
        <w:rPr>
          <w:lang w:val="fr-BE"/>
        </w:rPr>
        <w:t xml:space="preserve">ner </w:t>
      </w:r>
      <w:r w:rsidR="007E5E85">
        <w:rPr>
          <w:lang w:val="fr-BE"/>
        </w:rPr>
        <w:t xml:space="preserve">ou aggraver </w:t>
      </w:r>
      <w:r w:rsidRPr="004E45CE">
        <w:rPr>
          <w:lang w:val="fr-BE"/>
        </w:rPr>
        <w:t>des maux de tête</w:t>
      </w:r>
      <w:r w:rsidR="007E5E85">
        <w:rPr>
          <w:lang w:val="fr-BE"/>
        </w:rPr>
        <w:t xml:space="preserve">. </w:t>
      </w:r>
      <w:r w:rsidR="007E5E85">
        <w:t>Vous ne devez pas augmenter votre dose d'antalgiques mais consultez votre médecin.</w:t>
      </w:r>
    </w:p>
    <w:p w14:paraId="43EA597E" w14:textId="77777777" w:rsidR="00193442" w:rsidRPr="00EB4343" w:rsidRDefault="00193442" w:rsidP="00193442">
      <w:pPr>
        <w:pStyle w:val="AmmCorpsTexteGras"/>
      </w:pPr>
      <w:r>
        <w:t xml:space="preserve">Enfants </w:t>
      </w:r>
      <w:r w:rsidRPr="008A7948">
        <w:t>et a</w:t>
      </w:r>
      <w:r>
        <w:t>dolescents</w:t>
      </w:r>
    </w:p>
    <w:p w14:paraId="107811F7" w14:textId="77777777" w:rsidR="00193442" w:rsidRDefault="00193442" w:rsidP="00193442">
      <w:pPr>
        <w:pStyle w:val="AmmCorpsTexte"/>
      </w:pPr>
      <w:r w:rsidRPr="001C78C6">
        <w:t>Chez un enfant traité par du paracétamol, l’association d’un autre médicament utilisé pour faire baisser la fièvre (antipyrétique) n’est justifiée qu’en cas d’inefficacité. L’association ne doit être instaurée et surveillée que par un médecin.</w:t>
      </w:r>
    </w:p>
    <w:p w14:paraId="6955E660" w14:textId="77777777" w:rsidR="00E6215C" w:rsidRDefault="00E6215C" w:rsidP="00A0599B">
      <w:pPr>
        <w:pStyle w:val="AmmCorpsTexteGras"/>
      </w:pPr>
      <w:r>
        <w:t xml:space="preserve">Autres médicaments et </w:t>
      </w:r>
      <w:r w:rsidR="005A5292">
        <w:t>xxx</w:t>
      </w:r>
    </w:p>
    <w:p w14:paraId="1F73F32D" w14:textId="77777777" w:rsidR="00193442" w:rsidRPr="00193442" w:rsidRDefault="00193442" w:rsidP="00193442">
      <w:pPr>
        <w:spacing w:after="120"/>
        <w:rPr>
          <w:rFonts w:ascii="Arial" w:hAnsi="Arial"/>
          <w:sz w:val="20"/>
        </w:rPr>
      </w:pPr>
      <w:r w:rsidRPr="00193442">
        <w:rPr>
          <w:rFonts w:ascii="Arial" w:hAnsi="Arial"/>
          <w:sz w:val="20"/>
        </w:rPr>
        <w:t>Informez votre médecin ou votre pharmacien si vous prenez, avez récemment pris ou pourriez prendre tout autre médicament, y compris un médicament obtenu sans ordonnance.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93442" w:rsidRPr="00193442" w14:paraId="3A12BA5C" w14:textId="77777777" w:rsidTr="001A17EC">
        <w:trPr>
          <w:jc w:val="center"/>
        </w:trPr>
        <w:tc>
          <w:tcPr>
            <w:tcW w:w="9060" w:type="dxa"/>
            <w:shd w:val="clear" w:color="auto" w:fill="auto"/>
          </w:tcPr>
          <w:p w14:paraId="3E44DA51" w14:textId="77777777" w:rsidR="00193442" w:rsidRPr="00193442" w:rsidRDefault="00193442" w:rsidP="00193442">
            <w:pPr>
              <w:keepNext/>
              <w:keepLines/>
              <w:rPr>
                <w:rFonts w:ascii="Arial" w:eastAsia="Cambria" w:hAnsi="Arial"/>
                <w:b/>
                <w:bCs/>
                <w:sz w:val="20"/>
              </w:rPr>
            </w:pPr>
            <w:r w:rsidRPr="00193442">
              <w:rPr>
                <w:rFonts w:ascii="Arial" w:eastAsia="Cambria" w:hAnsi="Arial"/>
                <w:b/>
                <w:bCs/>
                <w:sz w:val="20"/>
              </w:rPr>
              <w:t xml:space="preserve">Ce médicament contient du paracétamol. D'autres médicaments en contiennent. </w:t>
            </w:r>
          </w:p>
          <w:p w14:paraId="72782E83" w14:textId="77777777" w:rsidR="00193442" w:rsidRPr="00193442" w:rsidRDefault="00193442" w:rsidP="00193442">
            <w:pPr>
              <w:keepNext/>
              <w:keepLines/>
              <w:spacing w:after="120"/>
              <w:rPr>
                <w:rFonts w:ascii="Arial" w:eastAsia="Cambria" w:hAnsi="Arial"/>
                <w:sz w:val="20"/>
              </w:rPr>
            </w:pPr>
            <w:r w:rsidRPr="00193442">
              <w:rPr>
                <w:rFonts w:ascii="Arial" w:eastAsia="Cambria" w:hAnsi="Arial"/>
                <w:b/>
                <w:sz w:val="20"/>
              </w:rPr>
              <w:t>Vérifiez</w:t>
            </w:r>
            <w:r w:rsidRPr="00193442">
              <w:rPr>
                <w:rFonts w:ascii="Arial" w:eastAsia="Cambria" w:hAnsi="Arial"/>
                <w:sz w:val="20"/>
              </w:rPr>
              <w:t xml:space="preserve"> que vous ne prenez pas d'autres médicaments contenant du paracétamol,</w:t>
            </w:r>
            <w:r w:rsidRPr="00193442">
              <w:rPr>
                <w:rFonts w:ascii="Arial" w:eastAsia="Cambria" w:hAnsi="Arial"/>
                <w:b/>
                <w:sz w:val="20"/>
              </w:rPr>
              <w:t xml:space="preserve"> y compris si ce sont des médicaments obtenus sans prescription.</w:t>
            </w:r>
            <w:r w:rsidRPr="00193442">
              <w:rPr>
                <w:rFonts w:ascii="Arial" w:eastAsia="Cambria" w:hAnsi="Arial"/>
                <w:sz w:val="20"/>
              </w:rPr>
              <w:t xml:space="preserve"> </w:t>
            </w:r>
          </w:p>
          <w:p w14:paraId="079D56AC" w14:textId="77777777" w:rsidR="00193442" w:rsidRPr="00193442" w:rsidRDefault="00193442" w:rsidP="00193442">
            <w:pPr>
              <w:keepNext/>
              <w:keepLines/>
              <w:rPr>
                <w:rFonts w:ascii="Arial" w:eastAsia="Cambria" w:hAnsi="Arial"/>
                <w:sz w:val="20"/>
              </w:rPr>
            </w:pPr>
            <w:r w:rsidRPr="00193442">
              <w:rPr>
                <w:rFonts w:ascii="Arial" w:eastAsia="Cambria" w:hAnsi="Arial"/>
                <w:b/>
                <w:sz w:val="20"/>
              </w:rPr>
              <w:t>Ne les associez pas</w:t>
            </w:r>
            <w:r w:rsidRPr="00193442">
              <w:rPr>
                <w:rFonts w:ascii="Arial" w:eastAsia="Cambria" w:hAnsi="Arial"/>
                <w:sz w:val="20"/>
              </w:rPr>
              <w:t>, afin de ne pas dépasser la dose quotidienne recommandée.</w:t>
            </w:r>
          </w:p>
        </w:tc>
      </w:tr>
    </w:tbl>
    <w:p w14:paraId="5EC2A24E" w14:textId="77777777" w:rsidR="001A17EC" w:rsidRDefault="001A17EC" w:rsidP="001A17EC">
      <w:pPr>
        <w:pStyle w:val="AmmCorpsTexte"/>
        <w:spacing w:before="120"/>
      </w:pPr>
      <w:r>
        <w:t>Consultez votre médecin ou votre pharmacien :</w:t>
      </w:r>
    </w:p>
    <w:p w14:paraId="7B8425E6" w14:textId="012F640F" w:rsidR="00193442" w:rsidRPr="001A17EC" w:rsidRDefault="00193442" w:rsidP="006D78CC">
      <w:pPr>
        <w:pStyle w:val="Paragraphedeliste"/>
        <w:numPr>
          <w:ilvl w:val="0"/>
          <w:numId w:val="31"/>
        </w:numPr>
        <w:spacing w:before="120" w:after="120"/>
      </w:pPr>
      <w:r w:rsidRPr="001A17EC">
        <w:t xml:space="preserve">si vous prenez des médicaments potentiellement toxiques pour le foie. </w:t>
      </w:r>
      <w:r w:rsidR="001A17EC" w:rsidRPr="001A17EC">
        <w:t>La toxicité du paracétamol pourrait être augmentée</w:t>
      </w:r>
      <w:r w:rsidR="001A17EC">
        <w:t>.</w:t>
      </w:r>
    </w:p>
    <w:p w14:paraId="17AED787" w14:textId="2E406786" w:rsidR="00193442" w:rsidRPr="001A17EC" w:rsidRDefault="001A17EC" w:rsidP="006D78CC">
      <w:pPr>
        <w:pStyle w:val="Paragraphedeliste"/>
        <w:numPr>
          <w:ilvl w:val="0"/>
          <w:numId w:val="31"/>
        </w:numPr>
        <w:spacing w:after="120"/>
      </w:pPr>
      <w:r>
        <w:t>si</w:t>
      </w:r>
      <w:r w:rsidR="00193442" w:rsidRPr="001A17EC">
        <w:t xml:space="preserve"> un dosage du taux d'acide urique ou de sucre dans le sang </w:t>
      </w:r>
      <w:r w:rsidRPr="00510E23">
        <w:t>vous a été prescrit ou à votre enfant</w:t>
      </w:r>
      <w:r w:rsidRPr="00193442">
        <w:t xml:space="preserve"> </w:t>
      </w:r>
      <w:r w:rsidR="00193442" w:rsidRPr="001A17EC">
        <w:t>car ce médicament peut en fausser les résultats.</w:t>
      </w:r>
    </w:p>
    <w:p w14:paraId="298F09F8" w14:textId="77D042A0" w:rsidR="00193442" w:rsidRPr="001A17EC" w:rsidRDefault="00193442" w:rsidP="006D78CC">
      <w:pPr>
        <w:pStyle w:val="Paragraphedeliste"/>
        <w:numPr>
          <w:ilvl w:val="0"/>
          <w:numId w:val="31"/>
        </w:numPr>
        <w:spacing w:after="120"/>
      </w:pPr>
      <w:r w:rsidRPr="001A17EC">
        <w:t>si vous prenez un médicament qui ralentit la coagulation (anticoagulant</w:t>
      </w:r>
      <w:r w:rsidR="00E85F88" w:rsidRPr="001A17EC">
        <w:t xml:space="preserve">s oraux). A fortes doses, </w:t>
      </w:r>
      <w:r w:rsidR="00E85F88" w:rsidRPr="001A17EC">
        <w:rPr>
          <w:highlight w:val="yellow"/>
        </w:rPr>
        <w:t>XXXX 10</w:t>
      </w:r>
      <w:r w:rsidR="00CA04D3" w:rsidRPr="001A17EC">
        <w:rPr>
          <w:highlight w:val="yellow"/>
        </w:rPr>
        <w:t>00 mg, xxx</w:t>
      </w:r>
      <w:r w:rsidRPr="001A17EC">
        <w:t xml:space="preserve"> peut augmenter l'action de votre anticoagulant. Si nécessaire, votre médecin adaptera la posologie de votre anticoagulant.</w:t>
      </w:r>
    </w:p>
    <w:p w14:paraId="6F7E4436" w14:textId="04B5A9D1" w:rsidR="00193442" w:rsidRPr="001A17EC" w:rsidRDefault="00193442" w:rsidP="006D78CC">
      <w:pPr>
        <w:pStyle w:val="Paragraphedeliste"/>
        <w:numPr>
          <w:ilvl w:val="0"/>
          <w:numId w:val="31"/>
        </w:numPr>
        <w:spacing w:after="120"/>
      </w:pPr>
      <w:r w:rsidRPr="001A17EC">
        <w:t>si vous prenez de la flucloxacilline (antibiotiq</w:t>
      </w:r>
      <w:r w:rsidR="00142094" w:rsidRPr="001A17EC">
        <w:t>ue</w:t>
      </w:r>
      <w:r w:rsidRPr="001A17EC">
        <w:t>)</w:t>
      </w:r>
      <w:r w:rsidR="00142094" w:rsidRPr="001A17EC">
        <w:t>,</w:t>
      </w:r>
      <w:r w:rsidRPr="001A17EC">
        <w:t xml:space="preserve"> en raison d'un risque grave d'anomalie sanguine et </w:t>
      </w:r>
      <w:r w:rsidR="00142094" w:rsidRPr="001A17EC">
        <w:t>plasmatique</w:t>
      </w:r>
      <w:r w:rsidRPr="001A17EC">
        <w:t xml:space="preserve"> (acidose métabolique à trou anionique élevé) qui doit faire l'objet d'un traitement urgent et qui peut survenir notamment en cas d'insuffisance rénale sévère, de septicémie (lorsque des bactéries et leurs toxines circulent dans le sang e</w:t>
      </w:r>
      <w:r w:rsidR="00142094" w:rsidRPr="001A17EC">
        <w:t>ntraînant des lésions aux organes</w:t>
      </w:r>
      <w:r w:rsidRPr="001A17EC">
        <w:t>), de malnu</w:t>
      </w:r>
      <w:r w:rsidR="00142094" w:rsidRPr="001A17EC">
        <w:t>trition, d'alcoolisme chronique et si les doses quotidiennes</w:t>
      </w:r>
      <w:r w:rsidRPr="001A17EC">
        <w:t xml:space="preserve"> maximales de paracétamol sont utilisées.</w:t>
      </w:r>
    </w:p>
    <w:p w14:paraId="5A0BB2A4" w14:textId="77777777" w:rsidR="00193442" w:rsidRPr="00C65333" w:rsidRDefault="00193442" w:rsidP="00193442">
      <w:pPr>
        <w:pStyle w:val="AmmCorpsTexteGras"/>
      </w:pPr>
      <w:bookmarkStart w:id="91" w:name="_Toc142279012"/>
      <w:r w:rsidRPr="008A7948">
        <w:t>xxx ave</w:t>
      </w:r>
      <w:r>
        <w:t>c de l’alcool</w:t>
      </w:r>
    </w:p>
    <w:p w14:paraId="0DD1347E" w14:textId="77777777" w:rsidR="00193442" w:rsidRDefault="00193442" w:rsidP="00193442">
      <w:pPr>
        <w:pStyle w:val="AmmCorpsTexte"/>
      </w:pPr>
      <w:r w:rsidRPr="00E10A35">
        <w:t>La consommation de boissons alcoolisées pendant le traitement est déconseillée.</w:t>
      </w:r>
    </w:p>
    <w:bookmarkEnd w:id="91"/>
    <w:p w14:paraId="2DD7835E" w14:textId="3D1C5D61" w:rsidR="00193442" w:rsidRPr="00B91A38" w:rsidRDefault="00193442" w:rsidP="00193442">
      <w:pPr>
        <w:pStyle w:val="AmmCorpsTexteGras"/>
      </w:pPr>
      <w:r>
        <w:t>Grossesse,</w:t>
      </w:r>
      <w:r w:rsidRPr="008A7948">
        <w:t xml:space="preserve"> allaitement </w:t>
      </w:r>
      <w:r>
        <w:t>et fertilité</w:t>
      </w:r>
    </w:p>
    <w:p w14:paraId="3FD76C77" w14:textId="77777777" w:rsidR="00193442" w:rsidRPr="004147D2" w:rsidRDefault="00193442" w:rsidP="00193442">
      <w:pPr>
        <w:pStyle w:val="AmmCorpsTexte"/>
        <w:rPr>
          <w:lang w:val="fr-BE"/>
        </w:rPr>
      </w:pPr>
      <w:r w:rsidRPr="004147D2">
        <w:rPr>
          <w:lang w:val="fr-BE"/>
        </w:rPr>
        <w:t>Si vous êtes enceinte ou que vous allaitez, si vous pensez être enceinte ou planifiez une grossesse, demandez conseil à votre médecin ou pharmacien avant de prendre tout médicament.</w:t>
      </w:r>
    </w:p>
    <w:p w14:paraId="4668D75D" w14:textId="77777777" w:rsidR="00193442" w:rsidRPr="004147D2" w:rsidRDefault="00193442" w:rsidP="00193442">
      <w:pPr>
        <w:pStyle w:val="AmmCorpsTexte"/>
        <w:rPr>
          <w:u w:val="single"/>
          <w:lang w:val="fr-BE"/>
        </w:rPr>
      </w:pPr>
      <w:r w:rsidRPr="004147D2">
        <w:rPr>
          <w:u w:val="single"/>
          <w:lang w:val="fr-BE"/>
        </w:rPr>
        <w:t>Grossesse et allaitement</w:t>
      </w:r>
    </w:p>
    <w:p w14:paraId="3F1AE539" w14:textId="77777777" w:rsidR="00193442" w:rsidRPr="004147D2" w:rsidRDefault="00193442" w:rsidP="00193442">
      <w:pPr>
        <w:pStyle w:val="AmmCorpsTexte"/>
        <w:rPr>
          <w:lang w:val="fr-BE"/>
        </w:rPr>
      </w:pPr>
      <w:r w:rsidRPr="004147D2">
        <w:rPr>
          <w:lang w:val="fr-BE"/>
        </w:rPr>
        <w:t>Au besoin, ce médicament peut être utilisé pendant la grossesse et l’allaitement.</w:t>
      </w:r>
    </w:p>
    <w:p w14:paraId="05D89EC4" w14:textId="77777777" w:rsidR="00193442" w:rsidRPr="004147D2" w:rsidRDefault="00193442" w:rsidP="00193442">
      <w:pPr>
        <w:pStyle w:val="AmmCorpsTexte"/>
        <w:rPr>
          <w:lang w:val="fr-BE"/>
        </w:rPr>
      </w:pPr>
      <w:r w:rsidRPr="004147D2">
        <w:rPr>
          <w:lang w:val="fr-BE"/>
        </w:rPr>
        <w:t>Vous devez utiliser la dose la plus faible possible qui permette de soulager la douleur et/ou la fièvre et la prendre pendant la durée la plus courte possible. Contactez votre médecin si la douleur et/ou la fièvre ne diminuent pas ou si vous devez prendre le médicament plus fréquemment.</w:t>
      </w:r>
    </w:p>
    <w:p w14:paraId="624F7D9F" w14:textId="77777777" w:rsidR="00193442" w:rsidRPr="004147D2" w:rsidRDefault="00193442" w:rsidP="00193442">
      <w:pPr>
        <w:pStyle w:val="AmmCorpsTexte"/>
        <w:rPr>
          <w:u w:val="single"/>
          <w:lang w:val="fr-BE"/>
        </w:rPr>
      </w:pPr>
      <w:r w:rsidRPr="004147D2">
        <w:rPr>
          <w:u w:val="single"/>
          <w:lang w:val="fr-BE"/>
        </w:rPr>
        <w:t>Fertilité</w:t>
      </w:r>
    </w:p>
    <w:p w14:paraId="1E93345A" w14:textId="77777777" w:rsidR="00193442" w:rsidRDefault="00193442" w:rsidP="00193442">
      <w:pPr>
        <w:pStyle w:val="AmmCorpsTexte"/>
        <w:rPr>
          <w:lang w:val="fr-BE"/>
        </w:rPr>
      </w:pPr>
      <w:r w:rsidRPr="004147D2">
        <w:rPr>
          <w:lang w:val="fr-BE"/>
        </w:rPr>
        <w:t>Il est possible que le paracétamol puisse altérer la fertilité des femmes, de façon réversible à l'arrêt du traitement.</w:t>
      </w:r>
    </w:p>
    <w:p w14:paraId="104C1047" w14:textId="77777777" w:rsidR="00E6215C" w:rsidRDefault="00E6215C" w:rsidP="00A0599B">
      <w:pPr>
        <w:pStyle w:val="AmmCorpsTexteGras"/>
      </w:pPr>
      <w:r>
        <w:lastRenderedPageBreak/>
        <w:t>Conduite de véhicules et utilisation de machines</w:t>
      </w:r>
    </w:p>
    <w:p w14:paraId="51193461" w14:textId="77777777" w:rsidR="00193442" w:rsidRDefault="00193442" w:rsidP="00193442">
      <w:pPr>
        <w:pStyle w:val="AmmCorpsTexte"/>
      </w:pPr>
      <w:r w:rsidRPr="00C91F05">
        <w:t>Le paracétamol n’a aucun effet ou qu’un effet négligeable sur l’aptitude à conduire des véhicules et à utiliser des machines.</w:t>
      </w:r>
    </w:p>
    <w:p w14:paraId="4EFB5D1B" w14:textId="77777777" w:rsidR="00E6215C" w:rsidRDefault="005A5292" w:rsidP="00A0599B">
      <w:pPr>
        <w:pStyle w:val="AmmCorpsTexteGras"/>
      </w:pPr>
      <w:r w:rsidRPr="008A7948">
        <w:t>xxx</w:t>
      </w:r>
      <w:r w:rsidR="00E6215C" w:rsidRPr="008A7948">
        <w:t xml:space="preserve"> contient </w:t>
      </w:r>
      <w:r w:rsidR="001A785E" w:rsidRPr="008A7948">
        <w:t xml:space="preserve">&lt;{nommer </w:t>
      </w:r>
      <w:r w:rsidR="00E6215C" w:rsidRPr="008A7948">
        <w:t>le</w:t>
      </w:r>
      <w:r w:rsidR="001A785E" w:rsidRPr="008A7948">
        <w:t>/</w:t>
      </w:r>
      <w:r w:rsidR="00E6215C" w:rsidRPr="008A7948">
        <w:t>les</w:t>
      </w:r>
      <w:r w:rsidR="001A785E" w:rsidRPr="008A7948">
        <w:t xml:space="preserve"> excipient (</w:t>
      </w:r>
      <w:r w:rsidR="00E6215C" w:rsidRPr="008A7948">
        <w:t>s</w:t>
      </w:r>
      <w:r w:rsidR="001A785E" w:rsidRPr="008A7948">
        <w:t>)</w:t>
      </w:r>
      <w:r w:rsidR="003A673A" w:rsidRPr="008A7948">
        <w:t>}</w:t>
      </w:r>
      <w:r w:rsidR="001A785E" w:rsidRPr="008A7948">
        <w:t>&gt;</w:t>
      </w:r>
    </w:p>
    <w:p w14:paraId="1C2FB5EB" w14:textId="77777777" w:rsidR="00055B0B" w:rsidRPr="00055B0B" w:rsidRDefault="00055B0B" w:rsidP="00055B0B">
      <w:pPr>
        <w:spacing w:after="120"/>
        <w:rPr>
          <w:rFonts w:ascii="Arial" w:hAnsi="Arial"/>
          <w:i/>
          <w:sz w:val="20"/>
          <w:highlight w:val="yellow"/>
        </w:rPr>
      </w:pPr>
      <w:r w:rsidRPr="00055B0B">
        <w:rPr>
          <w:rFonts w:ascii="Arial" w:hAnsi="Arial"/>
          <w:i/>
          <w:sz w:val="20"/>
          <w:highlight w:val="yellow"/>
        </w:rPr>
        <w:t>[À adapter selon la forme pharmaceutique et la formulation]</w:t>
      </w:r>
    </w:p>
    <w:p w14:paraId="6D62BB6E" w14:textId="77777777" w:rsidR="00E6215C" w:rsidRDefault="00193442" w:rsidP="00E6215C">
      <w:pPr>
        <w:pStyle w:val="AmmCorpsTexte"/>
      </w:pPr>
      <w:r w:rsidRPr="00193442">
        <w:rPr>
          <w:highlight w:val="yellow"/>
        </w:rPr>
        <w:t>EEN</w:t>
      </w:r>
    </w:p>
    <w:p w14:paraId="7FBD5A9A" w14:textId="0CBAD1EF" w:rsidR="009E44EF" w:rsidRDefault="0007425F">
      <w:pPr>
        <w:pStyle w:val="AmmAnnexeTitre1"/>
        <w:rPr>
          <w:caps w:val="0"/>
        </w:rPr>
      </w:pPr>
      <w:r>
        <w:rPr>
          <w:caps w:val="0"/>
        </w:rPr>
        <w:t>3.</w:t>
      </w:r>
      <w:r>
        <w:rPr>
          <w:caps w:val="0"/>
        </w:rPr>
        <w:tab/>
        <w:t xml:space="preserve">COMMENT PRENDRE </w:t>
      </w:r>
      <w:r w:rsidR="009E44EF" w:rsidRPr="008A7948">
        <w:rPr>
          <w:caps w:val="0"/>
        </w:rPr>
        <w:t>xxx ?</w:t>
      </w:r>
      <w:bookmarkEnd w:id="90"/>
    </w:p>
    <w:p w14:paraId="1E49B8AA" w14:textId="65FE83F6" w:rsidR="0007425F" w:rsidRDefault="0007425F" w:rsidP="0007425F">
      <w:pPr>
        <w:pStyle w:val="AmmCorpsTexte"/>
        <w:rPr>
          <w:lang w:val="fr-BE"/>
        </w:rPr>
      </w:pPr>
      <w:bookmarkStart w:id="92" w:name="_Toc142279021"/>
      <w:r>
        <w:rPr>
          <w:lang w:val="fr-BE"/>
        </w:rPr>
        <w:t xml:space="preserve">Veillez à toujours prendre </w:t>
      </w:r>
      <w:r w:rsidRPr="0034110B">
        <w:rPr>
          <w:lang w:val="fr-BE"/>
        </w:rPr>
        <w:t xml:space="preserve">ce médicament en </w:t>
      </w:r>
      <w:r w:rsidRPr="00E179E8">
        <w:rPr>
          <w:lang w:val="fr-BE"/>
        </w:rPr>
        <w:t>suivant exactement les instructions de cette notice ou le</w:t>
      </w:r>
      <w:r>
        <w:rPr>
          <w:lang w:val="fr-BE"/>
        </w:rPr>
        <w:t>s indications de votre médecin</w:t>
      </w:r>
      <w:r w:rsidR="001D6EB2">
        <w:rPr>
          <w:lang w:val="fr-BE"/>
        </w:rPr>
        <w:t xml:space="preserve"> ou pharmacien</w:t>
      </w:r>
      <w:r w:rsidRPr="00E179E8">
        <w:rPr>
          <w:lang w:val="fr-BE"/>
        </w:rPr>
        <w:t>. Vérifiez au</w:t>
      </w:r>
      <w:r>
        <w:rPr>
          <w:lang w:val="fr-BE"/>
        </w:rPr>
        <w:t>près de votre médecin ou pharmacien en cas de doute.</w:t>
      </w:r>
    </w:p>
    <w:p w14:paraId="0D3E08D5" w14:textId="77777777" w:rsidR="00C86906" w:rsidRDefault="00C86906" w:rsidP="00C86906">
      <w:pPr>
        <w:pStyle w:val="AmmAnnexeTitre3"/>
        <w:rPr>
          <w:lang w:val="fr-BE"/>
        </w:rPr>
      </w:pPr>
      <w:r w:rsidRPr="003A6522">
        <w:rPr>
          <w:lang w:val="fr-BE"/>
        </w:rPr>
        <w:t>Posologie</w:t>
      </w:r>
    </w:p>
    <w:p w14:paraId="1FE59A43" w14:textId="77777777" w:rsidR="00C86906" w:rsidRPr="00C86906" w:rsidRDefault="00C86906" w:rsidP="00C86906">
      <w:pPr>
        <w:spacing w:after="120" w:line="247" w:lineRule="auto"/>
        <w:ind w:right="181"/>
        <w:rPr>
          <w:rFonts w:ascii="Arial" w:eastAsia="Arial" w:hAnsi="Arial"/>
          <w:sz w:val="20"/>
        </w:rPr>
      </w:pPr>
      <w:r w:rsidRPr="00C86906">
        <w:rPr>
          <w:rFonts w:ascii="Arial" w:eastAsia="Arial" w:hAnsi="Arial"/>
          <w:b/>
          <w:sz w:val="20"/>
        </w:rPr>
        <w:t xml:space="preserve">Attention </w:t>
      </w:r>
      <w:r w:rsidRPr="00C86906">
        <w:rPr>
          <w:rFonts w:ascii="Arial" w:eastAsia="Arial" w:hAnsi="Arial"/>
          <w:sz w:val="20"/>
        </w:rPr>
        <w:t>: cette présentation contient 1000 mg</w:t>
      </w:r>
      <w:r>
        <w:rPr>
          <w:rFonts w:ascii="Arial" w:eastAsia="Arial" w:hAnsi="Arial"/>
          <w:sz w:val="20"/>
        </w:rPr>
        <w:t xml:space="preserve"> (1 g) de paracétamol par </w:t>
      </w:r>
      <w:r w:rsidRPr="00C86906">
        <w:rPr>
          <w:rFonts w:ascii="Arial" w:eastAsia="Arial" w:hAnsi="Arial"/>
          <w:sz w:val="20"/>
          <w:highlight w:val="yellow"/>
        </w:rPr>
        <w:t>xxx</w:t>
      </w:r>
      <w:r>
        <w:rPr>
          <w:rFonts w:ascii="Arial" w:eastAsia="Arial" w:hAnsi="Arial"/>
          <w:sz w:val="20"/>
        </w:rPr>
        <w:t xml:space="preserve"> : ne pas prendre 2 </w:t>
      </w:r>
      <w:r w:rsidRPr="00C86906">
        <w:rPr>
          <w:rFonts w:ascii="Arial" w:eastAsia="Arial" w:hAnsi="Arial"/>
          <w:sz w:val="20"/>
          <w:highlight w:val="yellow"/>
        </w:rPr>
        <w:t>xxx</w:t>
      </w:r>
      <w:r w:rsidRPr="00C86906">
        <w:rPr>
          <w:rFonts w:ascii="Arial" w:eastAsia="Arial" w:hAnsi="Arial"/>
          <w:sz w:val="20"/>
        </w:rPr>
        <w:t xml:space="preserve"> à la fois.   </w:t>
      </w:r>
    </w:p>
    <w:p w14:paraId="465BCFBC" w14:textId="38EB2DBC" w:rsidR="006C0836" w:rsidRPr="006C0836" w:rsidRDefault="006C0836" w:rsidP="006C0836">
      <w:pPr>
        <w:spacing w:after="120" w:line="247" w:lineRule="auto"/>
        <w:ind w:right="181"/>
        <w:rPr>
          <w:rFonts w:ascii="Arial" w:eastAsia="Arial" w:hAnsi="Arial"/>
          <w:sz w:val="20"/>
        </w:rPr>
      </w:pPr>
      <w:r w:rsidRPr="006C0836">
        <w:rPr>
          <w:rFonts w:ascii="Arial" w:eastAsia="Arial" w:hAnsi="Arial"/>
          <w:sz w:val="20"/>
        </w:rPr>
        <w:t xml:space="preserve">Réservé à l'adulte et à l'enfant </w:t>
      </w:r>
      <w:r w:rsidR="00F042CA">
        <w:rPr>
          <w:rFonts w:ascii="Arial" w:eastAsia="Arial" w:hAnsi="Arial"/>
          <w:sz w:val="20"/>
        </w:rPr>
        <w:t>à partir</w:t>
      </w:r>
      <w:r w:rsidRPr="006C0836">
        <w:rPr>
          <w:rFonts w:ascii="Arial" w:eastAsia="Arial" w:hAnsi="Arial"/>
          <w:sz w:val="20"/>
        </w:rPr>
        <w:t xml:space="preserve"> de 50 kg (environ 15 ans).</w:t>
      </w:r>
    </w:p>
    <w:p w14:paraId="4B3D3F81" w14:textId="650BE341" w:rsidR="006C0836" w:rsidRPr="00FD03EE" w:rsidRDefault="006C0836" w:rsidP="00FD03EE">
      <w:pPr>
        <w:spacing w:after="120"/>
        <w:rPr>
          <w:rFonts w:ascii="Calibri" w:hAnsi="Calibri"/>
        </w:rPr>
      </w:pPr>
      <w:r w:rsidRPr="00C431BC">
        <w:rPr>
          <w:rFonts w:ascii="Arial" w:eastAsia="Arial" w:hAnsi="Arial"/>
          <w:b/>
          <w:bCs/>
          <w:sz w:val="20"/>
        </w:rPr>
        <w:t>Utiliser la dose efficace la plus faible, pendant la durée la plus courte possible.</w:t>
      </w:r>
      <w:r w:rsidRPr="006C0836">
        <w:rPr>
          <w:rFonts w:ascii="Arial" w:eastAsia="Arial" w:hAnsi="Arial"/>
          <w:sz w:val="20"/>
        </w:rPr>
        <w:t xml:space="preserve"> </w:t>
      </w:r>
      <w:r w:rsidR="00C431BC" w:rsidRPr="00C431BC">
        <w:rPr>
          <w:rFonts w:ascii="Arial" w:hAnsi="Arial" w:cs="Arial"/>
          <w:color w:val="000000"/>
          <w:sz w:val="20"/>
        </w:rPr>
        <w:t>Utiliser la dose de 1000 mg en cas de douleurs et/ou fièvre non soulagées par une dose de 500 mg de paracétamol.</w:t>
      </w:r>
    </w:p>
    <w:p w14:paraId="07BA1A66" w14:textId="4EAECA40" w:rsidR="006C0836" w:rsidRDefault="006C0836" w:rsidP="006C0836">
      <w:pPr>
        <w:pStyle w:val="AmmCorpsTexte"/>
        <w:rPr>
          <w:lang w:val="fr-BE"/>
        </w:rPr>
      </w:pPr>
      <w:r w:rsidRPr="006C0836">
        <w:rPr>
          <w:rFonts w:eastAsia="Arial"/>
        </w:rPr>
        <w:t>La posologie dépend du poids ; l</w:t>
      </w:r>
      <w:r w:rsidR="009B5D1B">
        <w:rPr>
          <w:rFonts w:eastAsia="Arial"/>
        </w:rPr>
        <w:t>’</w:t>
      </w:r>
      <w:r w:rsidRPr="006C0836">
        <w:rPr>
          <w:rFonts w:eastAsia="Arial"/>
        </w:rPr>
        <w:t xml:space="preserve">âge </w:t>
      </w:r>
      <w:r w:rsidR="009B5D1B">
        <w:rPr>
          <w:rFonts w:eastAsia="Arial"/>
        </w:rPr>
        <w:t>es</w:t>
      </w:r>
      <w:r w:rsidR="009B5D1B" w:rsidRPr="006C0836">
        <w:rPr>
          <w:rFonts w:eastAsia="Arial"/>
        </w:rPr>
        <w:t xml:space="preserve">t </w:t>
      </w:r>
      <w:r w:rsidRPr="006C0836">
        <w:rPr>
          <w:rFonts w:eastAsia="Arial"/>
        </w:rPr>
        <w:t xml:space="preserve">mentionné à titre d’information. </w:t>
      </w:r>
      <w:r w:rsidR="00E332E6" w:rsidRPr="00C606FC">
        <w:rPr>
          <w:rFonts w:eastAsia="Arial"/>
        </w:rPr>
        <w:t xml:space="preserve">Si vous ne connaissez pas le poids de l'enfant, il faut le peser afin de lui donner la </w:t>
      </w:r>
      <w:r w:rsidR="00CD3D43">
        <w:rPr>
          <w:rFonts w:eastAsia="Arial"/>
        </w:rPr>
        <w:t>présentation de paracétamol dont le dosage est le mieux adapté</w:t>
      </w:r>
      <w:r w:rsidR="00E332E6" w:rsidRPr="00C606FC">
        <w:rPr>
          <w:rFonts w:eastAsia="Arial"/>
        </w:rPr>
        <w:t>.</w:t>
      </w:r>
      <w:r w:rsidR="00E332E6">
        <w:rPr>
          <w:rFonts w:eastAsia="Arial"/>
        </w:rPr>
        <w:t xml:space="preserve"> </w:t>
      </w:r>
      <w:r w:rsidRPr="00F92DD2">
        <w:rPr>
          <w:lang w:val="fr-BE"/>
        </w:rPr>
        <w:t>La dose quotidienne de paracétamol recommandée est à répartir en plusieurs</w:t>
      </w:r>
      <w:r w:rsidR="00700AFC">
        <w:rPr>
          <w:lang w:val="fr-BE"/>
        </w:rPr>
        <w:t xml:space="preserve"> prises sans dépasser la dose maximale indiquée</w:t>
      </w:r>
      <w:r w:rsidRPr="00F92DD2">
        <w:rPr>
          <w:lang w:val="fr-BE"/>
        </w:rPr>
        <w:t xml:space="preserve"> dans le tableau ci-dessous. </w:t>
      </w:r>
    </w:p>
    <w:tbl>
      <w:tblPr>
        <w:tblW w:w="9555" w:type="dxa"/>
        <w:tblInd w:w="161" w:type="dxa"/>
        <w:tblCellMar>
          <w:top w:w="46" w:type="dxa"/>
          <w:left w:w="77" w:type="dxa"/>
          <w:right w:w="3" w:type="dxa"/>
        </w:tblCellMar>
        <w:tblLook w:val="04A0" w:firstRow="1" w:lastRow="0" w:firstColumn="1" w:lastColumn="0" w:noHBand="0" w:noVBand="1"/>
      </w:tblPr>
      <w:tblGrid>
        <w:gridCol w:w="2610"/>
        <w:gridCol w:w="1984"/>
        <w:gridCol w:w="2401"/>
        <w:gridCol w:w="2560"/>
      </w:tblGrid>
      <w:tr w:rsidR="006C0836" w14:paraId="18C48841" w14:textId="77777777" w:rsidTr="00447F81">
        <w:trPr>
          <w:trHeight w:val="778"/>
        </w:trPr>
        <w:tc>
          <w:tcPr>
            <w:tcW w:w="2610" w:type="dxa"/>
            <w:tcBorders>
              <w:top w:val="single" w:sz="8" w:space="0" w:color="000000"/>
              <w:left w:val="single" w:sz="8" w:space="0" w:color="000000"/>
              <w:bottom w:val="single" w:sz="8" w:space="0" w:color="000000"/>
              <w:right w:val="single" w:sz="8" w:space="0" w:color="000000"/>
            </w:tcBorders>
            <w:shd w:val="clear" w:color="auto" w:fill="D9D9D9"/>
          </w:tcPr>
          <w:p w14:paraId="3BDCF9C6" w14:textId="77777777" w:rsidR="001D6EB2" w:rsidRDefault="006C0836" w:rsidP="00447F81">
            <w:pPr>
              <w:pStyle w:val="AmmCorpsTexte"/>
              <w:jc w:val="center"/>
            </w:pPr>
            <w:r w:rsidRPr="00C320B2">
              <w:rPr>
                <w:b/>
              </w:rPr>
              <w:t>Poids</w:t>
            </w:r>
            <w:r w:rsidRPr="00C320B2">
              <w:t xml:space="preserve"> </w:t>
            </w:r>
          </w:p>
          <w:p w14:paraId="09936910" w14:textId="3B8F2AAE" w:rsidR="006C0836" w:rsidRPr="00C320B2" w:rsidRDefault="006C0836" w:rsidP="00447F81">
            <w:pPr>
              <w:pStyle w:val="AmmCorpsTexte"/>
              <w:jc w:val="center"/>
            </w:pPr>
            <w:r w:rsidRPr="00C320B2">
              <w:t>(</w:t>
            </w:r>
            <w:r w:rsidR="001D6EB2">
              <w:t>â</w:t>
            </w:r>
            <w:r w:rsidRPr="00C320B2">
              <w:t>ge approximatif)</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cPr>
          <w:p w14:paraId="77325284" w14:textId="00694402" w:rsidR="006C0836" w:rsidRPr="00C320B2" w:rsidRDefault="006C0836" w:rsidP="00447F81">
            <w:pPr>
              <w:pStyle w:val="AmmCorpsTexte"/>
              <w:jc w:val="center"/>
            </w:pPr>
            <w:r w:rsidRPr="00C320B2">
              <w:rPr>
                <w:b/>
              </w:rPr>
              <w:t>Dose</w:t>
            </w:r>
            <w:r w:rsidR="001D6EB2">
              <w:rPr>
                <w:b/>
              </w:rPr>
              <w:t xml:space="preserve"> maximale</w:t>
            </w:r>
          </w:p>
          <w:p w14:paraId="60948BA3" w14:textId="77777777" w:rsidR="006C0836" w:rsidRPr="00C320B2" w:rsidRDefault="006C0836" w:rsidP="00447F81">
            <w:pPr>
              <w:pStyle w:val="AmmCorpsTexte"/>
              <w:jc w:val="center"/>
            </w:pPr>
            <w:r w:rsidRPr="00C320B2">
              <w:t>par prise</w:t>
            </w:r>
          </w:p>
        </w:tc>
        <w:tc>
          <w:tcPr>
            <w:tcW w:w="2401" w:type="dxa"/>
            <w:tcBorders>
              <w:top w:val="single" w:sz="8" w:space="0" w:color="000000"/>
              <w:left w:val="single" w:sz="8" w:space="0" w:color="000000"/>
              <w:bottom w:val="single" w:sz="8" w:space="0" w:color="000000"/>
              <w:right w:val="single" w:sz="8" w:space="0" w:color="000000"/>
            </w:tcBorders>
            <w:shd w:val="clear" w:color="auto" w:fill="D9D9D9"/>
          </w:tcPr>
          <w:p w14:paraId="3DBDC574" w14:textId="77777777" w:rsidR="006C0836" w:rsidRPr="00C320B2" w:rsidRDefault="006C0836" w:rsidP="00447F81">
            <w:pPr>
              <w:pStyle w:val="AmmCorpsTexte"/>
              <w:jc w:val="center"/>
            </w:pPr>
            <w:r w:rsidRPr="00C320B2">
              <w:rPr>
                <w:b/>
              </w:rPr>
              <w:t>Intervalle</w:t>
            </w:r>
            <w:r w:rsidRPr="00C320B2">
              <w:t xml:space="preserve"> entre deux doses</w:t>
            </w:r>
          </w:p>
        </w:tc>
        <w:tc>
          <w:tcPr>
            <w:tcW w:w="2560" w:type="dxa"/>
            <w:tcBorders>
              <w:top w:val="single" w:sz="8" w:space="0" w:color="000000"/>
              <w:left w:val="single" w:sz="8" w:space="0" w:color="000000"/>
              <w:bottom w:val="single" w:sz="8" w:space="0" w:color="000000"/>
              <w:right w:val="single" w:sz="8" w:space="0" w:color="000000"/>
            </w:tcBorders>
            <w:shd w:val="clear" w:color="auto" w:fill="D9D9D9"/>
          </w:tcPr>
          <w:p w14:paraId="344CD9CB" w14:textId="77777777" w:rsidR="006C0836" w:rsidRPr="00C320B2" w:rsidRDefault="00700AFC" w:rsidP="00447F81">
            <w:pPr>
              <w:pStyle w:val="AmmCorpsTexte"/>
              <w:jc w:val="center"/>
            </w:pPr>
            <w:r>
              <w:rPr>
                <w:b/>
              </w:rPr>
              <w:t xml:space="preserve">Dose </w:t>
            </w:r>
            <w:r w:rsidR="006C0836" w:rsidRPr="00C320B2">
              <w:rPr>
                <w:b/>
              </w:rPr>
              <w:t>maximale</w:t>
            </w:r>
          </w:p>
          <w:p w14:paraId="034C14BF" w14:textId="77777777" w:rsidR="006C0836" w:rsidRPr="00C320B2" w:rsidRDefault="006C0836" w:rsidP="00447F81">
            <w:pPr>
              <w:pStyle w:val="AmmCorpsTexte"/>
              <w:jc w:val="center"/>
            </w:pPr>
            <w:r w:rsidRPr="00C320B2">
              <w:rPr>
                <w:b/>
              </w:rPr>
              <w:t>par jour</w:t>
            </w:r>
          </w:p>
        </w:tc>
      </w:tr>
      <w:tr w:rsidR="006C0836" w14:paraId="0BB4C85D" w14:textId="77777777" w:rsidTr="00447F81">
        <w:trPr>
          <w:trHeight w:val="787"/>
        </w:trPr>
        <w:tc>
          <w:tcPr>
            <w:tcW w:w="2610" w:type="dxa"/>
            <w:tcBorders>
              <w:top w:val="single" w:sz="8" w:space="0" w:color="000000"/>
              <w:left w:val="single" w:sz="8" w:space="0" w:color="000000"/>
              <w:bottom w:val="single" w:sz="8" w:space="0" w:color="000000"/>
              <w:right w:val="single" w:sz="8" w:space="0" w:color="000000"/>
            </w:tcBorders>
            <w:shd w:val="clear" w:color="auto" w:fill="auto"/>
          </w:tcPr>
          <w:p w14:paraId="46ABE72E" w14:textId="202A704B" w:rsidR="006C0836" w:rsidRPr="00C320B2" w:rsidRDefault="00D23DDD" w:rsidP="00E16BFE">
            <w:pPr>
              <w:pStyle w:val="AmmCorpsTexte"/>
              <w:jc w:val="center"/>
            </w:pPr>
            <w:r w:rsidRPr="00D61ABD">
              <w:rPr>
                <w:rFonts w:cs="Arial"/>
                <w:b/>
              </w:rPr>
              <w:t xml:space="preserve">Adulte et enfant </w:t>
            </w:r>
            <w:r w:rsidRPr="00C74C30">
              <w:rPr>
                <w:rFonts w:cs="Arial"/>
                <w:b/>
                <w:bCs/>
              </w:rPr>
              <w:t xml:space="preserve">à partir </w:t>
            </w:r>
            <w:r>
              <w:rPr>
                <w:rFonts w:cs="Arial"/>
                <w:b/>
                <w:bCs/>
              </w:rPr>
              <w:t>de</w:t>
            </w:r>
            <w:r w:rsidR="006C0836" w:rsidRPr="00C320B2">
              <w:rPr>
                <w:b/>
              </w:rPr>
              <w:t xml:space="preserve"> 50 kg</w:t>
            </w:r>
          </w:p>
          <w:p w14:paraId="4BD097B7" w14:textId="7EEF9C56" w:rsidR="006C0836" w:rsidRPr="00C320B2" w:rsidRDefault="006C0836" w:rsidP="00E16BFE">
            <w:pPr>
              <w:pStyle w:val="AmmCorpsTexte"/>
              <w:jc w:val="center"/>
            </w:pPr>
            <w:r w:rsidRPr="00C320B2">
              <w:t>(environ 15 ans)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1C5936AD" w14:textId="77777777" w:rsidR="006C0836" w:rsidRPr="00C320B2" w:rsidRDefault="006C0836" w:rsidP="00447F81">
            <w:pPr>
              <w:pStyle w:val="AmmCorpsTexte"/>
              <w:jc w:val="center"/>
            </w:pPr>
            <w:r w:rsidRPr="00C320B2">
              <w:t>1000 mg</w:t>
            </w:r>
          </w:p>
          <w:p w14:paraId="2593539B" w14:textId="0BF8A9D2" w:rsidR="006C0836" w:rsidRPr="00C320B2" w:rsidRDefault="00D23DDD" w:rsidP="00447F81">
            <w:pPr>
              <w:pStyle w:val="AmmCorpsTexte"/>
              <w:jc w:val="center"/>
            </w:pPr>
            <w:r>
              <w:t>s</w:t>
            </w:r>
            <w:r w:rsidR="006C0836" w:rsidRPr="00C320B2">
              <w:t>oit 1 g</w:t>
            </w:r>
          </w:p>
          <w:p w14:paraId="1FFB2319" w14:textId="77777777" w:rsidR="006C0836" w:rsidRPr="00C320B2" w:rsidRDefault="006C0836" w:rsidP="00447F81">
            <w:pPr>
              <w:pStyle w:val="AmmCorpsTexte"/>
              <w:jc w:val="center"/>
            </w:pPr>
            <w:r>
              <w:t xml:space="preserve">(1 </w:t>
            </w:r>
            <w:r w:rsidRPr="006C0836">
              <w:rPr>
                <w:highlight w:val="yellow"/>
              </w:rPr>
              <w:t>xxx</w:t>
            </w:r>
            <w:r w:rsidRPr="00C320B2">
              <w:t>)</w:t>
            </w:r>
          </w:p>
        </w:tc>
        <w:tc>
          <w:tcPr>
            <w:tcW w:w="2401" w:type="dxa"/>
            <w:tcBorders>
              <w:top w:val="single" w:sz="8" w:space="0" w:color="000000"/>
              <w:left w:val="single" w:sz="8" w:space="0" w:color="000000"/>
              <w:bottom w:val="single" w:sz="8" w:space="0" w:color="000000"/>
              <w:right w:val="single" w:sz="8" w:space="0" w:color="000000"/>
            </w:tcBorders>
            <w:shd w:val="clear" w:color="auto" w:fill="auto"/>
          </w:tcPr>
          <w:p w14:paraId="007E3BFF" w14:textId="77777777" w:rsidR="006C0836" w:rsidRPr="00C320B2" w:rsidRDefault="006C0836" w:rsidP="00447F81">
            <w:pPr>
              <w:pStyle w:val="AmmCorpsTexte"/>
              <w:jc w:val="center"/>
            </w:pPr>
            <w:r w:rsidRPr="00C320B2">
              <w:t>4 heures minimum</w:t>
            </w:r>
          </w:p>
        </w:tc>
        <w:tc>
          <w:tcPr>
            <w:tcW w:w="2560" w:type="dxa"/>
            <w:tcBorders>
              <w:top w:val="single" w:sz="8" w:space="0" w:color="000000"/>
              <w:left w:val="single" w:sz="8" w:space="0" w:color="000000"/>
              <w:bottom w:val="single" w:sz="8" w:space="0" w:color="000000"/>
              <w:right w:val="single" w:sz="8" w:space="0" w:color="000000"/>
            </w:tcBorders>
            <w:shd w:val="clear" w:color="auto" w:fill="auto"/>
          </w:tcPr>
          <w:p w14:paraId="05D044D0" w14:textId="77777777" w:rsidR="006C0836" w:rsidRPr="00C320B2" w:rsidRDefault="006C0836" w:rsidP="00447F81">
            <w:pPr>
              <w:pStyle w:val="AmmCorpsTexte"/>
              <w:jc w:val="center"/>
            </w:pPr>
            <w:r w:rsidRPr="00C320B2">
              <w:t>3000 mg par jour</w:t>
            </w:r>
          </w:p>
          <w:p w14:paraId="21EC8242" w14:textId="77777777" w:rsidR="006C0836" w:rsidRPr="00C320B2" w:rsidRDefault="006C0836" w:rsidP="00447F81">
            <w:pPr>
              <w:pStyle w:val="AmmCorpsTexte"/>
              <w:jc w:val="center"/>
            </w:pPr>
            <w:r w:rsidRPr="00C320B2">
              <w:t>soit 3 g</w:t>
            </w:r>
          </w:p>
          <w:p w14:paraId="094DE0C6" w14:textId="77777777" w:rsidR="006C0836" w:rsidRPr="00C320B2" w:rsidRDefault="006C0836" w:rsidP="00447F81">
            <w:pPr>
              <w:pStyle w:val="AmmCorpsTexte"/>
              <w:jc w:val="center"/>
            </w:pPr>
            <w:r>
              <w:t xml:space="preserve">(3 </w:t>
            </w:r>
            <w:r w:rsidRPr="006C0836">
              <w:rPr>
                <w:highlight w:val="yellow"/>
              </w:rPr>
              <w:t>xxx</w:t>
            </w:r>
            <w:r w:rsidRPr="00C320B2">
              <w:t>)</w:t>
            </w:r>
          </w:p>
        </w:tc>
      </w:tr>
    </w:tbl>
    <w:p w14:paraId="60FBF329" w14:textId="494D992F" w:rsidR="00B74604" w:rsidRDefault="00700AFC" w:rsidP="00B74604">
      <w:pPr>
        <w:pStyle w:val="AmmCorpsTexte"/>
        <w:rPr>
          <w:lang w:val="fr-BE"/>
        </w:rPr>
      </w:pPr>
      <w:r w:rsidRPr="00E47C75">
        <w:rPr>
          <w:b/>
          <w:lang w:val="fr-BE"/>
        </w:rPr>
        <w:t xml:space="preserve">Attention : </w:t>
      </w:r>
      <w:r w:rsidRPr="00E47C75">
        <w:rPr>
          <w:lang w:val="fr-BE"/>
        </w:rPr>
        <w:t>Pour éviter un risque de surdosage, vérifiez l'absence de paracétamol dans la composition d'autres médicaments, y compris pour les médicaments obtenus sans ordonnance.</w:t>
      </w:r>
      <w:r w:rsidRPr="00E47C75">
        <w:rPr>
          <w:b/>
          <w:lang w:val="fr-BE"/>
        </w:rPr>
        <w:t xml:space="preserve"> Respectez les doses maximales recommandées</w:t>
      </w:r>
      <w:r w:rsidR="00E332E6" w:rsidRPr="00E332E6">
        <w:rPr>
          <w:lang w:val="fr-BE"/>
        </w:rPr>
        <w:t xml:space="preserve"> </w:t>
      </w:r>
      <w:r w:rsidR="00E332E6" w:rsidRPr="00FD03EE">
        <w:rPr>
          <w:b/>
          <w:bCs/>
          <w:lang w:val="fr-BE"/>
        </w:rPr>
        <w:t>ou la dose prescrite par votre médecin</w:t>
      </w:r>
      <w:r w:rsidR="00E332E6" w:rsidRPr="00E47C75">
        <w:rPr>
          <w:lang w:val="fr-BE"/>
        </w:rPr>
        <w:t xml:space="preserve"> : une dose plus élevée ne soulagera pas plus votre douleur, mais peut avoir des conséquences graves sur votre foie.</w:t>
      </w:r>
    </w:p>
    <w:p w14:paraId="64A2B5A6" w14:textId="77777777" w:rsidR="00FD03EE" w:rsidRDefault="00B74604" w:rsidP="00B74604">
      <w:pPr>
        <w:pStyle w:val="AmmCorpsTexte"/>
        <w:rPr>
          <w:rFonts w:cs="Arial"/>
          <w:lang w:val="fr-BE"/>
        </w:rPr>
      </w:pPr>
      <w:r w:rsidRPr="00B74604">
        <w:rPr>
          <w:rFonts w:eastAsia="Arial"/>
          <w:b/>
          <w:bCs/>
        </w:rPr>
        <w:t>Adulte pesant moins de 50 kg, malnutrition chronique, déshydratation</w:t>
      </w:r>
      <w:r w:rsidR="00FD03EE">
        <w:rPr>
          <w:rFonts w:eastAsia="Arial"/>
          <w:b/>
          <w:bCs/>
        </w:rPr>
        <w:t>, personnes âgées</w:t>
      </w:r>
      <w:r w:rsidRPr="00B74604">
        <w:rPr>
          <w:rFonts w:eastAsia="Arial"/>
          <w:b/>
          <w:bCs/>
        </w:rPr>
        <w:t xml:space="preserve"> :</w:t>
      </w:r>
      <w:r w:rsidR="00FD03EE" w:rsidRPr="00E47C75">
        <w:rPr>
          <w:lang w:val="fr-BE"/>
        </w:rPr>
        <w:t xml:space="preserve"> </w:t>
      </w:r>
      <w:r w:rsidR="00FD03EE" w:rsidRPr="00FD03EE">
        <w:rPr>
          <w:rFonts w:cs="Arial"/>
          <w:lang w:val="fr-BE"/>
        </w:rPr>
        <w:t>demandez conseil à votre médecin ou votre pharmacien.</w:t>
      </w:r>
    </w:p>
    <w:p w14:paraId="7B000925" w14:textId="5D9785AD" w:rsidR="00B74604" w:rsidRPr="00382A26" w:rsidRDefault="00B74604" w:rsidP="00B74604">
      <w:pPr>
        <w:pStyle w:val="AmmCorpsTexte"/>
      </w:pPr>
      <w:r w:rsidRPr="00382A26">
        <w:rPr>
          <w:b/>
        </w:rPr>
        <w:t xml:space="preserve">Insuffisance hépatique, alcoolisme chronique et </w:t>
      </w:r>
      <w:r w:rsidR="00952B61">
        <w:rPr>
          <w:b/>
        </w:rPr>
        <w:t>syndrome</w:t>
      </w:r>
      <w:r w:rsidR="00952B61" w:rsidRPr="00382A26">
        <w:rPr>
          <w:b/>
        </w:rPr>
        <w:t xml:space="preserve"> </w:t>
      </w:r>
      <w:r w:rsidRPr="00382A26">
        <w:rPr>
          <w:b/>
        </w:rPr>
        <w:t>de Gilbert :</w:t>
      </w:r>
      <w:r>
        <w:t xml:space="preserve"> ne jamais dépasser 2000 mg (2 </w:t>
      </w:r>
      <w:r w:rsidRPr="00382A26">
        <w:t xml:space="preserve">g) de paracétamol par jour.  </w:t>
      </w:r>
    </w:p>
    <w:p w14:paraId="4B6BBDFC" w14:textId="77777777" w:rsidR="00B74604" w:rsidRPr="00B74604" w:rsidRDefault="00B74604" w:rsidP="00B74604">
      <w:pPr>
        <w:spacing w:after="120" w:line="247" w:lineRule="auto"/>
        <w:ind w:right="181"/>
        <w:rPr>
          <w:rFonts w:ascii="Arial" w:eastAsia="Arial" w:hAnsi="Arial"/>
          <w:b/>
          <w:bCs/>
          <w:sz w:val="20"/>
        </w:rPr>
      </w:pPr>
      <w:r w:rsidRPr="00B74604">
        <w:rPr>
          <w:rFonts w:ascii="Arial" w:eastAsia="Arial" w:hAnsi="Arial"/>
          <w:b/>
          <w:bCs/>
          <w:sz w:val="20"/>
        </w:rPr>
        <w:t xml:space="preserve">Insuffisance rénale : </w:t>
      </w:r>
      <w:r w:rsidRPr="00B74604">
        <w:rPr>
          <w:rFonts w:ascii="Arial" w:eastAsia="Arial" w:hAnsi="Arial"/>
          <w:sz w:val="20"/>
        </w:rPr>
        <w:t>La posologie doit être adaptée en fonction du degré d’insuffisance rénale. Consultez votre médecin avant de prendre ce médicament</w:t>
      </w:r>
      <w:r w:rsidRPr="00B74604">
        <w:rPr>
          <w:rFonts w:ascii="Arial" w:eastAsia="Arial" w:hAnsi="Arial"/>
          <w:b/>
          <w:bCs/>
          <w:sz w:val="20"/>
        </w:rPr>
        <w:t xml:space="preserve">.  </w:t>
      </w:r>
    </w:p>
    <w:p w14:paraId="5EAD14AE" w14:textId="77777777" w:rsidR="00E332E6" w:rsidRDefault="00E332E6" w:rsidP="00E332E6">
      <w:pPr>
        <w:pStyle w:val="AmmCorpsTexte"/>
        <w:rPr>
          <w:lang w:val="fr-BE"/>
        </w:rPr>
      </w:pPr>
      <w:r w:rsidRPr="00E47C75">
        <w:rPr>
          <w:lang w:val="fr-BE"/>
        </w:rPr>
        <w:t>Si vous avez l’impression que l’effet de ce médicament est trop fort ou trop faible, ne dépassez pas les doses, demandez conseil à votre médecin ou votre pharmacien.</w:t>
      </w:r>
    </w:p>
    <w:p w14:paraId="4828F064" w14:textId="77777777" w:rsidR="00B74604" w:rsidRPr="00B74604" w:rsidRDefault="00B74604" w:rsidP="00B74604">
      <w:pPr>
        <w:keepNext/>
        <w:keepLines/>
        <w:spacing w:before="120" w:after="120"/>
        <w:rPr>
          <w:rFonts w:ascii="Arial" w:hAnsi="Arial"/>
          <w:b/>
          <w:sz w:val="20"/>
          <w:u w:val="single"/>
        </w:rPr>
      </w:pPr>
      <w:r w:rsidRPr="00B74604">
        <w:rPr>
          <w:rFonts w:ascii="Arial" w:hAnsi="Arial"/>
          <w:b/>
          <w:sz w:val="20"/>
          <w:u w:val="single"/>
        </w:rPr>
        <w:t>Mode d’administration</w:t>
      </w:r>
    </w:p>
    <w:p w14:paraId="659B0843" w14:textId="77777777" w:rsidR="00B74604" w:rsidRDefault="00B74604" w:rsidP="00B74604">
      <w:pPr>
        <w:spacing w:after="120"/>
        <w:rPr>
          <w:rFonts w:ascii="Arial" w:hAnsi="Arial"/>
          <w:sz w:val="20"/>
        </w:rPr>
      </w:pPr>
      <w:r w:rsidRPr="00B74604">
        <w:rPr>
          <w:rFonts w:ascii="Arial" w:hAnsi="Arial"/>
          <w:sz w:val="20"/>
        </w:rPr>
        <w:t>Voie orale.</w:t>
      </w:r>
    </w:p>
    <w:p w14:paraId="0798EDAD" w14:textId="77777777" w:rsidR="00C01296" w:rsidRPr="00C01296" w:rsidRDefault="00C01296" w:rsidP="00B74604">
      <w:pPr>
        <w:spacing w:after="120"/>
        <w:rPr>
          <w:rFonts w:ascii="Arial" w:hAnsi="Arial"/>
          <w:i/>
          <w:sz w:val="20"/>
        </w:rPr>
      </w:pPr>
      <w:r w:rsidRPr="003F09D8">
        <w:rPr>
          <w:rFonts w:ascii="Arial" w:hAnsi="Arial"/>
          <w:i/>
          <w:sz w:val="20"/>
          <w:highlight w:val="yellow"/>
        </w:rPr>
        <w:t>[À adapter selon la forme : effervescent, suspension buvable…)]</w:t>
      </w:r>
    </w:p>
    <w:p w14:paraId="10E2B894" w14:textId="77777777" w:rsidR="00B74604" w:rsidRPr="00B74604" w:rsidRDefault="00B74604" w:rsidP="00B74604">
      <w:pPr>
        <w:spacing w:after="120"/>
        <w:rPr>
          <w:rFonts w:ascii="Arial" w:hAnsi="Arial"/>
          <w:sz w:val="20"/>
        </w:rPr>
      </w:pPr>
      <w:r w:rsidRPr="00B74604">
        <w:rPr>
          <w:rFonts w:ascii="Arial" w:hAnsi="Arial"/>
          <w:sz w:val="20"/>
          <w:highlight w:val="yellow"/>
        </w:rPr>
        <w:t xml:space="preserve">Les comprimés sont à avaler </w:t>
      </w:r>
      <w:r w:rsidR="00C01296">
        <w:rPr>
          <w:rFonts w:ascii="Arial" w:hAnsi="Arial"/>
          <w:sz w:val="20"/>
          <w:highlight w:val="yellow"/>
        </w:rPr>
        <w:t>tels quels avec un verre d’eau.</w:t>
      </w:r>
    </w:p>
    <w:p w14:paraId="64CFB81E" w14:textId="77777777" w:rsidR="00B74604" w:rsidRPr="00B74604" w:rsidRDefault="00B74604" w:rsidP="00B74604">
      <w:pPr>
        <w:keepNext/>
        <w:keepLines/>
        <w:spacing w:before="120" w:after="120"/>
        <w:rPr>
          <w:rFonts w:ascii="Arial" w:hAnsi="Arial"/>
          <w:b/>
          <w:sz w:val="20"/>
          <w:u w:val="single"/>
          <w:lang w:val="fr-BE"/>
        </w:rPr>
      </w:pPr>
      <w:r w:rsidRPr="00B74604">
        <w:rPr>
          <w:rFonts w:ascii="Arial" w:hAnsi="Arial"/>
          <w:b/>
          <w:sz w:val="20"/>
          <w:u w:val="single"/>
          <w:lang w:val="fr-BE"/>
        </w:rPr>
        <w:t>Durée de traitement</w:t>
      </w:r>
    </w:p>
    <w:p w14:paraId="0FD73323" w14:textId="77777777" w:rsidR="00871C66" w:rsidRDefault="00871C66" w:rsidP="00B74604">
      <w:pPr>
        <w:spacing w:after="10" w:line="259" w:lineRule="auto"/>
        <w:jc w:val="left"/>
        <w:rPr>
          <w:rFonts w:ascii="Arial" w:eastAsia="Arial" w:hAnsi="Arial" w:cs="Arial"/>
          <w:color w:val="000000"/>
          <w:sz w:val="20"/>
          <w:szCs w:val="22"/>
        </w:rPr>
      </w:pPr>
      <w:r w:rsidRPr="00871C66">
        <w:rPr>
          <w:rFonts w:ascii="Arial" w:eastAsia="Arial" w:hAnsi="Arial" w:cs="Arial"/>
          <w:color w:val="000000"/>
          <w:sz w:val="20"/>
          <w:szCs w:val="22"/>
        </w:rPr>
        <w:t>Une utilisation fréquente ou prolongée sans surveillance médicale est déconseillée.</w:t>
      </w:r>
    </w:p>
    <w:p w14:paraId="4DD19031" w14:textId="77777777" w:rsidR="00B74604" w:rsidRPr="00B74604" w:rsidRDefault="00B74604" w:rsidP="00B74604">
      <w:pPr>
        <w:spacing w:after="10" w:line="259" w:lineRule="auto"/>
        <w:jc w:val="left"/>
        <w:rPr>
          <w:rFonts w:ascii="Arial" w:eastAsia="Arial" w:hAnsi="Arial"/>
          <w:sz w:val="20"/>
        </w:rPr>
      </w:pPr>
      <w:r w:rsidRPr="00B74604">
        <w:rPr>
          <w:rFonts w:ascii="Arial" w:eastAsia="Arial" w:hAnsi="Arial" w:cs="Arial"/>
          <w:color w:val="000000"/>
          <w:sz w:val="20"/>
          <w:szCs w:val="22"/>
        </w:rPr>
        <w:t>Sauf avis médical, la durée du traitement est limitée à 5 jours en cas de douleurs et à 3 jours en cas de fièvre.</w:t>
      </w:r>
      <w:r w:rsidRPr="00B74604">
        <w:rPr>
          <w:rFonts w:ascii="Arial" w:eastAsia="Arial" w:hAnsi="Arial"/>
          <w:sz w:val="20"/>
        </w:rPr>
        <w:t xml:space="preserve"> </w:t>
      </w:r>
    </w:p>
    <w:p w14:paraId="7B9596C4" w14:textId="77777777" w:rsidR="00B74604" w:rsidRPr="00B74604" w:rsidRDefault="00B74604" w:rsidP="00B74604">
      <w:pPr>
        <w:spacing w:after="10" w:line="259" w:lineRule="auto"/>
        <w:jc w:val="left"/>
        <w:rPr>
          <w:rFonts w:ascii="Arial" w:eastAsia="Arial" w:hAnsi="Arial" w:cs="Arial"/>
          <w:color w:val="000000"/>
          <w:sz w:val="20"/>
          <w:szCs w:val="22"/>
        </w:rPr>
      </w:pPr>
      <w:r w:rsidRPr="00B74604">
        <w:rPr>
          <w:rFonts w:ascii="Arial" w:eastAsia="Arial" w:hAnsi="Arial"/>
          <w:sz w:val="20"/>
        </w:rPr>
        <w:t>Si les symptômes persistent au-delà, s’ils s’aggravent, ou si de nouveaux symptômes apparaissent, arrêtez le traitement et consultez immédiatement votre médecin.</w:t>
      </w:r>
    </w:p>
    <w:p w14:paraId="25DA0FCF" w14:textId="77777777" w:rsidR="00B74604" w:rsidRPr="00B74604" w:rsidRDefault="00B74604" w:rsidP="00FD03EE">
      <w:pPr>
        <w:spacing w:before="120" w:after="120"/>
        <w:rPr>
          <w:rFonts w:ascii="Arial" w:hAnsi="Arial"/>
          <w:b/>
          <w:bCs/>
          <w:sz w:val="20"/>
        </w:rPr>
      </w:pPr>
      <w:r w:rsidRPr="00B74604">
        <w:rPr>
          <w:rFonts w:ascii="Arial" w:hAnsi="Arial"/>
          <w:b/>
          <w:bCs/>
          <w:sz w:val="20"/>
        </w:rPr>
        <w:lastRenderedPageBreak/>
        <w:t>Si vous avez pris plus de xxx que vous n’auriez dû</w:t>
      </w:r>
    </w:p>
    <w:p w14:paraId="399D3CFC" w14:textId="77777777" w:rsidR="00B74604" w:rsidRDefault="00B74604" w:rsidP="00B74604">
      <w:pPr>
        <w:spacing w:after="120"/>
        <w:rPr>
          <w:rFonts w:ascii="Arial" w:hAnsi="Arial"/>
          <w:sz w:val="20"/>
        </w:rPr>
      </w:pPr>
      <w:r w:rsidRPr="00B74604">
        <w:rPr>
          <w:rFonts w:ascii="Arial" w:hAnsi="Arial"/>
          <w:sz w:val="20"/>
        </w:rPr>
        <w:t xml:space="preserve">Arrêtez le traitement et consultez </w:t>
      </w:r>
      <w:r w:rsidRPr="00B74604">
        <w:rPr>
          <w:rFonts w:ascii="Arial" w:hAnsi="Arial"/>
          <w:b/>
          <w:sz w:val="20"/>
          <w:u w:val="single"/>
        </w:rPr>
        <w:t>immédiatement</w:t>
      </w:r>
      <w:r w:rsidRPr="00B74604">
        <w:rPr>
          <w:rFonts w:ascii="Arial" w:hAnsi="Arial"/>
          <w:sz w:val="20"/>
        </w:rPr>
        <w:t xml:space="preserve"> votre médecin ou les urgences médicales.</w:t>
      </w:r>
    </w:p>
    <w:p w14:paraId="60395FA5" w14:textId="77777777" w:rsidR="00B74604" w:rsidRPr="00B74604" w:rsidRDefault="00B74604" w:rsidP="00B74604">
      <w:pPr>
        <w:spacing w:after="120"/>
        <w:rPr>
          <w:rFonts w:ascii="Arial" w:hAnsi="Arial"/>
          <w:b/>
          <w:bCs/>
          <w:sz w:val="20"/>
        </w:rPr>
      </w:pPr>
      <w:r w:rsidRPr="00B74604">
        <w:rPr>
          <w:rFonts w:ascii="Arial" w:hAnsi="Arial"/>
          <w:b/>
          <w:bCs/>
          <w:sz w:val="20"/>
        </w:rPr>
        <w:t xml:space="preserve">Un surdosage peut être mortel. </w:t>
      </w:r>
    </w:p>
    <w:p w14:paraId="14171D74" w14:textId="24649C92" w:rsidR="00B74604" w:rsidRPr="006C5D1B" w:rsidRDefault="00B74604" w:rsidP="00B74604">
      <w:pPr>
        <w:spacing w:after="120"/>
        <w:rPr>
          <w:rFonts w:ascii="Arial" w:hAnsi="Arial"/>
          <w:bCs/>
          <w:sz w:val="20"/>
        </w:rPr>
      </w:pPr>
      <w:r w:rsidRPr="00B74604">
        <w:rPr>
          <w:rFonts w:ascii="Arial" w:hAnsi="Arial"/>
          <w:bCs/>
          <w:sz w:val="20"/>
        </w:rPr>
        <w:t>Le surdosage peut être à l’origine d</w:t>
      </w:r>
      <w:r w:rsidR="00601ABE">
        <w:rPr>
          <w:rFonts w:ascii="Arial" w:hAnsi="Arial"/>
          <w:bCs/>
          <w:sz w:val="20"/>
        </w:rPr>
        <w:t>e lésions</w:t>
      </w:r>
      <w:r w:rsidRPr="00B74604">
        <w:rPr>
          <w:rFonts w:ascii="Arial" w:hAnsi="Arial"/>
          <w:bCs/>
          <w:sz w:val="20"/>
        </w:rPr>
        <w:t xml:space="preserve"> du foie, d’</w:t>
      </w:r>
      <w:r w:rsidR="00601ABE">
        <w:rPr>
          <w:rFonts w:ascii="Arial" w:hAnsi="Arial"/>
          <w:bCs/>
          <w:sz w:val="20"/>
        </w:rPr>
        <w:t>inflammation</w:t>
      </w:r>
      <w:r w:rsidRPr="00B74604">
        <w:rPr>
          <w:rFonts w:ascii="Arial" w:hAnsi="Arial"/>
          <w:bCs/>
          <w:sz w:val="20"/>
        </w:rPr>
        <w:t xml:space="preserve"> du cerveau, d’un coma, voire d’un décès, notamment chez les populations plus à risque telles que les jeunes enfants, les personnes âgées et dans certaines situations (maladie du foie ou des reins, alcoolisme</w:t>
      </w:r>
      <w:r w:rsidR="00952B61">
        <w:rPr>
          <w:rFonts w:ascii="Arial" w:hAnsi="Arial"/>
          <w:bCs/>
          <w:sz w:val="20"/>
        </w:rPr>
        <w:t xml:space="preserve"> chronique</w:t>
      </w:r>
      <w:r w:rsidRPr="00B74604">
        <w:rPr>
          <w:rFonts w:ascii="Arial" w:hAnsi="Arial"/>
          <w:bCs/>
          <w:sz w:val="20"/>
        </w:rPr>
        <w:t>, malnutrition chronique, jeûne, amaigrissement</w:t>
      </w:r>
      <w:r w:rsidRPr="00952B61">
        <w:rPr>
          <w:rFonts w:ascii="Arial" w:hAnsi="Arial" w:cs="Arial"/>
          <w:bCs/>
          <w:sz w:val="20"/>
        </w:rPr>
        <w:t xml:space="preserve"> </w:t>
      </w:r>
      <w:r w:rsidR="00952B61" w:rsidRPr="00952B61">
        <w:rPr>
          <w:rFonts w:ascii="Arial" w:hAnsi="Arial" w:cs="Arial"/>
          <w:bCs/>
          <w:sz w:val="20"/>
        </w:rPr>
        <w:t xml:space="preserve">récent, syndrome de Gilbert </w:t>
      </w:r>
      <w:r w:rsidRPr="00952B61">
        <w:rPr>
          <w:rFonts w:ascii="Arial" w:hAnsi="Arial" w:cs="Arial"/>
          <w:bCs/>
          <w:sz w:val="20"/>
        </w:rPr>
        <w:t xml:space="preserve">et chez les patients traités de manière concomitante avec </w:t>
      </w:r>
      <w:r w:rsidR="007E5E85">
        <w:rPr>
          <w:rFonts w:ascii="Arial" w:hAnsi="Arial" w:cs="Arial"/>
          <w:bCs/>
          <w:sz w:val="20"/>
        </w:rPr>
        <w:t>certains</w:t>
      </w:r>
      <w:r w:rsidRPr="00952B61">
        <w:rPr>
          <w:rFonts w:ascii="Arial" w:hAnsi="Arial" w:cs="Arial"/>
          <w:bCs/>
          <w:sz w:val="20"/>
        </w:rPr>
        <w:t xml:space="preserve"> médicaments</w:t>
      </w:r>
      <w:r w:rsidRPr="006C5D1B">
        <w:rPr>
          <w:rFonts w:ascii="Arial" w:hAnsi="Arial"/>
          <w:bCs/>
          <w:sz w:val="20"/>
        </w:rPr>
        <w:t xml:space="preserve">). </w:t>
      </w:r>
      <w:bookmarkStart w:id="93" w:name="_Hlk98364482"/>
      <w:r w:rsidR="00601ABE" w:rsidRPr="00601ABE">
        <w:rPr>
          <w:rFonts w:ascii="Arial" w:hAnsi="Arial"/>
          <w:bCs/>
          <w:sz w:val="20"/>
        </w:rPr>
        <w:t>Des cas d’inflammation du pancréas</w:t>
      </w:r>
      <w:r w:rsidR="00B32141">
        <w:rPr>
          <w:rFonts w:ascii="Arial" w:hAnsi="Arial"/>
          <w:bCs/>
          <w:sz w:val="20"/>
        </w:rPr>
        <w:t xml:space="preserve"> </w:t>
      </w:r>
      <w:r w:rsidR="00B32141" w:rsidRPr="00B32141">
        <w:rPr>
          <w:rFonts w:ascii="Arial" w:hAnsi="Arial"/>
          <w:bCs/>
          <w:sz w:val="20"/>
        </w:rPr>
        <w:t xml:space="preserve">(provoquant de fortes douleurs dans le ventre et le dos), d'augmentation </w:t>
      </w:r>
      <w:r w:rsidR="00CA42EF" w:rsidRPr="00B32141">
        <w:rPr>
          <w:rFonts w:ascii="Arial" w:hAnsi="Arial"/>
          <w:bCs/>
          <w:sz w:val="20"/>
        </w:rPr>
        <w:t xml:space="preserve">dans le sang </w:t>
      </w:r>
      <w:r w:rsidR="00B32141" w:rsidRPr="00B32141">
        <w:rPr>
          <w:rFonts w:ascii="Arial" w:hAnsi="Arial"/>
          <w:bCs/>
          <w:sz w:val="20"/>
        </w:rPr>
        <w:t>du taux d’amylase</w:t>
      </w:r>
      <w:r w:rsidR="00601ABE" w:rsidRPr="00601ABE">
        <w:rPr>
          <w:rFonts w:ascii="Arial" w:hAnsi="Arial"/>
          <w:bCs/>
          <w:sz w:val="20"/>
        </w:rPr>
        <w:t>, de défaillance des reins et d’une réduction simultanée dans le sang des globules rouges, des globules blancs et des plaquettes ont également été rapportés.</w:t>
      </w:r>
      <w:bookmarkEnd w:id="93"/>
    </w:p>
    <w:p w14:paraId="24E046CD" w14:textId="3C6C7F3E" w:rsidR="006C5D1B" w:rsidRPr="006C5D1B" w:rsidRDefault="00B74604" w:rsidP="006C5D1B">
      <w:pPr>
        <w:spacing w:after="120"/>
        <w:rPr>
          <w:rFonts w:ascii="Arial" w:hAnsi="Arial"/>
          <w:bCs/>
          <w:sz w:val="20"/>
        </w:rPr>
      </w:pPr>
      <w:bookmarkStart w:id="94" w:name="_Hlk97128096"/>
      <w:r w:rsidRPr="006C5D1B">
        <w:rPr>
          <w:rFonts w:ascii="Arial" w:hAnsi="Arial"/>
          <w:bCs/>
          <w:sz w:val="20"/>
        </w:rPr>
        <w:t xml:space="preserve">Dans les 24 premières heures, les principaux symptômes d’intoxication sont : nausées, vomissements, </w:t>
      </w:r>
      <w:r w:rsidR="00952B61" w:rsidRPr="006C5D1B">
        <w:rPr>
          <w:rFonts w:ascii="Arial" w:hAnsi="Arial"/>
          <w:bCs/>
          <w:sz w:val="20"/>
        </w:rPr>
        <w:t xml:space="preserve">pâleur, malaise, sudation, </w:t>
      </w:r>
      <w:r w:rsidRPr="006C5D1B">
        <w:rPr>
          <w:rFonts w:ascii="Arial" w:hAnsi="Arial"/>
          <w:bCs/>
          <w:sz w:val="20"/>
        </w:rPr>
        <w:t>perte d’appétit,</w:t>
      </w:r>
      <w:r w:rsidR="00086521">
        <w:rPr>
          <w:rFonts w:ascii="Arial" w:hAnsi="Arial"/>
          <w:bCs/>
          <w:sz w:val="20"/>
        </w:rPr>
        <w:t xml:space="preserve"> </w:t>
      </w:r>
      <w:r w:rsidRPr="006C5D1B">
        <w:rPr>
          <w:rFonts w:ascii="Arial" w:hAnsi="Arial"/>
          <w:bCs/>
          <w:sz w:val="20"/>
        </w:rPr>
        <w:t>douleurs abdominales</w:t>
      </w:r>
      <w:r w:rsidR="007E5E85">
        <w:rPr>
          <w:rFonts w:ascii="Arial" w:hAnsi="Arial"/>
          <w:bCs/>
          <w:sz w:val="20"/>
        </w:rPr>
        <w:t>.</w:t>
      </w:r>
      <w:bookmarkEnd w:id="94"/>
    </w:p>
    <w:p w14:paraId="6579E82C" w14:textId="77777777" w:rsidR="00B74604" w:rsidRDefault="00B74604" w:rsidP="00B74604">
      <w:pPr>
        <w:pStyle w:val="AmmCorpsTexteGras"/>
      </w:pPr>
      <w:r w:rsidRPr="008A7948">
        <w:t>Si vous o</w:t>
      </w:r>
      <w:r>
        <w:t>ubliez de prendre</w:t>
      </w:r>
      <w:r w:rsidRPr="008A7948">
        <w:t xml:space="preserve"> xxx</w:t>
      </w:r>
    </w:p>
    <w:p w14:paraId="10CCCF8E" w14:textId="77777777" w:rsidR="00B74604" w:rsidRPr="00B91A38" w:rsidRDefault="00B74604" w:rsidP="00B74604">
      <w:pPr>
        <w:pStyle w:val="AmmCorpsTexte"/>
      </w:pPr>
      <w:r w:rsidRPr="00CF4476">
        <w:t>Ne prenez pas de dose double pour compenser la dose simple que vous avez oublié de prendre.</w:t>
      </w:r>
      <w:bookmarkStart w:id="95" w:name="_Toc142279020"/>
    </w:p>
    <w:bookmarkEnd w:id="95"/>
    <w:p w14:paraId="1C433FD2" w14:textId="77777777" w:rsidR="00B74604" w:rsidRDefault="00B74604" w:rsidP="00B74604">
      <w:pPr>
        <w:pStyle w:val="AmmCorpsTexteGras"/>
      </w:pPr>
      <w:r>
        <w:t>Si vous arrêtez de prendre</w:t>
      </w:r>
      <w:r w:rsidRPr="008A7948">
        <w:t xml:space="preserve"> xxx </w:t>
      </w:r>
    </w:p>
    <w:p w14:paraId="5AF42ED5" w14:textId="77777777" w:rsidR="00B74604" w:rsidRDefault="00B74604" w:rsidP="00B74604">
      <w:pPr>
        <w:pStyle w:val="AmmCorpsTexte"/>
      </w:pPr>
      <w:r>
        <w:t>Sans objet.</w:t>
      </w:r>
    </w:p>
    <w:p w14:paraId="64B58F86" w14:textId="77777777" w:rsidR="00E6215C" w:rsidRDefault="00B74604" w:rsidP="00E6215C">
      <w:pPr>
        <w:pStyle w:val="AmmCorpsTexte"/>
        <w:spacing w:before="240"/>
      </w:pPr>
      <w:r>
        <w:t>Si vous avez d’autres questions sur l’utilisation de ce médicament, demandez plus d’informations à votre médecin ou à votre pharmacien.</w:t>
      </w:r>
    </w:p>
    <w:p w14:paraId="244FE1F8" w14:textId="76EBDE49" w:rsidR="009E44EF" w:rsidRDefault="009E44EF">
      <w:pPr>
        <w:pStyle w:val="AmmAnnexeTitre1"/>
        <w:rPr>
          <w:caps w:val="0"/>
        </w:rPr>
      </w:pPr>
      <w:r>
        <w:rPr>
          <w:caps w:val="0"/>
        </w:rPr>
        <w:t>4.</w:t>
      </w:r>
      <w:r>
        <w:rPr>
          <w:caps w:val="0"/>
        </w:rPr>
        <w:tab/>
        <w:t>QUELS SONT LES EFFETS INDESIRABLES EVENTUELS ?</w:t>
      </w:r>
      <w:bookmarkEnd w:id="92"/>
    </w:p>
    <w:p w14:paraId="279CBC37" w14:textId="77777777" w:rsidR="008464F8" w:rsidRPr="008464F8" w:rsidRDefault="008464F8" w:rsidP="008464F8">
      <w:pPr>
        <w:spacing w:after="120"/>
        <w:rPr>
          <w:rFonts w:ascii="Arial" w:hAnsi="Arial"/>
          <w:sz w:val="20"/>
        </w:rPr>
      </w:pPr>
      <w:bookmarkStart w:id="96" w:name="_Toc142279023"/>
      <w:r w:rsidRPr="008464F8">
        <w:rPr>
          <w:rFonts w:ascii="Arial" w:hAnsi="Arial"/>
          <w:sz w:val="20"/>
        </w:rPr>
        <w:t>Comme tous les médicaments, ce médicament peut provoquer des effets indésirables, mais ils ne surviennent pas systématiquement chez tout le monde.</w:t>
      </w:r>
    </w:p>
    <w:p w14:paraId="2D1EB2F0" w14:textId="77777777" w:rsidR="00D23DDD" w:rsidRDefault="00D23DDD" w:rsidP="00D23DDD">
      <w:pPr>
        <w:pStyle w:val="AmmCorpsTexte"/>
        <w:spacing w:after="0"/>
      </w:pPr>
      <w:r w:rsidRPr="00AB2E5F">
        <w:rPr>
          <w:b/>
          <w:u w:val="single"/>
        </w:rPr>
        <w:t>Effets indésirables rares</w:t>
      </w:r>
      <w:r w:rsidRPr="000E6E5D">
        <w:t xml:space="preserve"> : peuvent affecter jusqu'à 1 personne sur 1</w:t>
      </w:r>
      <w:r>
        <w:t> </w:t>
      </w:r>
      <w:r w:rsidRPr="000E6E5D">
        <w:t>000</w:t>
      </w:r>
    </w:p>
    <w:p w14:paraId="0DC36321" w14:textId="77777777" w:rsidR="00D23DDD" w:rsidRPr="000E6E5D" w:rsidRDefault="00D23DDD" w:rsidP="00D23DDD">
      <w:pPr>
        <w:pStyle w:val="AmmCorpsTexte"/>
        <w:numPr>
          <w:ilvl w:val="0"/>
          <w:numId w:val="35"/>
        </w:numPr>
        <w:spacing w:after="0"/>
        <w:ind w:left="714" w:hanging="357"/>
      </w:pPr>
      <w:r w:rsidRPr="000E6E5D">
        <w:t>rougeur de la peau, éruption cutanée, urticaire.</w:t>
      </w:r>
      <w:r>
        <w:t xml:space="preserve"> </w:t>
      </w:r>
      <w:r w:rsidRPr="00BC4A98">
        <w:t xml:space="preserve">Il faut </w:t>
      </w:r>
      <w:r w:rsidRPr="00455447">
        <w:rPr>
          <w:u w:val="single"/>
        </w:rPr>
        <w:t>immédiatement arrêter le traitement</w:t>
      </w:r>
      <w:r w:rsidRPr="00BC4A98">
        <w:t>, avertir votre médecin et ne plus jamais reprendre de médicaments contenant du paracétamol.</w:t>
      </w:r>
    </w:p>
    <w:p w14:paraId="1BBE9679" w14:textId="14DDF11E" w:rsidR="00D23DDD" w:rsidRDefault="00D23DDD" w:rsidP="00D23DDD">
      <w:pPr>
        <w:pStyle w:val="AmmListePuces1"/>
        <w:numPr>
          <w:ilvl w:val="0"/>
          <w:numId w:val="35"/>
        </w:numPr>
        <w:ind w:left="714" w:hanging="357"/>
      </w:pPr>
      <w:r w:rsidRPr="000E6E5D">
        <w:t>taches de sang sur la peau</w:t>
      </w:r>
      <w:r>
        <w:t xml:space="preserve"> (purpura)</w:t>
      </w:r>
      <w:r w:rsidRPr="000E6E5D">
        <w:t xml:space="preserve">. </w:t>
      </w:r>
      <w:r w:rsidRPr="00BC4A98">
        <w:t xml:space="preserve">Il faut </w:t>
      </w:r>
      <w:r w:rsidRPr="00EC2F61">
        <w:rPr>
          <w:u w:val="single"/>
        </w:rPr>
        <w:t>immédiatement arrêter le traitement</w:t>
      </w:r>
      <w:r w:rsidR="00C66E38" w:rsidRPr="006E6561">
        <w:t xml:space="preserve"> et</w:t>
      </w:r>
      <w:r w:rsidRPr="00BC4A98">
        <w:t xml:space="preserve"> avertir votre médecin</w:t>
      </w:r>
      <w:r w:rsidR="00C66E38">
        <w:t>.</w:t>
      </w:r>
      <w:r w:rsidR="00C66E38" w:rsidRPr="00FD65B0">
        <w:t xml:space="preserve"> </w:t>
      </w:r>
      <w:r w:rsidR="00C66E38" w:rsidRPr="00FD65B0">
        <w:rPr>
          <w:rFonts w:eastAsia="Arial" w:cs="Arial"/>
          <w:lang w:eastAsia="en-US"/>
        </w:rPr>
        <w:t>Le traitement pourra être réintroduit uniquement selon l’avis de votre médecin</w:t>
      </w:r>
      <w:r w:rsidR="00C66E38" w:rsidRPr="00CF567B">
        <w:t>.</w:t>
      </w:r>
    </w:p>
    <w:p w14:paraId="07DBE0E4" w14:textId="3CE5C9E4" w:rsidR="00084EAB" w:rsidRPr="000E6E5D" w:rsidRDefault="00084EAB" w:rsidP="00D23DDD">
      <w:pPr>
        <w:pStyle w:val="AmmListePuces1"/>
        <w:numPr>
          <w:ilvl w:val="0"/>
          <w:numId w:val="35"/>
        </w:numPr>
        <w:ind w:left="714" w:hanging="357"/>
      </w:pPr>
      <w:r>
        <w:t>diarrhées, douleurs abdominales.</w:t>
      </w:r>
    </w:p>
    <w:p w14:paraId="50C9FEE3" w14:textId="1F2A8A05" w:rsidR="00D23DDD" w:rsidRPr="000E6E5D" w:rsidRDefault="00D23DDD" w:rsidP="00D23DDD">
      <w:pPr>
        <w:pStyle w:val="AmmListePuces1"/>
        <w:numPr>
          <w:ilvl w:val="0"/>
          <w:numId w:val="0"/>
        </w:numPr>
        <w:spacing w:before="120"/>
      </w:pPr>
      <w:r w:rsidRPr="00AB2E5F">
        <w:rPr>
          <w:b/>
          <w:u w:val="single"/>
        </w:rPr>
        <w:t>Effets indésirables très rares</w:t>
      </w:r>
      <w:r w:rsidRPr="000E6E5D">
        <w:t xml:space="preserve"> : peu</w:t>
      </w:r>
      <w:r>
        <w:t>ven</w:t>
      </w:r>
      <w:r w:rsidRPr="000E6E5D">
        <w:t>t affecter jusqu'à 1 personne sur 10 000</w:t>
      </w:r>
    </w:p>
    <w:p w14:paraId="604E6EE2" w14:textId="50F537A3" w:rsidR="00D23DDD" w:rsidRPr="00D23DDD" w:rsidRDefault="00D23DDD" w:rsidP="00D23DDD">
      <w:pPr>
        <w:pStyle w:val="Paragraphedeliste"/>
        <w:numPr>
          <w:ilvl w:val="0"/>
          <w:numId w:val="36"/>
        </w:numPr>
        <w:spacing w:after="120"/>
      </w:pPr>
      <w:r w:rsidRPr="00D23DDD">
        <w:t xml:space="preserve">réactions </w:t>
      </w:r>
      <w:r w:rsidR="008464F8" w:rsidRPr="00D23DDD">
        <w:t xml:space="preserve">cutanées graves. Il faut </w:t>
      </w:r>
      <w:r w:rsidR="008464F8" w:rsidRPr="00D23DDD">
        <w:rPr>
          <w:u w:val="single"/>
        </w:rPr>
        <w:t>immédiatement arrêter le traitement</w:t>
      </w:r>
      <w:r w:rsidR="008464F8" w:rsidRPr="00D23DDD">
        <w:t>, avertir votre médecin et ne plus jamais reprendre de médicaments contenant du paracétamol.</w:t>
      </w:r>
    </w:p>
    <w:p w14:paraId="3EFA33DB" w14:textId="24B6D435" w:rsidR="008464F8" w:rsidRDefault="008464F8" w:rsidP="00683DCD">
      <w:pPr>
        <w:pStyle w:val="Paragraphedeliste"/>
        <w:numPr>
          <w:ilvl w:val="0"/>
          <w:numId w:val="36"/>
        </w:numPr>
        <w:ind w:left="714" w:hanging="357"/>
      </w:pPr>
      <w:r w:rsidRPr="00D23DDD">
        <w:t>modifications biologiques</w:t>
      </w:r>
      <w:r w:rsidR="00D23DDD">
        <w:t xml:space="preserve"> </w:t>
      </w:r>
      <w:r w:rsidR="00D23DDD" w:rsidRPr="000E6E5D">
        <w:t xml:space="preserve">nécessitant un </w:t>
      </w:r>
      <w:r w:rsidR="00D23DDD">
        <w:t xml:space="preserve">contrôle du </w:t>
      </w:r>
      <w:r w:rsidR="00D23DDD" w:rsidRPr="000E6E5D">
        <w:t>bilan sanguin</w:t>
      </w:r>
      <w:r w:rsidRPr="00447F81">
        <w:t xml:space="preserve"> : taux anormalement bas de certains globules blancs (leucopénie, neutropénie) ou de certaines cellules du sang comme les plaquettes (thrombopénie) pouvant se traduire par des saignements de nez ou des gencives. Dans ce cas, consultez un médecin.</w:t>
      </w:r>
    </w:p>
    <w:p w14:paraId="717D8D53" w14:textId="29DBA32C" w:rsidR="00D23DDD" w:rsidRDefault="00805EBB" w:rsidP="00D23DDD">
      <w:pPr>
        <w:pStyle w:val="AmmListePuces1"/>
        <w:numPr>
          <w:ilvl w:val="0"/>
          <w:numId w:val="0"/>
        </w:numPr>
        <w:spacing w:before="120"/>
      </w:pPr>
      <w:r>
        <w:rPr>
          <w:b/>
          <w:u w:val="single"/>
        </w:rPr>
        <w:t>Effets indésirables à f</w:t>
      </w:r>
      <w:r w:rsidR="00D23DDD" w:rsidRPr="00AB2E5F">
        <w:rPr>
          <w:b/>
          <w:u w:val="single"/>
        </w:rPr>
        <w:t>réquence indéterminée</w:t>
      </w:r>
      <w:r w:rsidR="00D23DDD" w:rsidRPr="000E6E5D">
        <w:t> : la fréquence ne peut pas être estimée à partir des données disponibles</w:t>
      </w:r>
    </w:p>
    <w:p w14:paraId="4DE3BCC2" w14:textId="42CCCEEA" w:rsidR="00805EBB" w:rsidRDefault="00D23DDD" w:rsidP="00D23DDD">
      <w:pPr>
        <w:pStyle w:val="Paragraphedeliste"/>
        <w:numPr>
          <w:ilvl w:val="0"/>
          <w:numId w:val="35"/>
        </w:numPr>
        <w:ind w:left="714" w:hanging="357"/>
      </w:pPr>
      <w:r w:rsidRPr="00D23DDD">
        <w:t xml:space="preserve">éruption ou rougeur cutanée ou réaction allergique pouvant se manifester par un brusque gonflement du visage et du cou pouvant entraîner une difficulté à respirer (œdème de Quincke) ou par un malaise brutal avec chute de la pression artérielle (choc anaphylactique). Il faut </w:t>
      </w:r>
      <w:r w:rsidRPr="00D23DDD">
        <w:rPr>
          <w:u w:val="single"/>
        </w:rPr>
        <w:t>immédiatement arrêter le traitement</w:t>
      </w:r>
      <w:r w:rsidRPr="00D23DDD">
        <w:t>, avertir votre médecin et ne plus jamais reprendre de médicaments contenant du paracétamol.</w:t>
      </w:r>
    </w:p>
    <w:p w14:paraId="3B2C42AF" w14:textId="1850D108" w:rsidR="00D23DDD" w:rsidRDefault="00035A13" w:rsidP="00D23DDD">
      <w:pPr>
        <w:pStyle w:val="Paragraphedeliste"/>
        <w:numPr>
          <w:ilvl w:val="0"/>
          <w:numId w:val="35"/>
        </w:numPr>
        <w:ind w:left="714" w:hanging="357"/>
      </w:pPr>
      <w:r>
        <w:t>a</w:t>
      </w:r>
      <w:r w:rsidR="004811A4" w:rsidRPr="009C18A2">
        <w:t>nomalie du bilan hépatique</w:t>
      </w:r>
      <w:r w:rsidR="008464F8" w:rsidRPr="008464F8">
        <w:t xml:space="preserve">, </w:t>
      </w:r>
      <w:r w:rsidR="006E6561" w:rsidRPr="007F53F3">
        <w:t>excès d'acide dans le sang causé par un excès d'acide pyroglutamique dû à un faible taux de glutathion</w:t>
      </w:r>
      <w:r w:rsidR="006E6561">
        <w:t>.</w:t>
      </w:r>
    </w:p>
    <w:p w14:paraId="1FA43579" w14:textId="0104DCC3" w:rsidR="008464F8" w:rsidRPr="00D23DDD" w:rsidRDefault="008464F8" w:rsidP="006E6561">
      <w:pPr>
        <w:pStyle w:val="AmmCorpsTexte"/>
        <w:numPr>
          <w:ilvl w:val="0"/>
          <w:numId w:val="35"/>
        </w:numPr>
        <w:spacing w:after="0"/>
        <w:ind w:left="714" w:hanging="357"/>
      </w:pPr>
      <w:r w:rsidRPr="00D23DDD">
        <w:t>éruption cutanée en plaques rouges arrondies avec démangeaison et sensation de brûlure laissant des tâches colorées et pouvant apparaître aux mêmes endroits en cas de reprise du médicament (érythème pigmenté fixe), difficulté à respirer (bronchospasme), notamment si vous avez déjà présenté des difficultés à respirer avec d’autre médicaments tels que les anti-inflammatoires non stéroïdiens ou l’acide acétylsalicylique. Dans ce cas, consultez un médecin.</w:t>
      </w:r>
    </w:p>
    <w:p w14:paraId="79A41F6C" w14:textId="77777777" w:rsidR="008464F8" w:rsidRPr="008464F8" w:rsidRDefault="008464F8" w:rsidP="008464F8">
      <w:pPr>
        <w:autoSpaceDE w:val="0"/>
        <w:autoSpaceDN w:val="0"/>
        <w:adjustRightInd w:val="0"/>
        <w:jc w:val="left"/>
        <w:rPr>
          <w:rFonts w:ascii="Arial" w:hAnsi="Arial"/>
          <w:sz w:val="20"/>
        </w:rPr>
      </w:pPr>
    </w:p>
    <w:p w14:paraId="2856627B" w14:textId="77777777" w:rsidR="008464F8" w:rsidRPr="008464F8" w:rsidRDefault="008464F8" w:rsidP="008464F8">
      <w:pPr>
        <w:spacing w:after="120"/>
        <w:rPr>
          <w:rFonts w:ascii="Arial" w:hAnsi="Arial"/>
          <w:b/>
          <w:bCs/>
          <w:sz w:val="20"/>
        </w:rPr>
      </w:pPr>
      <w:r w:rsidRPr="008464F8">
        <w:rPr>
          <w:rFonts w:ascii="Arial" w:hAnsi="Arial"/>
          <w:b/>
          <w:bCs/>
          <w:sz w:val="20"/>
        </w:rPr>
        <w:t>Déclaration des effets secondaires</w:t>
      </w:r>
    </w:p>
    <w:p w14:paraId="150CC00F" w14:textId="2A8A536D" w:rsidR="008464F8" w:rsidRPr="008464F8" w:rsidRDefault="008464F8" w:rsidP="008464F8">
      <w:pPr>
        <w:spacing w:after="120"/>
        <w:rPr>
          <w:rFonts w:ascii="Arial" w:eastAsia="Calibri" w:hAnsi="Arial"/>
          <w:sz w:val="20"/>
        </w:rPr>
      </w:pPr>
      <w:r w:rsidRPr="008464F8">
        <w:rPr>
          <w:rFonts w:ascii="Arial" w:hAnsi="Arial"/>
          <w:sz w:val="20"/>
        </w:rPr>
        <w:t>Si vous ressentez un quelconque effet indésirable, parlez-en à votre médecin,</w:t>
      </w:r>
      <w:r w:rsidR="00952B61">
        <w:rPr>
          <w:rFonts w:ascii="Arial" w:hAnsi="Arial"/>
          <w:sz w:val="20"/>
        </w:rPr>
        <w:t xml:space="preserve"> </w:t>
      </w:r>
      <w:r w:rsidRPr="008464F8">
        <w:rPr>
          <w:rFonts w:ascii="Arial" w:hAnsi="Arial"/>
          <w:sz w:val="20"/>
        </w:rPr>
        <w:t xml:space="preserve">votre pharmacien ou à votre infirmier/ère. Ceci s’applique aussi à tout effet indésirable qui ne serait pas mentionné dans cette </w:t>
      </w:r>
      <w:r w:rsidRPr="008464F8">
        <w:rPr>
          <w:rFonts w:ascii="Arial" w:hAnsi="Arial"/>
          <w:sz w:val="20"/>
        </w:rPr>
        <w:lastRenderedPageBreak/>
        <w:t>notice.</w:t>
      </w:r>
      <w:r w:rsidRPr="008464F8">
        <w:rPr>
          <w:rFonts w:ascii="Arial" w:hAnsi="Arial"/>
          <w:sz w:val="20"/>
          <w:szCs w:val="22"/>
          <w:lang w:val="fr-BE"/>
        </w:rPr>
        <w:t xml:space="preserve"> </w:t>
      </w:r>
      <w:r w:rsidRPr="008464F8">
        <w:rPr>
          <w:rFonts w:ascii="Arial" w:hAnsi="Arial"/>
          <w:sz w:val="20"/>
          <w:szCs w:val="22"/>
        </w:rPr>
        <w:t xml:space="preserve">Vous pouvez également déclarer les effets indésirables directement via </w:t>
      </w:r>
      <w:r w:rsidRPr="008464F8">
        <w:rPr>
          <w:rFonts w:ascii="Arial" w:hAnsi="Arial"/>
          <w:sz w:val="20"/>
        </w:rPr>
        <w:t xml:space="preserve">le système national de déclaration : </w:t>
      </w:r>
      <w:r w:rsidRPr="008464F8">
        <w:rPr>
          <w:rFonts w:ascii="Arial" w:eastAsia="Calibri" w:hAnsi="Arial"/>
          <w:noProof/>
          <w:sz w:val="20"/>
          <w:lang w:eastAsia="zh-CN"/>
        </w:rPr>
        <w:t xml:space="preserve">Agence nationale de sécurité du médicament et des produits de santé (ANSM) et réseau des Centres Régionaux de Pharmacovigilance - </w:t>
      </w:r>
      <w:r w:rsidRPr="008464F8">
        <w:rPr>
          <w:rFonts w:ascii="Arial" w:eastAsia="Calibri" w:hAnsi="Arial"/>
          <w:sz w:val="20"/>
          <w:lang w:eastAsia="zh-CN"/>
        </w:rPr>
        <w:t>Site internet</w:t>
      </w:r>
      <w:r w:rsidRPr="008464F8">
        <w:rPr>
          <w:rFonts w:ascii="Arial" w:eastAsia="Calibri" w:hAnsi="Arial"/>
          <w:noProof/>
          <w:sz w:val="20"/>
          <w:lang w:eastAsia="zh-CN"/>
        </w:rPr>
        <w:t>:</w:t>
      </w:r>
      <w:r w:rsidRPr="008464F8">
        <w:rPr>
          <w:rFonts w:ascii="Arial" w:eastAsia="Calibri" w:hAnsi="Arial"/>
          <w:noProof/>
          <w:color w:val="FF0000"/>
          <w:sz w:val="20"/>
          <w:lang w:eastAsia="zh-CN"/>
        </w:rPr>
        <w:t xml:space="preserve"> </w:t>
      </w:r>
      <w:hyperlink r:id="rId9" w:history="1">
        <w:r w:rsidR="00CC3B08" w:rsidRPr="00CC3B08">
          <w:rPr>
            <w:rStyle w:val="Lienhypertexte"/>
            <w:rFonts w:ascii="Arial" w:eastAsia="Calibri" w:hAnsi="Arial"/>
            <w:noProof/>
            <w:sz w:val="20"/>
            <w:lang w:eastAsia="zh-CN"/>
          </w:rPr>
          <w:t>https://signalement.social-sante.gouv.fr/</w:t>
        </w:r>
      </w:hyperlink>
      <w:r w:rsidR="00CC3B08" w:rsidRPr="00CC3B08">
        <w:rPr>
          <w:rFonts w:ascii="Arial" w:eastAsia="Calibri" w:hAnsi="Arial"/>
          <w:noProof/>
          <w:color w:val="FF0000"/>
          <w:sz w:val="20"/>
          <w:lang w:eastAsia="zh-CN"/>
        </w:rPr>
        <w:t>.</w:t>
      </w:r>
      <w:r w:rsidR="00CC3B08" w:rsidDel="00CC3B08">
        <w:t xml:space="preserve"> </w:t>
      </w:r>
      <w:bookmarkStart w:id="97" w:name="_GoBack"/>
      <w:bookmarkEnd w:id="97"/>
    </w:p>
    <w:p w14:paraId="2530BBD8" w14:textId="77777777" w:rsidR="008464F8" w:rsidRPr="008464F8" w:rsidRDefault="008464F8" w:rsidP="008464F8">
      <w:pPr>
        <w:spacing w:after="120"/>
        <w:rPr>
          <w:rFonts w:ascii="Arial" w:hAnsi="Arial"/>
          <w:sz w:val="20"/>
          <w:szCs w:val="22"/>
        </w:rPr>
      </w:pPr>
      <w:r w:rsidRPr="008464F8">
        <w:rPr>
          <w:rFonts w:ascii="Arial" w:hAnsi="Arial"/>
          <w:sz w:val="20"/>
          <w:szCs w:val="22"/>
        </w:rPr>
        <w:t>En signalant les effets indésirables, vous contribuez à fournir davantage d’informations sur la sécurité du médicament.</w:t>
      </w:r>
    </w:p>
    <w:p w14:paraId="59A31061" w14:textId="433CDAC2" w:rsidR="009E44EF" w:rsidRDefault="009E44EF">
      <w:pPr>
        <w:pStyle w:val="AmmAnnexeTitre1"/>
      </w:pPr>
      <w:r>
        <w:t>5.</w:t>
      </w:r>
      <w:r>
        <w:tab/>
        <w:t xml:space="preserve">COMMENT CONSERVER </w:t>
      </w:r>
      <w:r>
        <w:rPr>
          <w:caps w:val="0"/>
        </w:rPr>
        <w:t>xxx</w:t>
      </w:r>
      <w:r>
        <w:t> ?</w:t>
      </w:r>
      <w:bookmarkEnd w:id="96"/>
    </w:p>
    <w:p w14:paraId="5FB83AF1" w14:textId="77777777" w:rsidR="009E44EF" w:rsidRDefault="009E44EF" w:rsidP="0028706C">
      <w:pPr>
        <w:pStyle w:val="AmmAnnexeTitre1"/>
        <w:keepNext/>
        <w:ind w:left="0" w:firstLine="0"/>
      </w:pPr>
      <w:bookmarkStart w:id="98" w:name="_Toc142279026"/>
      <w:r>
        <w:t>6.</w:t>
      </w:r>
      <w:r>
        <w:tab/>
      </w:r>
      <w:bookmarkEnd w:id="98"/>
      <w:r w:rsidR="00F71DD1">
        <w:t>CONTENU DE L’EMBALLAGE ET AUTRES INFORMATIONS</w:t>
      </w:r>
    </w:p>
    <w:p w14:paraId="39BA2A5C" w14:textId="77777777" w:rsidR="00E6215C" w:rsidRDefault="00E6215C" w:rsidP="00D735F2">
      <w:pPr>
        <w:pStyle w:val="AmmAnnexeTitre2"/>
      </w:pPr>
      <w:r>
        <w:t xml:space="preserve">Ce que contient </w:t>
      </w:r>
      <w:r w:rsidR="005A5292">
        <w:t>xxx</w:t>
      </w:r>
    </w:p>
    <w:p w14:paraId="35F7DA19" w14:textId="77777777" w:rsidR="00E6215C" w:rsidRPr="00824376" w:rsidRDefault="00023791" w:rsidP="00F80C84">
      <w:pPr>
        <w:pStyle w:val="AmmAnnexeTitre2"/>
      </w:pPr>
      <w:r w:rsidRPr="00824376">
        <w:t>Qu’</w:t>
      </w:r>
      <w:r w:rsidR="009A6A02" w:rsidRPr="00824376">
        <w:t>est-ce</w:t>
      </w:r>
      <w:r w:rsidRPr="00824376">
        <w:t xml:space="preserve"> que </w:t>
      </w:r>
      <w:r w:rsidR="005A5292" w:rsidRPr="00824376">
        <w:t>xxx</w:t>
      </w:r>
      <w:r w:rsidR="00E6215C" w:rsidRPr="00824376">
        <w:t xml:space="preserve"> et contenu de l’emballage extérieur</w:t>
      </w:r>
    </w:p>
    <w:p w14:paraId="0076C049" w14:textId="77777777" w:rsidR="00E6215C" w:rsidRDefault="00E6215C" w:rsidP="00992955">
      <w:pPr>
        <w:pStyle w:val="AmmAnnexeTitre2"/>
      </w:pPr>
      <w:bookmarkStart w:id="99" w:name="_Toc142279030"/>
      <w:r>
        <w:t>Titulaire</w:t>
      </w:r>
      <w:bookmarkEnd w:id="99"/>
      <w:r w:rsidR="00824376">
        <w:t xml:space="preserve"> de l’autorisation de mise sur le marché</w:t>
      </w:r>
    </w:p>
    <w:p w14:paraId="66BB63C5" w14:textId="77777777" w:rsidR="00E6215C" w:rsidRDefault="00E6215C" w:rsidP="00992955">
      <w:pPr>
        <w:pStyle w:val="AmmAnnexeTitre2"/>
      </w:pPr>
      <w:bookmarkStart w:id="100" w:name="_Toc142279031"/>
      <w:r>
        <w:t>Exploitant</w:t>
      </w:r>
      <w:bookmarkEnd w:id="100"/>
      <w:r w:rsidR="00824376">
        <w:t xml:space="preserve"> de l’autorisation de mise sur le marché</w:t>
      </w:r>
    </w:p>
    <w:p w14:paraId="3DEF5FB3" w14:textId="77777777" w:rsidR="00E6215C" w:rsidRDefault="00E6215C" w:rsidP="00992955">
      <w:pPr>
        <w:pStyle w:val="AmmAnnexeTitre2"/>
      </w:pPr>
      <w:bookmarkStart w:id="101" w:name="_Toc142279032"/>
      <w:r>
        <w:t>Fabricant</w:t>
      </w:r>
      <w:bookmarkEnd w:id="101"/>
    </w:p>
    <w:p w14:paraId="233720E2" w14:textId="77777777" w:rsidR="00E6215C" w:rsidRDefault="00E6215C" w:rsidP="00D735F2">
      <w:pPr>
        <w:pStyle w:val="AmmAnnexeTitre2"/>
      </w:pPr>
      <w:bookmarkStart w:id="102" w:name="_Toc142279033"/>
      <w:r>
        <w:t>Noms du médicament dans les Etats membres de l'Espace Economique Européen</w:t>
      </w:r>
      <w:bookmarkEnd w:id="102"/>
    </w:p>
    <w:p w14:paraId="14F54330" w14:textId="77777777" w:rsidR="00D735F2" w:rsidRDefault="00E6215C" w:rsidP="00D735F2">
      <w:pPr>
        <w:pStyle w:val="AmmAnnexeTitre2"/>
      </w:pPr>
      <w:r>
        <w:t>La dernière date à laquelle c</w:t>
      </w:r>
      <w:r w:rsidR="00021E4B">
        <w:t>ette notice a été révisée est</w:t>
      </w:r>
      <w:r w:rsidR="00D735F2">
        <w:t> :</w:t>
      </w:r>
    </w:p>
    <w:p w14:paraId="201F4E0C" w14:textId="77777777" w:rsidR="00824376" w:rsidRDefault="00824376" w:rsidP="00D735F2">
      <w:pPr>
        <w:pStyle w:val="AmmAnnexeTitre2"/>
      </w:pPr>
      <w:bookmarkStart w:id="103" w:name="_Toc142279038"/>
      <w:r>
        <w:t>Autres</w:t>
      </w:r>
      <w:bookmarkEnd w:id="103"/>
    </w:p>
    <w:p w14:paraId="6C01F261" w14:textId="77777777" w:rsidR="00E6215C" w:rsidRDefault="00E6215C" w:rsidP="0012321D">
      <w:pPr>
        <w:pStyle w:val="AmmCorpsTexte"/>
      </w:pPr>
    </w:p>
    <w:p w14:paraId="21BC7325" w14:textId="77777777" w:rsidR="00CE7795" w:rsidRDefault="00CE7795" w:rsidP="0012321D">
      <w:pPr>
        <w:pStyle w:val="AmmCorpsTexte"/>
      </w:pPr>
    </w:p>
    <w:p w14:paraId="559A0850" w14:textId="77777777" w:rsidR="00CE7795" w:rsidRDefault="00CE7795" w:rsidP="0012321D">
      <w:pPr>
        <w:pStyle w:val="AmmCorpsTexte"/>
      </w:pPr>
    </w:p>
    <w:p w14:paraId="113DD5E8" w14:textId="77777777" w:rsidR="00CE7795" w:rsidRDefault="00CE7795" w:rsidP="0012321D">
      <w:pPr>
        <w:pStyle w:val="AmmCorpsTexte"/>
      </w:pPr>
    </w:p>
    <w:p w14:paraId="0C43EDE4" w14:textId="77777777" w:rsidR="00CE7795" w:rsidRDefault="00CE7795" w:rsidP="0012321D">
      <w:pPr>
        <w:pStyle w:val="AmmCorpsTexte"/>
      </w:pPr>
    </w:p>
    <w:p w14:paraId="2509F7AE" w14:textId="77777777" w:rsidR="00CE7795" w:rsidRDefault="00CE7795" w:rsidP="0012321D">
      <w:pPr>
        <w:pStyle w:val="AmmCorpsTexte"/>
      </w:pPr>
    </w:p>
    <w:p w14:paraId="0A6F9C5D" w14:textId="77777777" w:rsidR="00CE7795" w:rsidRDefault="00CE7795" w:rsidP="0012321D">
      <w:pPr>
        <w:pStyle w:val="AmmCorpsTexte"/>
      </w:pPr>
    </w:p>
    <w:p w14:paraId="76CE6091" w14:textId="77777777" w:rsidR="00CE7795" w:rsidRDefault="00CE7795" w:rsidP="0012321D">
      <w:pPr>
        <w:pStyle w:val="AmmCorpsTexte"/>
      </w:pPr>
    </w:p>
    <w:p w14:paraId="665B9123" w14:textId="77777777" w:rsidR="00CE7795" w:rsidRDefault="00CE7795" w:rsidP="0012321D">
      <w:pPr>
        <w:pStyle w:val="AmmCorpsTexte"/>
      </w:pPr>
    </w:p>
    <w:p w14:paraId="61DBCC4C" w14:textId="77777777" w:rsidR="00CE7795" w:rsidRDefault="00CE7795" w:rsidP="0012321D">
      <w:pPr>
        <w:pStyle w:val="AmmCorpsTexte"/>
      </w:pPr>
    </w:p>
    <w:p w14:paraId="48395E9E" w14:textId="77777777" w:rsidR="00CE7795" w:rsidRDefault="00CE7795" w:rsidP="0012321D">
      <w:pPr>
        <w:pStyle w:val="AmmCorpsTexte"/>
      </w:pPr>
    </w:p>
    <w:p w14:paraId="5BEFB986" w14:textId="77777777" w:rsidR="00CE7795" w:rsidRDefault="00CE7795" w:rsidP="0012321D">
      <w:pPr>
        <w:pStyle w:val="AmmCorpsTexte"/>
      </w:pPr>
    </w:p>
    <w:p w14:paraId="16AD39A0" w14:textId="77777777" w:rsidR="00CE7795" w:rsidRDefault="00CE7795" w:rsidP="0012321D">
      <w:pPr>
        <w:pStyle w:val="AmmCorpsTexte"/>
      </w:pPr>
    </w:p>
    <w:p w14:paraId="0E8870D7" w14:textId="77777777" w:rsidR="00CE7795" w:rsidRDefault="00CE7795" w:rsidP="0012321D">
      <w:pPr>
        <w:pStyle w:val="AmmCorpsTexte"/>
      </w:pPr>
    </w:p>
    <w:p w14:paraId="235DA70C" w14:textId="77777777" w:rsidR="00CE7795" w:rsidRDefault="00CE7795" w:rsidP="0012321D">
      <w:pPr>
        <w:pStyle w:val="AmmCorpsTexte"/>
      </w:pPr>
    </w:p>
    <w:p w14:paraId="5ADE4103" w14:textId="77777777" w:rsidR="00CE7795" w:rsidRDefault="00CE7795" w:rsidP="0012321D">
      <w:pPr>
        <w:pStyle w:val="AmmCorpsTexte"/>
      </w:pPr>
    </w:p>
    <w:p w14:paraId="1B70FF23" w14:textId="77777777" w:rsidR="00CE7795" w:rsidRDefault="00CE7795" w:rsidP="0012321D">
      <w:pPr>
        <w:pStyle w:val="AmmCorpsTexte"/>
      </w:pPr>
    </w:p>
    <w:p w14:paraId="58F89C88" w14:textId="77777777" w:rsidR="00CE7795" w:rsidRDefault="00CE7795" w:rsidP="0012321D">
      <w:pPr>
        <w:pStyle w:val="AmmCorpsTexte"/>
      </w:pPr>
    </w:p>
    <w:p w14:paraId="5499FDCC" w14:textId="77777777" w:rsidR="00CE7795" w:rsidRDefault="00CE7795" w:rsidP="0012321D">
      <w:pPr>
        <w:pStyle w:val="AmmCorpsTexte"/>
      </w:pPr>
    </w:p>
    <w:p w14:paraId="32AA66A2" w14:textId="77777777" w:rsidR="00CE7795" w:rsidRDefault="00CE7795" w:rsidP="0012321D">
      <w:pPr>
        <w:pStyle w:val="AmmCorpsTexte"/>
      </w:pPr>
    </w:p>
    <w:p w14:paraId="4E30216E" w14:textId="77777777" w:rsidR="00CE7795" w:rsidRDefault="00CE7795" w:rsidP="0012321D">
      <w:pPr>
        <w:pStyle w:val="AmmCorpsTexte"/>
      </w:pPr>
    </w:p>
    <w:p w14:paraId="277F44DD" w14:textId="77777777" w:rsidR="00CE7795" w:rsidRDefault="00CE7795" w:rsidP="0012321D">
      <w:pPr>
        <w:pStyle w:val="AmmCorpsTexte"/>
      </w:pPr>
    </w:p>
    <w:p w14:paraId="5881AC33" w14:textId="77777777" w:rsidR="00CE7795" w:rsidRDefault="00CE7795" w:rsidP="0012321D">
      <w:pPr>
        <w:pStyle w:val="AmmCorpsTexte"/>
      </w:pPr>
    </w:p>
    <w:p w14:paraId="01B7F92C" w14:textId="77777777" w:rsidR="00CE7795" w:rsidRPr="00CE7795" w:rsidRDefault="00CE7795" w:rsidP="00CE7795">
      <w:pPr>
        <w:spacing w:after="120" w:line="247" w:lineRule="auto"/>
        <w:ind w:left="284" w:right="181" w:hanging="284"/>
        <w:jc w:val="center"/>
        <w:rPr>
          <w:rFonts w:ascii="Arial" w:eastAsia="Arial" w:hAnsi="Arial"/>
          <w:b/>
          <w:bCs/>
          <w:sz w:val="20"/>
        </w:rPr>
      </w:pPr>
      <w:r w:rsidRPr="00CE7795">
        <w:rPr>
          <w:rFonts w:ascii="Arial" w:eastAsia="Arial" w:hAnsi="Arial"/>
          <w:b/>
          <w:bCs/>
          <w:sz w:val="20"/>
        </w:rPr>
        <w:lastRenderedPageBreak/>
        <w:t>Conseils d’éducation sanitaire :</w:t>
      </w:r>
    </w:p>
    <w:p w14:paraId="09DEBBE5" w14:textId="77777777" w:rsidR="00CE7795" w:rsidRPr="00CE7795" w:rsidRDefault="00CE7795" w:rsidP="00CE7795">
      <w:pPr>
        <w:spacing w:after="120" w:line="247" w:lineRule="auto"/>
        <w:ind w:left="284" w:right="181" w:hanging="284"/>
        <w:rPr>
          <w:rFonts w:ascii="Arial" w:eastAsia="Arial" w:hAnsi="Arial"/>
          <w:b/>
          <w:bCs/>
          <w:sz w:val="20"/>
          <w:u w:val="single"/>
        </w:rPr>
      </w:pPr>
      <w:r w:rsidRPr="00CE7795">
        <w:rPr>
          <w:rFonts w:ascii="Arial" w:eastAsia="Arial" w:hAnsi="Arial"/>
          <w:b/>
          <w:bCs/>
          <w:sz w:val="20"/>
          <w:u w:val="single"/>
        </w:rPr>
        <w:t xml:space="preserve">QUE FAIRE EN CAS DE FIEVRE :  </w:t>
      </w:r>
    </w:p>
    <w:p w14:paraId="40DAE86E" w14:textId="77777777" w:rsidR="00CE7795" w:rsidRPr="00CE7795" w:rsidRDefault="00CE7795" w:rsidP="00CE7795">
      <w:pPr>
        <w:spacing w:after="120" w:line="247" w:lineRule="auto"/>
        <w:ind w:right="181"/>
        <w:rPr>
          <w:rFonts w:ascii="Arial" w:eastAsia="Arial" w:hAnsi="Arial"/>
          <w:sz w:val="20"/>
        </w:rPr>
      </w:pPr>
      <w:r w:rsidRPr="00CE7795">
        <w:rPr>
          <w:rFonts w:ascii="Arial" w:eastAsia="Arial" w:hAnsi="Arial"/>
          <w:sz w:val="20"/>
        </w:rPr>
        <w:t xml:space="preserve">La température normale du corps est variable d’une personne à l’autre et comprise entre 36,5°C et 37,5°C. Une élévation de température au-delà de 38°C peut être considérée comme une fièvre, mais il est déconseillé de traiter la fièvre avec un médicament en dessous de 38,5°C.   </w:t>
      </w:r>
    </w:p>
    <w:p w14:paraId="2913A330" w14:textId="37B06291" w:rsidR="00CE7795" w:rsidRPr="00CE7795" w:rsidRDefault="00CE7795" w:rsidP="00CE7795">
      <w:pPr>
        <w:spacing w:after="120" w:line="247" w:lineRule="auto"/>
        <w:ind w:right="181"/>
        <w:rPr>
          <w:rFonts w:ascii="Arial" w:eastAsia="Arial" w:hAnsi="Arial"/>
          <w:sz w:val="20"/>
        </w:rPr>
      </w:pPr>
      <w:r w:rsidRPr="00CE7795">
        <w:rPr>
          <w:rFonts w:ascii="Arial" w:eastAsia="Arial" w:hAnsi="Arial"/>
          <w:sz w:val="20"/>
        </w:rPr>
        <w:t xml:space="preserve">Ce médicament est réservé à l’adulte et à l’enfant à partir de </w:t>
      </w:r>
      <w:r w:rsidR="00952B61">
        <w:rPr>
          <w:rFonts w:ascii="Arial" w:eastAsia="Arial" w:hAnsi="Arial"/>
          <w:sz w:val="20"/>
        </w:rPr>
        <w:t>50</w:t>
      </w:r>
      <w:r w:rsidRPr="00CE7795">
        <w:rPr>
          <w:rFonts w:ascii="Arial" w:eastAsia="Arial" w:hAnsi="Arial"/>
          <w:sz w:val="20"/>
        </w:rPr>
        <w:t xml:space="preserve"> kg (environ </w:t>
      </w:r>
      <w:r w:rsidR="00952B61">
        <w:rPr>
          <w:rFonts w:ascii="Arial" w:eastAsia="Arial" w:hAnsi="Arial"/>
          <w:sz w:val="20"/>
        </w:rPr>
        <w:t>15</w:t>
      </w:r>
      <w:r w:rsidRPr="00CE7795">
        <w:rPr>
          <w:rFonts w:ascii="Arial" w:eastAsia="Arial" w:hAnsi="Arial"/>
          <w:sz w:val="20"/>
        </w:rPr>
        <w:t xml:space="preserve"> ans)</w:t>
      </w:r>
      <w:r w:rsidR="00952B61">
        <w:rPr>
          <w:rFonts w:ascii="Arial" w:eastAsia="Arial" w:hAnsi="Arial"/>
          <w:sz w:val="20"/>
        </w:rPr>
        <w:t>.</w:t>
      </w:r>
      <w:r w:rsidRPr="00CE7795">
        <w:rPr>
          <w:rFonts w:ascii="Arial" w:eastAsia="Arial" w:hAnsi="Arial"/>
          <w:sz w:val="20"/>
        </w:rPr>
        <w:t xml:space="preserve">   </w:t>
      </w:r>
    </w:p>
    <w:p w14:paraId="71682DD2" w14:textId="77777777" w:rsidR="00CE7795" w:rsidRPr="00CE7795" w:rsidRDefault="00CE7795" w:rsidP="00CE7795">
      <w:pPr>
        <w:spacing w:after="120" w:line="247" w:lineRule="auto"/>
        <w:ind w:right="181"/>
        <w:rPr>
          <w:rFonts w:ascii="Arial" w:eastAsia="Arial" w:hAnsi="Arial"/>
          <w:sz w:val="20"/>
        </w:rPr>
      </w:pPr>
      <w:r w:rsidRPr="00CE7795">
        <w:rPr>
          <w:rFonts w:ascii="Arial" w:eastAsia="Arial" w:hAnsi="Arial"/>
          <w:sz w:val="20"/>
        </w:rPr>
        <w:t xml:space="preserve">Si les troubles que la fièvre entraîne sont trop gênants, vous pouvez prendre ce médicament qui contient du paracétamol en respectant les posologies indiquées.   </w:t>
      </w:r>
    </w:p>
    <w:p w14:paraId="44B2B2C5" w14:textId="77777777" w:rsidR="00CE7795" w:rsidRPr="00CE7795" w:rsidRDefault="00CE7795" w:rsidP="00CE7795">
      <w:pPr>
        <w:spacing w:after="120" w:line="247" w:lineRule="auto"/>
        <w:ind w:right="181"/>
        <w:rPr>
          <w:rFonts w:ascii="Arial" w:eastAsia="Arial" w:hAnsi="Arial"/>
          <w:sz w:val="20"/>
        </w:rPr>
      </w:pPr>
      <w:r w:rsidRPr="00CE7795">
        <w:rPr>
          <w:rFonts w:ascii="Arial" w:eastAsia="Arial" w:hAnsi="Arial"/>
          <w:sz w:val="20"/>
        </w:rPr>
        <w:t xml:space="preserve">Pour éviter tout risque de déshydratation, pensez à boire fréquemment.   </w:t>
      </w:r>
    </w:p>
    <w:p w14:paraId="1681158C" w14:textId="77777777" w:rsidR="00CE7795" w:rsidRPr="00CE7795" w:rsidRDefault="00CE7795" w:rsidP="00CE7795">
      <w:pPr>
        <w:spacing w:after="120" w:line="247" w:lineRule="auto"/>
        <w:ind w:right="181"/>
        <w:rPr>
          <w:rFonts w:ascii="Arial" w:eastAsia="Arial" w:hAnsi="Arial"/>
          <w:sz w:val="20"/>
        </w:rPr>
      </w:pPr>
      <w:r w:rsidRPr="00CE7795">
        <w:rPr>
          <w:rFonts w:ascii="Arial" w:eastAsia="Arial" w:hAnsi="Arial"/>
          <w:sz w:val="20"/>
        </w:rPr>
        <w:t xml:space="preserve">Avec ce médicament, la fièvre doit baisser rapidement. Néanmoins :   </w:t>
      </w:r>
    </w:p>
    <w:p w14:paraId="71245780" w14:textId="496A3017" w:rsidR="00CE7795" w:rsidRPr="00CE7795" w:rsidRDefault="00CE7795" w:rsidP="00CE7795">
      <w:pPr>
        <w:numPr>
          <w:ilvl w:val="0"/>
          <w:numId w:val="13"/>
        </w:numPr>
        <w:spacing w:line="247" w:lineRule="auto"/>
        <w:ind w:right="181" w:hanging="218"/>
        <w:jc w:val="left"/>
        <w:rPr>
          <w:rFonts w:ascii="Arial" w:eastAsia="Arial" w:hAnsi="Arial"/>
          <w:sz w:val="20"/>
        </w:rPr>
      </w:pPr>
      <w:r w:rsidRPr="00CE7795">
        <w:rPr>
          <w:rFonts w:ascii="Arial" w:eastAsia="Arial" w:hAnsi="Arial"/>
          <w:sz w:val="20"/>
        </w:rPr>
        <w:t>Si d’autres signes inhabituels apparaissent</w:t>
      </w:r>
      <w:r w:rsidR="00952B61">
        <w:rPr>
          <w:rFonts w:ascii="Arial" w:eastAsia="Arial" w:hAnsi="Arial"/>
          <w:sz w:val="20"/>
        </w:rPr>
        <w:t>,</w:t>
      </w:r>
      <w:r w:rsidRPr="00CE7795">
        <w:rPr>
          <w:rFonts w:ascii="Arial" w:eastAsia="Arial" w:hAnsi="Arial"/>
          <w:sz w:val="20"/>
        </w:rPr>
        <w:t xml:space="preserve">   </w:t>
      </w:r>
    </w:p>
    <w:p w14:paraId="1A3DB9D2" w14:textId="77777777" w:rsidR="00CE7795" w:rsidRPr="00CE7795" w:rsidRDefault="00CE7795" w:rsidP="00CE7795">
      <w:pPr>
        <w:numPr>
          <w:ilvl w:val="0"/>
          <w:numId w:val="13"/>
        </w:numPr>
        <w:spacing w:line="247" w:lineRule="auto"/>
        <w:ind w:right="181" w:hanging="218"/>
        <w:jc w:val="left"/>
        <w:rPr>
          <w:rFonts w:ascii="Arial" w:eastAsia="Arial" w:hAnsi="Arial"/>
          <w:sz w:val="20"/>
        </w:rPr>
      </w:pPr>
      <w:r w:rsidRPr="00CE7795">
        <w:rPr>
          <w:rFonts w:ascii="Arial" w:eastAsia="Arial" w:hAnsi="Arial"/>
          <w:sz w:val="20"/>
        </w:rPr>
        <w:t xml:space="preserve">Si la fièvre persiste plus de 3 jours ou si elle s’aggrave,   </w:t>
      </w:r>
    </w:p>
    <w:p w14:paraId="4D0E6B8E" w14:textId="1C3A8DE3" w:rsidR="00CE7795" w:rsidRPr="00CE7795" w:rsidRDefault="00CE7795" w:rsidP="00CE7795">
      <w:pPr>
        <w:numPr>
          <w:ilvl w:val="0"/>
          <w:numId w:val="13"/>
        </w:numPr>
        <w:spacing w:line="247" w:lineRule="auto"/>
        <w:ind w:right="181" w:hanging="218"/>
        <w:jc w:val="left"/>
        <w:rPr>
          <w:rFonts w:ascii="Arial" w:eastAsia="Arial" w:hAnsi="Arial"/>
          <w:sz w:val="20"/>
        </w:rPr>
      </w:pPr>
      <w:r w:rsidRPr="00CE7795">
        <w:rPr>
          <w:rFonts w:ascii="Arial" w:eastAsia="Arial" w:hAnsi="Arial"/>
          <w:sz w:val="20"/>
        </w:rPr>
        <w:t>Si les maux de tête deviennent violents, ou en cas de vomissements</w:t>
      </w:r>
      <w:r w:rsidR="00952B61">
        <w:rPr>
          <w:rFonts w:ascii="Arial" w:eastAsia="Arial" w:hAnsi="Arial"/>
          <w:sz w:val="20"/>
        </w:rPr>
        <w:t>,</w:t>
      </w:r>
      <w:r w:rsidRPr="00CE7795">
        <w:rPr>
          <w:rFonts w:ascii="Arial" w:eastAsia="Arial" w:hAnsi="Arial"/>
          <w:sz w:val="20"/>
        </w:rPr>
        <w:t xml:space="preserve">   </w:t>
      </w:r>
    </w:p>
    <w:p w14:paraId="3D40FE41" w14:textId="77777777" w:rsidR="00CE7795" w:rsidRPr="00CE7795" w:rsidRDefault="00CE7795" w:rsidP="00CE7795">
      <w:pPr>
        <w:spacing w:after="110" w:line="251" w:lineRule="auto"/>
        <w:ind w:left="9" w:right="176" w:hanging="10"/>
        <w:rPr>
          <w:rFonts w:ascii="Arial" w:eastAsia="Arial" w:hAnsi="Arial" w:cs="Arial"/>
          <w:b/>
          <w:color w:val="000000"/>
          <w:sz w:val="20"/>
          <w:szCs w:val="22"/>
        </w:rPr>
      </w:pPr>
    </w:p>
    <w:p w14:paraId="0166CB06" w14:textId="0111C2FA" w:rsidR="00CE7795" w:rsidRPr="00952B61" w:rsidRDefault="00CE7795" w:rsidP="00CE7795">
      <w:pPr>
        <w:spacing w:after="120" w:line="247" w:lineRule="auto"/>
        <w:ind w:left="284" w:right="181" w:hanging="284"/>
        <w:rPr>
          <w:rFonts w:ascii="Arial" w:eastAsia="Arial" w:hAnsi="Arial" w:cs="Arial"/>
          <w:b/>
          <w:bCs/>
          <w:sz w:val="20"/>
        </w:rPr>
      </w:pPr>
      <w:r w:rsidRPr="00CE7795">
        <w:rPr>
          <w:rFonts w:ascii="Arial" w:eastAsia="Arial" w:hAnsi="Arial"/>
          <w:b/>
          <w:bCs/>
          <w:sz w:val="20"/>
        </w:rPr>
        <w:t>CONSULTEZ IMM</w:t>
      </w:r>
      <w:r w:rsidR="00952B61" w:rsidRPr="00952B61">
        <w:rPr>
          <w:rFonts w:ascii="Arial" w:eastAsia="Arial" w:hAnsi="Arial" w:cs="Arial"/>
          <w:b/>
          <w:bCs/>
          <w:sz w:val="20"/>
          <w:u w:color="000000"/>
          <w:lang w:eastAsia="en-US"/>
        </w:rPr>
        <w:t>É</w:t>
      </w:r>
      <w:r w:rsidRPr="00952B61">
        <w:rPr>
          <w:rFonts w:ascii="Arial" w:eastAsia="Arial" w:hAnsi="Arial" w:cs="Arial"/>
          <w:b/>
          <w:bCs/>
          <w:sz w:val="20"/>
        </w:rPr>
        <w:t>DIATEMENT VOTRE M</w:t>
      </w:r>
      <w:r w:rsidR="00952B61" w:rsidRPr="00952B61">
        <w:rPr>
          <w:rFonts w:ascii="Arial" w:eastAsia="Arial" w:hAnsi="Arial" w:cs="Arial"/>
          <w:b/>
          <w:bCs/>
          <w:sz w:val="20"/>
          <w:u w:color="000000"/>
          <w:lang w:eastAsia="en-US"/>
        </w:rPr>
        <w:t>É</w:t>
      </w:r>
      <w:r w:rsidRPr="00952B61">
        <w:rPr>
          <w:rFonts w:ascii="Arial" w:eastAsia="Arial" w:hAnsi="Arial" w:cs="Arial"/>
          <w:b/>
          <w:bCs/>
          <w:sz w:val="20"/>
        </w:rPr>
        <w:t xml:space="preserve">DECIN.   </w:t>
      </w:r>
    </w:p>
    <w:p w14:paraId="5F875CA0" w14:textId="77777777" w:rsidR="00CE7795" w:rsidRPr="00952B61" w:rsidRDefault="00CE7795" w:rsidP="00CE7795">
      <w:pPr>
        <w:spacing w:line="259" w:lineRule="auto"/>
        <w:ind w:left="62"/>
        <w:jc w:val="left"/>
        <w:rPr>
          <w:rFonts w:ascii="Arial" w:eastAsia="Arial" w:hAnsi="Arial" w:cs="Arial"/>
          <w:color w:val="000000"/>
          <w:sz w:val="20"/>
        </w:rPr>
      </w:pPr>
      <w:r w:rsidRPr="00952B61">
        <w:rPr>
          <w:rFonts w:ascii="Arial" w:eastAsia="Arial" w:hAnsi="Arial" w:cs="Arial"/>
          <w:color w:val="000000"/>
          <w:sz w:val="20"/>
        </w:rPr>
        <w:t xml:space="preserve"> </w:t>
      </w:r>
    </w:p>
    <w:p w14:paraId="66F94FD9" w14:textId="77777777" w:rsidR="00CE7795" w:rsidRPr="00952B61" w:rsidRDefault="00CE7795" w:rsidP="00CE7795">
      <w:pPr>
        <w:spacing w:after="120" w:line="247" w:lineRule="auto"/>
        <w:ind w:left="284" w:right="181" w:hanging="284"/>
        <w:rPr>
          <w:rFonts w:ascii="Arial" w:eastAsia="Arial" w:hAnsi="Arial" w:cs="Arial"/>
          <w:b/>
          <w:bCs/>
          <w:sz w:val="20"/>
          <w:u w:val="single"/>
        </w:rPr>
      </w:pPr>
      <w:r w:rsidRPr="00952B61">
        <w:rPr>
          <w:rFonts w:ascii="Arial" w:eastAsia="Arial" w:hAnsi="Arial" w:cs="Arial"/>
          <w:b/>
          <w:bCs/>
          <w:sz w:val="20"/>
          <w:u w:val="single"/>
        </w:rPr>
        <w:t xml:space="preserve">QUE FAIRE EN CAS DE DOULEUR :   </w:t>
      </w:r>
    </w:p>
    <w:p w14:paraId="05792874" w14:textId="77777777" w:rsidR="00CE7795" w:rsidRPr="00952B61" w:rsidRDefault="00CE7795" w:rsidP="00CE7795">
      <w:pPr>
        <w:spacing w:after="120" w:line="247" w:lineRule="auto"/>
        <w:ind w:left="284" w:right="181" w:hanging="284"/>
        <w:rPr>
          <w:rFonts w:ascii="Arial" w:eastAsia="Arial" w:hAnsi="Arial" w:cs="Arial"/>
          <w:sz w:val="20"/>
        </w:rPr>
      </w:pPr>
      <w:r w:rsidRPr="00952B61">
        <w:rPr>
          <w:rFonts w:ascii="Arial" w:eastAsia="Arial" w:hAnsi="Arial" w:cs="Arial"/>
          <w:sz w:val="20"/>
        </w:rPr>
        <w:t xml:space="preserve">L’intensité de la perception de la douleur et la capacité à lui résister varient d’une personne à l’autre.   </w:t>
      </w:r>
    </w:p>
    <w:p w14:paraId="14119DD8" w14:textId="77777777" w:rsidR="00CE7795" w:rsidRPr="00952B61" w:rsidRDefault="00CE7795" w:rsidP="00CE7795">
      <w:pPr>
        <w:numPr>
          <w:ilvl w:val="0"/>
          <w:numId w:val="13"/>
        </w:numPr>
        <w:tabs>
          <w:tab w:val="clear" w:pos="360"/>
        </w:tabs>
        <w:spacing w:line="247" w:lineRule="auto"/>
        <w:ind w:right="181" w:hanging="218"/>
        <w:jc w:val="left"/>
        <w:rPr>
          <w:rFonts w:ascii="Arial" w:eastAsia="Arial" w:hAnsi="Arial" w:cs="Arial"/>
          <w:sz w:val="20"/>
        </w:rPr>
      </w:pPr>
      <w:r w:rsidRPr="00952B61">
        <w:rPr>
          <w:rFonts w:ascii="Arial" w:eastAsia="Arial" w:hAnsi="Arial" w:cs="Arial"/>
          <w:sz w:val="20"/>
        </w:rPr>
        <w:t xml:space="preserve">S’il n’y a pas d’amélioration au bout de 5 jours de traitement,   </w:t>
      </w:r>
    </w:p>
    <w:p w14:paraId="02E127B0" w14:textId="77777777" w:rsidR="00CE7795" w:rsidRPr="00952B61" w:rsidRDefault="00CE7795" w:rsidP="00CE7795">
      <w:pPr>
        <w:numPr>
          <w:ilvl w:val="0"/>
          <w:numId w:val="13"/>
        </w:numPr>
        <w:tabs>
          <w:tab w:val="clear" w:pos="360"/>
        </w:tabs>
        <w:spacing w:line="247" w:lineRule="auto"/>
        <w:ind w:right="181" w:hanging="218"/>
        <w:jc w:val="left"/>
        <w:rPr>
          <w:rFonts w:ascii="Arial" w:eastAsia="Arial" w:hAnsi="Arial" w:cs="Arial"/>
          <w:sz w:val="20"/>
        </w:rPr>
      </w:pPr>
      <w:r w:rsidRPr="00952B61">
        <w:rPr>
          <w:rFonts w:ascii="Arial" w:eastAsia="Arial" w:hAnsi="Arial" w:cs="Arial"/>
          <w:sz w:val="20"/>
        </w:rPr>
        <w:t xml:space="preserve">Si la douleur est violente, inattendue et survient de façon brutale (notamment une douleur forte dans la poitrine) et/ou au contraire revient régulièrement,   </w:t>
      </w:r>
    </w:p>
    <w:p w14:paraId="12BC319B" w14:textId="77777777" w:rsidR="00CE7795" w:rsidRPr="00952B61" w:rsidRDefault="00CE7795" w:rsidP="00CE7795">
      <w:pPr>
        <w:numPr>
          <w:ilvl w:val="0"/>
          <w:numId w:val="13"/>
        </w:numPr>
        <w:tabs>
          <w:tab w:val="clear" w:pos="360"/>
        </w:tabs>
        <w:spacing w:line="247" w:lineRule="auto"/>
        <w:ind w:right="181" w:hanging="218"/>
        <w:jc w:val="left"/>
        <w:rPr>
          <w:rFonts w:ascii="Arial" w:eastAsia="Arial" w:hAnsi="Arial" w:cs="Arial"/>
          <w:sz w:val="20"/>
        </w:rPr>
      </w:pPr>
      <w:r w:rsidRPr="00952B61">
        <w:rPr>
          <w:rFonts w:ascii="Arial" w:eastAsia="Arial" w:hAnsi="Arial" w:cs="Arial"/>
          <w:sz w:val="20"/>
        </w:rPr>
        <w:t xml:space="preserve">Si elle s’accompagne d’autres signes comme un état de malaise général, de la fièvre, un gonflement inhabituel de la zone douloureuse, une diminution de la force dans un membre,   </w:t>
      </w:r>
    </w:p>
    <w:p w14:paraId="58C7B04C" w14:textId="77777777" w:rsidR="00CE7795" w:rsidRPr="00952B61" w:rsidRDefault="00CE7795" w:rsidP="00CE7795">
      <w:pPr>
        <w:numPr>
          <w:ilvl w:val="0"/>
          <w:numId w:val="13"/>
        </w:numPr>
        <w:tabs>
          <w:tab w:val="clear" w:pos="360"/>
        </w:tabs>
        <w:spacing w:line="247" w:lineRule="auto"/>
        <w:ind w:right="181" w:hanging="218"/>
        <w:jc w:val="left"/>
        <w:rPr>
          <w:rFonts w:ascii="Arial" w:eastAsia="Arial" w:hAnsi="Arial" w:cs="Arial"/>
          <w:sz w:val="20"/>
        </w:rPr>
      </w:pPr>
      <w:r w:rsidRPr="00952B61">
        <w:rPr>
          <w:rFonts w:ascii="Arial" w:eastAsia="Arial" w:hAnsi="Arial" w:cs="Arial"/>
          <w:sz w:val="20"/>
        </w:rPr>
        <w:t xml:space="preserve">Si elle vous réveille la nuit,   </w:t>
      </w:r>
    </w:p>
    <w:p w14:paraId="7FC32BCC" w14:textId="77777777" w:rsidR="00CE7795" w:rsidRPr="00952B61" w:rsidRDefault="00CE7795" w:rsidP="00CE7795">
      <w:pPr>
        <w:spacing w:after="110" w:line="251" w:lineRule="auto"/>
        <w:ind w:left="9" w:right="176" w:hanging="10"/>
        <w:rPr>
          <w:rFonts w:ascii="Arial" w:eastAsia="Arial" w:hAnsi="Arial" w:cs="Arial"/>
          <w:b/>
          <w:color w:val="000000"/>
          <w:sz w:val="20"/>
        </w:rPr>
      </w:pPr>
    </w:p>
    <w:p w14:paraId="7D74294A" w14:textId="2051226E" w:rsidR="00CE7795" w:rsidRPr="00952B61" w:rsidRDefault="00CE7795" w:rsidP="00CE7795">
      <w:pPr>
        <w:spacing w:after="120" w:line="247" w:lineRule="auto"/>
        <w:ind w:left="284" w:right="181" w:hanging="284"/>
        <w:rPr>
          <w:rFonts w:ascii="Arial" w:eastAsia="Arial" w:hAnsi="Arial" w:cs="Arial"/>
          <w:b/>
          <w:bCs/>
          <w:sz w:val="20"/>
        </w:rPr>
      </w:pPr>
      <w:r w:rsidRPr="00952B61">
        <w:rPr>
          <w:rFonts w:ascii="Arial" w:eastAsia="Arial" w:hAnsi="Arial" w:cs="Arial"/>
          <w:b/>
          <w:bCs/>
          <w:sz w:val="20"/>
        </w:rPr>
        <w:t>CONSULTEZ IMM</w:t>
      </w:r>
      <w:r w:rsidR="00952B61" w:rsidRPr="00952B61">
        <w:rPr>
          <w:rFonts w:ascii="Arial" w:eastAsia="Arial" w:hAnsi="Arial" w:cs="Arial"/>
          <w:b/>
          <w:bCs/>
          <w:sz w:val="20"/>
          <w:u w:color="000000"/>
          <w:lang w:eastAsia="en-US"/>
        </w:rPr>
        <w:t>É</w:t>
      </w:r>
      <w:r w:rsidRPr="00952B61">
        <w:rPr>
          <w:rFonts w:ascii="Arial" w:eastAsia="Arial" w:hAnsi="Arial" w:cs="Arial"/>
          <w:b/>
          <w:bCs/>
          <w:sz w:val="20"/>
        </w:rPr>
        <w:t>DIATEMENT VOTRE M</w:t>
      </w:r>
      <w:r w:rsidR="00952B61" w:rsidRPr="00952B61">
        <w:rPr>
          <w:rFonts w:ascii="Arial" w:eastAsia="Arial" w:hAnsi="Arial" w:cs="Arial"/>
          <w:b/>
          <w:bCs/>
          <w:sz w:val="20"/>
          <w:u w:color="000000"/>
          <w:lang w:eastAsia="en-US"/>
        </w:rPr>
        <w:t>É</w:t>
      </w:r>
      <w:r w:rsidRPr="00952B61">
        <w:rPr>
          <w:rFonts w:ascii="Arial" w:eastAsia="Arial" w:hAnsi="Arial" w:cs="Arial"/>
          <w:b/>
          <w:bCs/>
          <w:sz w:val="20"/>
        </w:rPr>
        <w:t>DECIN.</w:t>
      </w:r>
    </w:p>
    <w:p w14:paraId="2EBEC879" w14:textId="77777777" w:rsidR="00264820" w:rsidRDefault="00264820"/>
    <w:sectPr w:rsidR="00264820" w:rsidSect="000E30DD">
      <w:footerReference w:type="default" r:id="rId10"/>
      <w:headerReference w:type="first" r:id="rId11"/>
      <w:pgSz w:w="11906" w:h="16838" w:code="9"/>
      <w:pgMar w:top="1134" w:right="1418" w:bottom="1134" w:left="1418" w:header="737" w:footer="737"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FA442EA" w16cex:dateUtc="2024-02-07T10:23:00Z"/>
  <w16cex:commentExtensible w16cex:durableId="67856E90" w16cex:dateUtc="2024-04-25T08:49:00Z"/>
  <w16cex:commentExtensible w16cex:durableId="36D8128A" w16cex:dateUtc="2024-04-25T08:51:00Z"/>
  <w16cex:commentExtensible w16cex:durableId="7CE4E58A" w16cex:dateUtc="2024-04-25T08:51:00Z"/>
  <w16cex:commentExtensible w16cex:durableId="621DA931" w16cex:dateUtc="2024-04-25T08:52:00Z"/>
  <w16cex:commentExtensible w16cex:durableId="12CD365C" w16cex:dateUtc="2024-02-07T10:24:00Z"/>
  <w16cex:commentExtensible w16cex:durableId="0E583453" w16cex:dateUtc="2024-02-07T10:24:00Z"/>
  <w16cex:commentExtensible w16cex:durableId="68A65EC3" w16cex:dateUtc="2024-02-07T10:26:00Z"/>
  <w16cex:commentExtensible w16cex:durableId="2B907B81" w16cex:dateUtc="2024-02-07T10:28:00Z"/>
  <w16cex:commentExtensible w16cex:durableId="7651B2F7" w16cex:dateUtc="2024-03-25T14:47:00Z"/>
  <w16cex:commentExtensible w16cex:durableId="59AF5E98" w16cex:dateUtc="2024-02-07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688FA4" w16cid:durableId="1FA442EA"/>
  <w16cid:commentId w16cid:paraId="295C0A9C" w16cid:durableId="2958C568"/>
  <w16cid:commentId w16cid:paraId="5C484503" w16cid:durableId="2958C9DD"/>
  <w16cid:commentId w16cid:paraId="2A6062FD" w16cid:durableId="3AB1125B"/>
  <w16cid:commentId w16cid:paraId="3D641753" w16cid:durableId="67856E90"/>
  <w16cid:commentId w16cid:paraId="5B8C7096" w16cid:durableId="2958CA12"/>
  <w16cid:commentId w16cid:paraId="1B7B0B7D" w16cid:durableId="053C87E9"/>
  <w16cid:commentId w16cid:paraId="7FF20258" w16cid:durableId="36D8128A"/>
  <w16cid:commentId w16cid:paraId="35C804EE" w16cid:durableId="2958CBA7"/>
  <w16cid:commentId w16cid:paraId="1E6EF9B7" w16cid:durableId="0EA57082"/>
  <w16cid:commentId w16cid:paraId="7B3DB29D" w16cid:durableId="7CE4E58A"/>
  <w16cid:commentId w16cid:paraId="49976B16" w16cid:durableId="621DA931"/>
  <w16cid:commentId w16cid:paraId="1433BE95" w16cid:durableId="12CD365C"/>
  <w16cid:commentId w16cid:paraId="57EE62CF" w16cid:durableId="0E583453"/>
  <w16cid:commentId w16cid:paraId="4E108410" w16cid:durableId="68A65EC3"/>
  <w16cid:commentId w16cid:paraId="78E221F8" w16cid:durableId="2958CF08"/>
  <w16cid:commentId w16cid:paraId="64517E0B" w16cid:durableId="62684866"/>
  <w16cid:commentId w16cid:paraId="63A0AA75" w16cid:durableId="2B907B81"/>
  <w16cid:commentId w16cid:paraId="2DEF2A07" w16cid:durableId="2958CFAF"/>
  <w16cid:commentId w16cid:paraId="253E7A9E" w16cid:durableId="7651B2F7"/>
  <w16cid:commentId w16cid:paraId="2B713755" w16cid:durableId="59AF5E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B0E36" w14:textId="77777777" w:rsidR="00E46F73" w:rsidRDefault="00E46F73">
      <w:r>
        <w:separator/>
      </w:r>
    </w:p>
    <w:p w14:paraId="585D0D60" w14:textId="77777777" w:rsidR="00E46F73" w:rsidRDefault="00E46F73"/>
    <w:p w14:paraId="04D6FAF7" w14:textId="77777777" w:rsidR="00E46F73" w:rsidRDefault="00E46F73"/>
  </w:endnote>
  <w:endnote w:type="continuationSeparator" w:id="0">
    <w:p w14:paraId="63CD88E7" w14:textId="77777777" w:rsidR="00E46F73" w:rsidRDefault="00E46F73">
      <w:r>
        <w:continuationSeparator/>
      </w:r>
    </w:p>
    <w:p w14:paraId="5F09EE5E" w14:textId="77777777" w:rsidR="00E46F73" w:rsidRDefault="00E46F73"/>
    <w:p w14:paraId="1B0A6DEF" w14:textId="77777777" w:rsidR="00E46F73" w:rsidRDefault="00E46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0C78C31-E924-45DB-ABC1-446C45C90FA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D0B06B57-F6CE-4008-8BCA-C3215498AA82}"/>
    <w:embedBold r:id="rId3" w:fontKey="{19E50A8A-86A0-4D3F-8CB2-ECCF0087802E}"/>
    <w:embedItalic r:id="rId4" w:fontKey="{BB0E4441-61E6-4569-AF7B-CDB2B8FE64DC}"/>
    <w:embedBoldItalic r:id="rId5" w:fontKey="{6C95FCD9-459B-4A32-B784-D1CAF28C7E7A}"/>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embedRegular r:id="rId6" w:subsetted="1" w:fontKey="{91EE7564-5474-45DF-855F-CDE5F9570535}"/>
    <w:embedBold r:id="rId7" w:subsetted="1" w:fontKey="{B2B5BA4A-3166-40A9-8E6D-BCA35103A268}"/>
    <w:embedItalic r:id="rId8" w:subsetted="1" w:fontKey="{80EC3BF9-B014-43BF-87A8-76C8BA71198C}"/>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72259" w14:textId="17AF401C" w:rsidR="00B250B6" w:rsidRPr="008F42FE" w:rsidRDefault="00B250B6" w:rsidP="00A87328">
    <w:pPr>
      <w:pStyle w:val="AmmCorpsTexte"/>
      <w:pBdr>
        <w:top w:val="single" w:sz="4" w:space="1" w:color="auto"/>
      </w:pBdr>
      <w:tabs>
        <w:tab w:val="center" w:pos="4536"/>
        <w:tab w:val="right" w:pos="9072"/>
      </w:tabs>
      <w:rPr>
        <w:i/>
        <w:sz w:val="16"/>
        <w:szCs w:val="16"/>
      </w:rPr>
    </w:pPr>
    <w:r w:rsidRPr="008F42FE">
      <w:rPr>
        <w:i/>
        <w:sz w:val="16"/>
        <w:szCs w:val="16"/>
      </w:rPr>
      <w:t xml:space="preserve">CIS : </w:t>
    </w:r>
    <w:r w:rsidRPr="008F42FE">
      <w:rPr>
        <w:i/>
        <w:sz w:val="16"/>
        <w:szCs w:val="16"/>
      </w:rPr>
      <w:fldChar w:fldCharType="begin"/>
    </w:r>
    <w:r w:rsidRPr="008F42FE">
      <w:rPr>
        <w:i/>
        <w:sz w:val="16"/>
        <w:szCs w:val="16"/>
      </w:rPr>
      <w:instrText xml:space="preserve"> DOCPROPERTY "CIS"  \* MERGEFORMAT </w:instrText>
    </w:r>
    <w:r w:rsidRPr="008F42FE">
      <w:rPr>
        <w:i/>
        <w:sz w:val="16"/>
        <w:szCs w:val="16"/>
      </w:rPr>
      <w:fldChar w:fldCharType="separate"/>
    </w:r>
    <w:r>
      <w:rPr>
        <w:i/>
        <w:sz w:val="16"/>
        <w:szCs w:val="16"/>
      </w:rPr>
      <w:t>6 999 999 9</w:t>
    </w:r>
    <w:r w:rsidRPr="008F42FE">
      <w:rPr>
        <w:i/>
        <w:sz w:val="16"/>
        <w:szCs w:val="16"/>
      </w:rPr>
      <w:fldChar w:fldCharType="end"/>
    </w:r>
    <w:r>
      <w:rPr>
        <w:i/>
        <w:sz w:val="16"/>
        <w:szCs w:val="16"/>
      </w:rPr>
      <w:t>_OTES sortant</w:t>
    </w:r>
    <w:r w:rsidRPr="008F42FE">
      <w:rPr>
        <w:i/>
        <w:sz w:val="16"/>
        <w:szCs w:val="16"/>
      </w:rPr>
      <w:tab/>
    </w:r>
    <w:r>
      <w:rPr>
        <w:i/>
        <w:sz w:val="16"/>
        <w:szCs w:val="16"/>
      </w:rPr>
      <w:t xml:space="preserve">        </w:t>
    </w:r>
    <w:r w:rsidRPr="00FB04DE">
      <w:rPr>
        <w:i/>
        <w:sz w:val="16"/>
        <w:szCs w:val="16"/>
      </w:rPr>
      <w:t>Feuille de style AMM format T10 complet</w:t>
    </w:r>
    <w:r>
      <w:rPr>
        <w:i/>
        <w:sz w:val="16"/>
        <w:szCs w:val="16"/>
      </w:rPr>
      <w:t xml:space="preserve"> - </w:t>
    </w:r>
    <w:r w:rsidRPr="00FB04DE">
      <w:rPr>
        <w:i/>
        <w:sz w:val="16"/>
        <w:szCs w:val="16"/>
      </w:rPr>
      <w:t>PDTAUT_FOR011 v0</w:t>
    </w:r>
    <w:r>
      <w:rPr>
        <w:i/>
        <w:sz w:val="16"/>
        <w:szCs w:val="16"/>
      </w:rPr>
      <w:t>7</w:t>
    </w:r>
    <w:r w:rsidRPr="008F42FE">
      <w:rPr>
        <w:i/>
        <w:sz w:val="16"/>
        <w:szCs w:val="16"/>
      </w:rPr>
      <w:tab/>
    </w:r>
    <w:r w:rsidRPr="008F42FE">
      <w:rPr>
        <w:rFonts w:ascii="Arial Narrow" w:hAnsi="Arial Narrow"/>
        <w:i/>
        <w:sz w:val="16"/>
        <w:szCs w:val="16"/>
      </w:rPr>
      <w:fldChar w:fldCharType="begin"/>
    </w:r>
    <w:r w:rsidRPr="008F42FE">
      <w:rPr>
        <w:rFonts w:ascii="Arial Narrow" w:hAnsi="Arial Narrow"/>
        <w:i/>
        <w:sz w:val="16"/>
        <w:szCs w:val="16"/>
      </w:rPr>
      <w:instrText xml:space="preserve"> PAGE </w:instrText>
    </w:r>
    <w:r w:rsidRPr="008F42FE">
      <w:rPr>
        <w:rFonts w:ascii="Arial Narrow" w:hAnsi="Arial Narrow"/>
        <w:i/>
        <w:sz w:val="16"/>
        <w:szCs w:val="16"/>
      </w:rPr>
      <w:fldChar w:fldCharType="separate"/>
    </w:r>
    <w:r w:rsidR="00035A13">
      <w:rPr>
        <w:rFonts w:ascii="Arial Narrow" w:hAnsi="Arial Narrow"/>
        <w:i/>
        <w:noProof/>
        <w:sz w:val="16"/>
        <w:szCs w:val="16"/>
      </w:rPr>
      <w:t>19</w:t>
    </w:r>
    <w:r w:rsidRPr="008F42FE">
      <w:rPr>
        <w:rFonts w:ascii="Arial Narrow" w:hAnsi="Arial Narrow"/>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A0F52" w14:textId="77777777" w:rsidR="00E46F73" w:rsidRDefault="00E46F73">
      <w:r>
        <w:separator/>
      </w:r>
    </w:p>
    <w:p w14:paraId="7BFABE7D" w14:textId="77777777" w:rsidR="00E46F73" w:rsidRDefault="00E46F73"/>
    <w:p w14:paraId="5D6AAB6F" w14:textId="77777777" w:rsidR="00E46F73" w:rsidRDefault="00E46F73"/>
  </w:footnote>
  <w:footnote w:type="continuationSeparator" w:id="0">
    <w:p w14:paraId="0352EA62" w14:textId="77777777" w:rsidR="00E46F73" w:rsidRDefault="00E46F73">
      <w:r>
        <w:continuationSeparator/>
      </w:r>
    </w:p>
    <w:p w14:paraId="1EF6598A" w14:textId="77777777" w:rsidR="00E46F73" w:rsidRDefault="00E46F73"/>
    <w:p w14:paraId="6BD5D5DB" w14:textId="77777777" w:rsidR="00E46F73" w:rsidRDefault="00E46F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937A0" w14:textId="77777777" w:rsidR="00B250B6" w:rsidRDefault="00B250B6">
    <w:pPr>
      <w:pStyle w:val="En-tte"/>
    </w:pPr>
    <w:r>
      <w:rPr>
        <w:noProof/>
      </w:rPr>
      <w:drawing>
        <wp:anchor distT="0" distB="0" distL="114300" distR="114300" simplePos="0" relativeHeight="251657728" behindDoc="0" locked="1" layoutInCell="1" allowOverlap="1" wp14:anchorId="50E61207" wp14:editId="254E6D29">
          <wp:simplePos x="0" y="0"/>
          <wp:positionH relativeFrom="page">
            <wp:posOffset>-23495</wp:posOffset>
          </wp:positionH>
          <wp:positionV relativeFrom="page">
            <wp:posOffset>20320</wp:posOffset>
          </wp:positionV>
          <wp:extent cx="7556500" cy="1219200"/>
          <wp:effectExtent l="0" t="0" r="6350" b="0"/>
          <wp:wrapTight wrapText="bothSides">
            <wp:wrapPolygon edited="0">
              <wp:start x="0" y="0"/>
              <wp:lineTo x="0" y="21263"/>
              <wp:lineTo x="21564" y="21263"/>
              <wp:lineTo x="21564" y="0"/>
              <wp:lineTo x="0" y="0"/>
            </wp:wrapPolygon>
          </wp:wrapTight>
          <wp:docPr id="1" name="Image 17" descr=":::ENTETE-interne:log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ENTETE-interne:logo+R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565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FBA69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2490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1E5D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C0A3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50C7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E8B9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C47D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88D8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BCC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A4C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94343"/>
    <w:multiLevelType w:val="hybridMultilevel"/>
    <w:tmpl w:val="4DCE6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3F61A7"/>
    <w:multiLevelType w:val="hybridMultilevel"/>
    <w:tmpl w:val="0BA047C6"/>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2B3EFF"/>
    <w:multiLevelType w:val="hybridMultilevel"/>
    <w:tmpl w:val="FE300332"/>
    <w:lvl w:ilvl="0" w:tplc="6B2014F2">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5435FC"/>
    <w:multiLevelType w:val="multilevel"/>
    <w:tmpl w:val="48460EC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5AC2261"/>
    <w:multiLevelType w:val="hybridMultilevel"/>
    <w:tmpl w:val="6AC6BB8E"/>
    <w:lvl w:ilvl="0" w:tplc="9072CAAE">
      <w:start w:val="1"/>
      <w:numFmt w:val="bullet"/>
      <w:lvlText w:val="-"/>
      <w:lvlJc w:val="left"/>
      <w:pPr>
        <w:tabs>
          <w:tab w:val="num" w:pos="1494"/>
        </w:tabs>
        <w:ind w:left="1494" w:hanging="360"/>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EE77C7"/>
    <w:multiLevelType w:val="hybridMultilevel"/>
    <w:tmpl w:val="A366265E"/>
    <w:lvl w:ilvl="0" w:tplc="4674381C">
      <w:start w:val="2"/>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6" w15:restartNumberingAfterBreak="0">
    <w:nsid w:val="20116623"/>
    <w:multiLevelType w:val="hybridMultilevel"/>
    <w:tmpl w:val="2FECF09C"/>
    <w:lvl w:ilvl="0" w:tplc="9072CAAE">
      <w:start w:val="1"/>
      <w:numFmt w:val="bullet"/>
      <w:lvlText w:val="-"/>
      <w:lvlJc w:val="left"/>
      <w:pPr>
        <w:ind w:left="720" w:hanging="360"/>
      </w:pPr>
      <w:rPr>
        <w:rFonts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0D225A"/>
    <w:multiLevelType w:val="hybridMultilevel"/>
    <w:tmpl w:val="3682936A"/>
    <w:lvl w:ilvl="0" w:tplc="F4F897C2">
      <w:start w:val="1"/>
      <w:numFmt w:val="bullet"/>
      <w:lvlText w:val="•"/>
      <w:lvlJc w:val="left"/>
      <w:pPr>
        <w:tabs>
          <w:tab w:val="num" w:pos="720"/>
        </w:tabs>
        <w:ind w:left="720" w:hanging="360"/>
      </w:pPr>
      <w:rPr>
        <w:rFonts w:ascii="Arial" w:hAnsi="Arial" w:hint="default"/>
      </w:rPr>
    </w:lvl>
    <w:lvl w:ilvl="1" w:tplc="7192718E" w:tentative="1">
      <w:start w:val="1"/>
      <w:numFmt w:val="bullet"/>
      <w:lvlText w:val="•"/>
      <w:lvlJc w:val="left"/>
      <w:pPr>
        <w:tabs>
          <w:tab w:val="num" w:pos="1440"/>
        </w:tabs>
        <w:ind w:left="1440" w:hanging="360"/>
      </w:pPr>
      <w:rPr>
        <w:rFonts w:ascii="Arial" w:hAnsi="Arial" w:hint="default"/>
      </w:rPr>
    </w:lvl>
    <w:lvl w:ilvl="2" w:tplc="B1D2329E" w:tentative="1">
      <w:start w:val="1"/>
      <w:numFmt w:val="bullet"/>
      <w:lvlText w:val="•"/>
      <w:lvlJc w:val="left"/>
      <w:pPr>
        <w:tabs>
          <w:tab w:val="num" w:pos="2160"/>
        </w:tabs>
        <w:ind w:left="2160" w:hanging="360"/>
      </w:pPr>
      <w:rPr>
        <w:rFonts w:ascii="Arial" w:hAnsi="Arial" w:hint="default"/>
      </w:rPr>
    </w:lvl>
    <w:lvl w:ilvl="3" w:tplc="4F7819DA" w:tentative="1">
      <w:start w:val="1"/>
      <w:numFmt w:val="bullet"/>
      <w:lvlText w:val="•"/>
      <w:lvlJc w:val="left"/>
      <w:pPr>
        <w:tabs>
          <w:tab w:val="num" w:pos="2880"/>
        </w:tabs>
        <w:ind w:left="2880" w:hanging="360"/>
      </w:pPr>
      <w:rPr>
        <w:rFonts w:ascii="Arial" w:hAnsi="Arial" w:hint="default"/>
      </w:rPr>
    </w:lvl>
    <w:lvl w:ilvl="4" w:tplc="3878C924" w:tentative="1">
      <w:start w:val="1"/>
      <w:numFmt w:val="bullet"/>
      <w:lvlText w:val="•"/>
      <w:lvlJc w:val="left"/>
      <w:pPr>
        <w:tabs>
          <w:tab w:val="num" w:pos="3600"/>
        </w:tabs>
        <w:ind w:left="3600" w:hanging="360"/>
      </w:pPr>
      <w:rPr>
        <w:rFonts w:ascii="Arial" w:hAnsi="Arial" w:hint="default"/>
      </w:rPr>
    </w:lvl>
    <w:lvl w:ilvl="5" w:tplc="13A8639C" w:tentative="1">
      <w:start w:val="1"/>
      <w:numFmt w:val="bullet"/>
      <w:lvlText w:val="•"/>
      <w:lvlJc w:val="left"/>
      <w:pPr>
        <w:tabs>
          <w:tab w:val="num" w:pos="4320"/>
        </w:tabs>
        <w:ind w:left="4320" w:hanging="360"/>
      </w:pPr>
      <w:rPr>
        <w:rFonts w:ascii="Arial" w:hAnsi="Arial" w:hint="default"/>
      </w:rPr>
    </w:lvl>
    <w:lvl w:ilvl="6" w:tplc="F58EFFC0" w:tentative="1">
      <w:start w:val="1"/>
      <w:numFmt w:val="bullet"/>
      <w:lvlText w:val="•"/>
      <w:lvlJc w:val="left"/>
      <w:pPr>
        <w:tabs>
          <w:tab w:val="num" w:pos="5040"/>
        </w:tabs>
        <w:ind w:left="5040" w:hanging="360"/>
      </w:pPr>
      <w:rPr>
        <w:rFonts w:ascii="Arial" w:hAnsi="Arial" w:hint="default"/>
      </w:rPr>
    </w:lvl>
    <w:lvl w:ilvl="7" w:tplc="18A61F68" w:tentative="1">
      <w:start w:val="1"/>
      <w:numFmt w:val="bullet"/>
      <w:lvlText w:val="•"/>
      <w:lvlJc w:val="left"/>
      <w:pPr>
        <w:tabs>
          <w:tab w:val="num" w:pos="5760"/>
        </w:tabs>
        <w:ind w:left="5760" w:hanging="360"/>
      </w:pPr>
      <w:rPr>
        <w:rFonts w:ascii="Arial" w:hAnsi="Arial" w:hint="default"/>
      </w:rPr>
    </w:lvl>
    <w:lvl w:ilvl="8" w:tplc="5D70FF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1643091"/>
    <w:multiLevelType w:val="hybridMultilevel"/>
    <w:tmpl w:val="7912282C"/>
    <w:lvl w:ilvl="0" w:tplc="C4AC9BD6">
      <w:start w:val="65"/>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5980461"/>
    <w:multiLevelType w:val="hybridMultilevel"/>
    <w:tmpl w:val="6F2AF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60671C6"/>
    <w:multiLevelType w:val="hybridMultilevel"/>
    <w:tmpl w:val="17FC811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84C16C4"/>
    <w:multiLevelType w:val="hybridMultilevel"/>
    <w:tmpl w:val="3558D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AD18CD"/>
    <w:multiLevelType w:val="hybridMultilevel"/>
    <w:tmpl w:val="92A8A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D6D5F3C"/>
    <w:multiLevelType w:val="hybridMultilevel"/>
    <w:tmpl w:val="B09E49D4"/>
    <w:lvl w:ilvl="0" w:tplc="054EC162">
      <w:start w:val="1"/>
      <w:numFmt w:val="bullet"/>
      <w:lvlText w:val=""/>
      <w:lvlJc w:val="left"/>
      <w:pPr>
        <w:tabs>
          <w:tab w:val="num" w:pos="2629"/>
        </w:tabs>
        <w:ind w:left="2629" w:hanging="360"/>
      </w:pPr>
      <w:rPr>
        <w:rFonts w:ascii="Wingdings" w:hAnsi="Wingdings"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32523EDF"/>
    <w:multiLevelType w:val="hybridMultilevel"/>
    <w:tmpl w:val="07743790"/>
    <w:lvl w:ilvl="0" w:tplc="F30CBC4E">
      <w:start w:val="1"/>
      <w:numFmt w:val="bullet"/>
      <w:pStyle w:val="AmmListePuces3"/>
      <w:lvlText w:val=""/>
      <w:lvlJc w:val="left"/>
      <w:pPr>
        <w:tabs>
          <w:tab w:val="num" w:pos="927"/>
        </w:tabs>
        <w:ind w:left="927" w:hanging="360"/>
      </w:pPr>
      <w:rPr>
        <w:rFonts w:ascii="Wingdings" w:hAnsi="Wingdings" w:hint="default"/>
      </w:rPr>
    </w:lvl>
    <w:lvl w:ilvl="1" w:tplc="B0FAF90A">
      <w:start w:val="1"/>
      <w:numFmt w:val="bullet"/>
      <w:pStyle w:val="AmmListePuces2"/>
      <w:lvlText w:val="o"/>
      <w:lvlJc w:val="left"/>
      <w:pPr>
        <w:tabs>
          <w:tab w:val="num" w:pos="1440"/>
        </w:tabs>
        <w:ind w:left="1440" w:hanging="360"/>
      </w:pPr>
      <w:rPr>
        <w:rFonts w:ascii="Courier New" w:hAnsi="Courier New" w:hint="default"/>
      </w:rPr>
    </w:lvl>
    <w:lvl w:ilvl="2" w:tplc="3384B78E">
      <w:start w:val="1"/>
      <w:numFmt w:val="bullet"/>
      <w:pStyle w:val="AmmListePuces3"/>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A43DE6"/>
    <w:multiLevelType w:val="hybridMultilevel"/>
    <w:tmpl w:val="D5BAF4FC"/>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4619F6"/>
    <w:multiLevelType w:val="hybridMultilevel"/>
    <w:tmpl w:val="CFE29B68"/>
    <w:lvl w:ilvl="0" w:tplc="7128A1A4">
      <w:numFmt w:val="bullet"/>
      <w:lvlText w:val=""/>
      <w:lvlJc w:val="left"/>
      <w:pPr>
        <w:tabs>
          <w:tab w:val="num" w:pos="360"/>
        </w:tabs>
        <w:ind w:left="360" w:hanging="360"/>
      </w:pPr>
      <w:rPr>
        <w:rFonts w:ascii="Symbol" w:hAnsi="Symbol" w:cs="Times New Roman" w:hint="default"/>
        <w:b/>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3024AE"/>
    <w:multiLevelType w:val="hybridMultilevel"/>
    <w:tmpl w:val="22382570"/>
    <w:lvl w:ilvl="0" w:tplc="D280F96A">
      <w:start w:val="100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5F97682"/>
    <w:multiLevelType w:val="hybridMultilevel"/>
    <w:tmpl w:val="714E3752"/>
    <w:lvl w:ilvl="0" w:tplc="836AFB7C">
      <w:numFmt w:val="bullet"/>
      <w:lvlText w:val="-"/>
      <w:lvlJc w:val="left"/>
      <w:pPr>
        <w:ind w:left="360" w:hanging="360"/>
      </w:pPr>
      <w:rPr>
        <w:rFonts w:ascii="Arial" w:eastAsia="Times"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97A6ABB"/>
    <w:multiLevelType w:val="hybridMultilevel"/>
    <w:tmpl w:val="E8745996"/>
    <w:lvl w:ilvl="0" w:tplc="A69C320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DB12396"/>
    <w:multiLevelType w:val="hybridMultilevel"/>
    <w:tmpl w:val="E1CC0726"/>
    <w:lvl w:ilvl="0" w:tplc="5A8C0E0E">
      <w:numFmt w:val="bullet"/>
      <w:lvlText w:val=""/>
      <w:lvlJc w:val="left"/>
      <w:pPr>
        <w:tabs>
          <w:tab w:val="num" w:pos="360"/>
        </w:tabs>
        <w:ind w:left="360" w:hanging="360"/>
      </w:pPr>
      <w:rPr>
        <w:rFonts w:ascii="Symbol" w:eastAsia="Times"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0160A8"/>
    <w:multiLevelType w:val="multilevel"/>
    <w:tmpl w:val="20606084"/>
    <w:lvl w:ilvl="0">
      <w:start w:val="1"/>
      <w:numFmt w:val="bullet"/>
      <w:pStyle w:val="AmmListePuces1"/>
      <w:lvlText w:val=""/>
      <w:lvlJc w:val="left"/>
      <w:pPr>
        <w:tabs>
          <w:tab w:val="num" w:pos="360"/>
        </w:tabs>
        <w:ind w:left="360" w:hanging="360"/>
      </w:pPr>
      <w:rPr>
        <w:rFonts w:ascii="Symbol" w:hAnsi="Symbol" w:hint="default"/>
      </w:rPr>
    </w:lvl>
    <w:lvl w:ilvl="1">
      <w:start w:val="1"/>
      <w:numFmt w:val="upperLetter"/>
      <w:pStyle w:val="Titre2"/>
      <w:lvlText w:val="%2."/>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pStyle w:val="Titre5"/>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32" w15:restartNumberingAfterBreak="0">
    <w:nsid w:val="66BE500F"/>
    <w:multiLevelType w:val="hybridMultilevel"/>
    <w:tmpl w:val="85045F02"/>
    <w:lvl w:ilvl="0" w:tplc="4674381C">
      <w:start w:val="2"/>
      <w:numFmt w:val="bullet"/>
      <w:lvlText w:val="-"/>
      <w:lvlJc w:val="left"/>
      <w:pPr>
        <w:tabs>
          <w:tab w:val="num" w:pos="720"/>
        </w:tabs>
        <w:ind w:left="720" w:hanging="360"/>
      </w:pPr>
      <w:rPr>
        <w:rFonts w:ascii="Calibri" w:eastAsia="Calibri" w:hAnsi="Calibri" w:cs="Calibri" w:hint="default"/>
      </w:rPr>
    </w:lvl>
    <w:lvl w:ilvl="1" w:tplc="FFFFFFFF">
      <w:numFmt w:val="bullet"/>
      <w:lvlText w:val="•"/>
      <w:lvlJc w:val="left"/>
      <w:pPr>
        <w:tabs>
          <w:tab w:val="num" w:pos="1440"/>
        </w:tabs>
        <w:ind w:left="1440" w:hanging="360"/>
      </w:pPr>
      <w:rPr>
        <w:rFonts w:ascii="Arial" w:hAnsi="Arial" w:cs="Times New Roman" w:hint="default"/>
      </w:rPr>
    </w:lvl>
    <w:lvl w:ilvl="2" w:tplc="FFFFFFFF">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6722407D"/>
    <w:multiLevelType w:val="hybridMultilevel"/>
    <w:tmpl w:val="7AE2CBC2"/>
    <w:lvl w:ilvl="0" w:tplc="368AA210">
      <w:numFmt w:val="bullet"/>
      <w:lvlText w:val="-"/>
      <w:lvlJc w:val="left"/>
      <w:pPr>
        <w:ind w:left="1069" w:hanging="360"/>
      </w:pPr>
      <w:rPr>
        <w:rFonts w:ascii="Times New Roman" w:eastAsia="Times New Roman" w:hAnsi="Times New Roman" w:cs="Times New Roman" w:hint="default"/>
        <w:w w:val="102"/>
        <w:sz w:val="22"/>
        <w:szCs w:val="22"/>
        <w:lang w:val="en-US" w:eastAsia="en-US" w:bidi="ar-SA"/>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4" w15:restartNumberingAfterBreak="0">
    <w:nsid w:val="68CB0F89"/>
    <w:multiLevelType w:val="multilevel"/>
    <w:tmpl w:val="0352AC48"/>
    <w:name w:val="RCP"/>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72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6BC360E9"/>
    <w:multiLevelType w:val="hybridMultilevel"/>
    <w:tmpl w:val="0622A9C6"/>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CA710E"/>
    <w:multiLevelType w:val="hybridMultilevel"/>
    <w:tmpl w:val="2D9AF40A"/>
    <w:lvl w:ilvl="0" w:tplc="DFB260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BA6813"/>
    <w:multiLevelType w:val="hybridMultilevel"/>
    <w:tmpl w:val="8D2C5936"/>
    <w:lvl w:ilvl="0" w:tplc="AF38A71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2D06AB"/>
    <w:multiLevelType w:val="hybridMultilevel"/>
    <w:tmpl w:val="8162333C"/>
    <w:lvl w:ilvl="0" w:tplc="6D42F514">
      <w:start w:val="3"/>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799C397D"/>
    <w:multiLevelType w:val="multilevel"/>
    <w:tmpl w:val="91EC8390"/>
    <w:lvl w:ilvl="0">
      <w:numFmt w:val="bullet"/>
      <w:lvlText w:val=""/>
      <w:lvlJc w:val="left"/>
      <w:pPr>
        <w:tabs>
          <w:tab w:val="num" w:pos="360"/>
        </w:tabs>
        <w:ind w:left="360" w:hanging="360"/>
      </w:pPr>
      <w:rPr>
        <w:rFonts w:ascii="Symbol" w:eastAsia="Times" w:hAnsi="Symbol" w:hint="default"/>
        <w:color w:val="auto"/>
        <w:lang w:val="fr-FR"/>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5"/>
  </w:num>
  <w:num w:numId="2">
    <w:abstractNumId w:val="26"/>
  </w:num>
  <w:num w:numId="3">
    <w:abstractNumId w:val="2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4"/>
  </w:num>
  <w:num w:numId="13">
    <w:abstractNumId w:val="31"/>
  </w:num>
  <w:num w:numId="14">
    <w:abstractNumId w:val="14"/>
  </w:num>
  <w:num w:numId="15">
    <w:abstractNumId w:val="23"/>
  </w:num>
  <w:num w:numId="16">
    <w:abstractNumId w:val="13"/>
  </w:num>
  <w:num w:numId="17">
    <w:abstractNumId w:val="39"/>
  </w:num>
  <w:num w:numId="18">
    <w:abstractNumId w:val="30"/>
  </w:num>
  <w:num w:numId="19">
    <w:abstractNumId w:val="31"/>
  </w:num>
  <w:num w:numId="20">
    <w:abstractNumId w:val="31"/>
  </w:num>
  <w:num w:numId="21">
    <w:abstractNumId w:val="31"/>
  </w:num>
  <w:num w:numId="22">
    <w:abstractNumId w:val="25"/>
  </w:num>
  <w:num w:numId="23">
    <w:abstractNumId w:val="12"/>
  </w:num>
  <w:num w:numId="24">
    <w:abstractNumId w:val="28"/>
  </w:num>
  <w:num w:numId="25">
    <w:abstractNumId w:val="37"/>
  </w:num>
  <w:num w:numId="26">
    <w:abstractNumId w:val="29"/>
  </w:num>
  <w:num w:numId="27">
    <w:abstractNumId w:val="10"/>
  </w:num>
  <w:num w:numId="28">
    <w:abstractNumId w:val="35"/>
  </w:num>
  <w:num w:numId="29">
    <w:abstractNumId w:val="11"/>
  </w:num>
  <w:num w:numId="30">
    <w:abstractNumId w:val="21"/>
  </w:num>
  <w:num w:numId="31">
    <w:abstractNumId w:val="16"/>
  </w:num>
  <w:num w:numId="32">
    <w:abstractNumId w:val="18"/>
  </w:num>
  <w:num w:numId="33">
    <w:abstractNumId w:val="33"/>
  </w:num>
  <w:num w:numId="34">
    <w:abstractNumId w:val="27"/>
  </w:num>
  <w:num w:numId="35">
    <w:abstractNumId w:val="22"/>
  </w:num>
  <w:num w:numId="36">
    <w:abstractNumId w:val="19"/>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0"/>
  </w:num>
  <w:num w:numId="40">
    <w:abstractNumId w:val="38"/>
  </w:num>
  <w:num w:numId="41">
    <w:abstractNumId w:val="17"/>
  </w:num>
  <w:num w:numId="42">
    <w:abstractNumId w:val="15"/>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C8"/>
    <w:rsid w:val="00000F99"/>
    <w:rsid w:val="0000327C"/>
    <w:rsid w:val="00003719"/>
    <w:rsid w:val="000048EC"/>
    <w:rsid w:val="00005352"/>
    <w:rsid w:val="00005DB7"/>
    <w:rsid w:val="00007B68"/>
    <w:rsid w:val="000157B9"/>
    <w:rsid w:val="00020ADA"/>
    <w:rsid w:val="000216BC"/>
    <w:rsid w:val="00021E4B"/>
    <w:rsid w:val="000220F8"/>
    <w:rsid w:val="000235A3"/>
    <w:rsid w:val="00023791"/>
    <w:rsid w:val="00024799"/>
    <w:rsid w:val="000256A2"/>
    <w:rsid w:val="00025FAA"/>
    <w:rsid w:val="000267DC"/>
    <w:rsid w:val="0002754F"/>
    <w:rsid w:val="000275BC"/>
    <w:rsid w:val="000278EF"/>
    <w:rsid w:val="00031817"/>
    <w:rsid w:val="00031EB9"/>
    <w:rsid w:val="00032EF1"/>
    <w:rsid w:val="00035456"/>
    <w:rsid w:val="00035A13"/>
    <w:rsid w:val="00036729"/>
    <w:rsid w:val="00043CAF"/>
    <w:rsid w:val="0004620B"/>
    <w:rsid w:val="000471BC"/>
    <w:rsid w:val="00051C7D"/>
    <w:rsid w:val="000533D3"/>
    <w:rsid w:val="0005372B"/>
    <w:rsid w:val="000549E0"/>
    <w:rsid w:val="00054FD8"/>
    <w:rsid w:val="00055914"/>
    <w:rsid w:val="00055B0B"/>
    <w:rsid w:val="00062A9A"/>
    <w:rsid w:val="00062C31"/>
    <w:rsid w:val="0006535D"/>
    <w:rsid w:val="0006564E"/>
    <w:rsid w:val="00067226"/>
    <w:rsid w:val="000672BF"/>
    <w:rsid w:val="00067DB7"/>
    <w:rsid w:val="00070236"/>
    <w:rsid w:val="000731EB"/>
    <w:rsid w:val="0007425F"/>
    <w:rsid w:val="00077D5C"/>
    <w:rsid w:val="0008139B"/>
    <w:rsid w:val="00081FC7"/>
    <w:rsid w:val="0008299C"/>
    <w:rsid w:val="00084127"/>
    <w:rsid w:val="00084EAB"/>
    <w:rsid w:val="00086521"/>
    <w:rsid w:val="00090671"/>
    <w:rsid w:val="00091524"/>
    <w:rsid w:val="0009262B"/>
    <w:rsid w:val="00096037"/>
    <w:rsid w:val="000A13F3"/>
    <w:rsid w:val="000A2B78"/>
    <w:rsid w:val="000A5746"/>
    <w:rsid w:val="000A6AAD"/>
    <w:rsid w:val="000B1C89"/>
    <w:rsid w:val="000B468F"/>
    <w:rsid w:val="000B66D6"/>
    <w:rsid w:val="000B6782"/>
    <w:rsid w:val="000B733F"/>
    <w:rsid w:val="000C21F2"/>
    <w:rsid w:val="000C2383"/>
    <w:rsid w:val="000C5577"/>
    <w:rsid w:val="000C5CFD"/>
    <w:rsid w:val="000C6615"/>
    <w:rsid w:val="000D3DB9"/>
    <w:rsid w:val="000D5442"/>
    <w:rsid w:val="000D5DAD"/>
    <w:rsid w:val="000D6DB8"/>
    <w:rsid w:val="000E30DD"/>
    <w:rsid w:val="000E3738"/>
    <w:rsid w:val="000E393F"/>
    <w:rsid w:val="000E519B"/>
    <w:rsid w:val="000E5455"/>
    <w:rsid w:val="000E6A4D"/>
    <w:rsid w:val="000F0015"/>
    <w:rsid w:val="000F7947"/>
    <w:rsid w:val="000F7DCF"/>
    <w:rsid w:val="00104505"/>
    <w:rsid w:val="0010575E"/>
    <w:rsid w:val="00107327"/>
    <w:rsid w:val="00110624"/>
    <w:rsid w:val="00111D6A"/>
    <w:rsid w:val="00115276"/>
    <w:rsid w:val="001203C3"/>
    <w:rsid w:val="001208C2"/>
    <w:rsid w:val="001208F0"/>
    <w:rsid w:val="00120B0C"/>
    <w:rsid w:val="00120BAC"/>
    <w:rsid w:val="001212B7"/>
    <w:rsid w:val="00121E59"/>
    <w:rsid w:val="00122CA3"/>
    <w:rsid w:val="0012321D"/>
    <w:rsid w:val="00123CD9"/>
    <w:rsid w:val="00126D50"/>
    <w:rsid w:val="0012759E"/>
    <w:rsid w:val="0013122B"/>
    <w:rsid w:val="00132C84"/>
    <w:rsid w:val="00132EB3"/>
    <w:rsid w:val="00133702"/>
    <w:rsid w:val="00135BD1"/>
    <w:rsid w:val="00136E9B"/>
    <w:rsid w:val="00137144"/>
    <w:rsid w:val="00140B27"/>
    <w:rsid w:val="00142094"/>
    <w:rsid w:val="00142BDB"/>
    <w:rsid w:val="00147E4E"/>
    <w:rsid w:val="0015039B"/>
    <w:rsid w:val="00151A86"/>
    <w:rsid w:val="001535B9"/>
    <w:rsid w:val="00156E65"/>
    <w:rsid w:val="00157BF4"/>
    <w:rsid w:val="001656E0"/>
    <w:rsid w:val="00165FA0"/>
    <w:rsid w:val="00166FF9"/>
    <w:rsid w:val="00167846"/>
    <w:rsid w:val="00167E34"/>
    <w:rsid w:val="0017728E"/>
    <w:rsid w:val="00177575"/>
    <w:rsid w:val="0018039D"/>
    <w:rsid w:val="001803A3"/>
    <w:rsid w:val="001845D7"/>
    <w:rsid w:val="00184E0E"/>
    <w:rsid w:val="0018562D"/>
    <w:rsid w:val="0018698A"/>
    <w:rsid w:val="00186A61"/>
    <w:rsid w:val="00186C97"/>
    <w:rsid w:val="00187F7A"/>
    <w:rsid w:val="001922C1"/>
    <w:rsid w:val="00193442"/>
    <w:rsid w:val="001966C8"/>
    <w:rsid w:val="00196BD4"/>
    <w:rsid w:val="001A17EC"/>
    <w:rsid w:val="001A4E1D"/>
    <w:rsid w:val="001A785E"/>
    <w:rsid w:val="001B321D"/>
    <w:rsid w:val="001B385E"/>
    <w:rsid w:val="001B770C"/>
    <w:rsid w:val="001B79CA"/>
    <w:rsid w:val="001B7D2C"/>
    <w:rsid w:val="001C02C2"/>
    <w:rsid w:val="001C235A"/>
    <w:rsid w:val="001C31A9"/>
    <w:rsid w:val="001C3341"/>
    <w:rsid w:val="001C3911"/>
    <w:rsid w:val="001C539B"/>
    <w:rsid w:val="001C6D34"/>
    <w:rsid w:val="001D1D2E"/>
    <w:rsid w:val="001D3437"/>
    <w:rsid w:val="001D6C92"/>
    <w:rsid w:val="001D6D78"/>
    <w:rsid w:val="001D6EB2"/>
    <w:rsid w:val="001D752C"/>
    <w:rsid w:val="001E0425"/>
    <w:rsid w:val="001E0541"/>
    <w:rsid w:val="001E083E"/>
    <w:rsid w:val="001E094F"/>
    <w:rsid w:val="001E2874"/>
    <w:rsid w:val="001E48A2"/>
    <w:rsid w:val="001E61F2"/>
    <w:rsid w:val="001E6786"/>
    <w:rsid w:val="001E67A0"/>
    <w:rsid w:val="001E7062"/>
    <w:rsid w:val="001E7C5C"/>
    <w:rsid w:val="001F0DD5"/>
    <w:rsid w:val="001F1655"/>
    <w:rsid w:val="001F18DD"/>
    <w:rsid w:val="001F1C78"/>
    <w:rsid w:val="001F20B3"/>
    <w:rsid w:val="001F20D8"/>
    <w:rsid w:val="001F5558"/>
    <w:rsid w:val="002002FC"/>
    <w:rsid w:val="00200D15"/>
    <w:rsid w:val="002015BA"/>
    <w:rsid w:val="002025A9"/>
    <w:rsid w:val="00205087"/>
    <w:rsid w:val="0020723F"/>
    <w:rsid w:val="00207D67"/>
    <w:rsid w:val="002125BE"/>
    <w:rsid w:val="00212F8D"/>
    <w:rsid w:val="002168DB"/>
    <w:rsid w:val="00220195"/>
    <w:rsid w:val="002205E7"/>
    <w:rsid w:val="0022302A"/>
    <w:rsid w:val="00227987"/>
    <w:rsid w:val="00231A0D"/>
    <w:rsid w:val="00232A85"/>
    <w:rsid w:val="00240048"/>
    <w:rsid w:val="00240957"/>
    <w:rsid w:val="00243554"/>
    <w:rsid w:val="002448E4"/>
    <w:rsid w:val="00244C21"/>
    <w:rsid w:val="002477D9"/>
    <w:rsid w:val="00252769"/>
    <w:rsid w:val="00253F7F"/>
    <w:rsid w:val="00255526"/>
    <w:rsid w:val="002565EC"/>
    <w:rsid w:val="00256B52"/>
    <w:rsid w:val="00262085"/>
    <w:rsid w:val="00262257"/>
    <w:rsid w:val="00264820"/>
    <w:rsid w:val="0026584F"/>
    <w:rsid w:val="00266CAE"/>
    <w:rsid w:val="00266D3F"/>
    <w:rsid w:val="00267428"/>
    <w:rsid w:val="00267461"/>
    <w:rsid w:val="002714A8"/>
    <w:rsid w:val="00271AFF"/>
    <w:rsid w:val="00273554"/>
    <w:rsid w:val="00274A82"/>
    <w:rsid w:val="00274C5A"/>
    <w:rsid w:val="0027615D"/>
    <w:rsid w:val="002801B6"/>
    <w:rsid w:val="00281EA1"/>
    <w:rsid w:val="00282BAB"/>
    <w:rsid w:val="00282E2F"/>
    <w:rsid w:val="00284C93"/>
    <w:rsid w:val="002853EF"/>
    <w:rsid w:val="0028706C"/>
    <w:rsid w:val="0028722B"/>
    <w:rsid w:val="00291748"/>
    <w:rsid w:val="00291D84"/>
    <w:rsid w:val="00291F6C"/>
    <w:rsid w:val="00293E36"/>
    <w:rsid w:val="002951F6"/>
    <w:rsid w:val="0029705D"/>
    <w:rsid w:val="00297D8C"/>
    <w:rsid w:val="002A086E"/>
    <w:rsid w:val="002A16B3"/>
    <w:rsid w:val="002A1E50"/>
    <w:rsid w:val="002A22EF"/>
    <w:rsid w:val="002A6ACE"/>
    <w:rsid w:val="002B127C"/>
    <w:rsid w:val="002B1944"/>
    <w:rsid w:val="002B58B6"/>
    <w:rsid w:val="002B58D5"/>
    <w:rsid w:val="002B6C92"/>
    <w:rsid w:val="002B7001"/>
    <w:rsid w:val="002B7274"/>
    <w:rsid w:val="002B7ABD"/>
    <w:rsid w:val="002C2DFC"/>
    <w:rsid w:val="002C4C25"/>
    <w:rsid w:val="002C76C1"/>
    <w:rsid w:val="002D7FFB"/>
    <w:rsid w:val="002E1CEB"/>
    <w:rsid w:val="002E1DFA"/>
    <w:rsid w:val="002E3727"/>
    <w:rsid w:val="002E4E09"/>
    <w:rsid w:val="002E7B97"/>
    <w:rsid w:val="002F195A"/>
    <w:rsid w:val="002F28E8"/>
    <w:rsid w:val="002F46A5"/>
    <w:rsid w:val="002F5021"/>
    <w:rsid w:val="002F5F98"/>
    <w:rsid w:val="002F7563"/>
    <w:rsid w:val="00304E68"/>
    <w:rsid w:val="00307868"/>
    <w:rsid w:val="00312207"/>
    <w:rsid w:val="00315299"/>
    <w:rsid w:val="0031529A"/>
    <w:rsid w:val="00315FC9"/>
    <w:rsid w:val="00320F8E"/>
    <w:rsid w:val="003221C0"/>
    <w:rsid w:val="00322DDB"/>
    <w:rsid w:val="00325598"/>
    <w:rsid w:val="00330024"/>
    <w:rsid w:val="00331C32"/>
    <w:rsid w:val="00333A3C"/>
    <w:rsid w:val="00333C75"/>
    <w:rsid w:val="00336B46"/>
    <w:rsid w:val="0034149A"/>
    <w:rsid w:val="00346EDA"/>
    <w:rsid w:val="003532A9"/>
    <w:rsid w:val="00354336"/>
    <w:rsid w:val="00356137"/>
    <w:rsid w:val="003567FB"/>
    <w:rsid w:val="00357838"/>
    <w:rsid w:val="0036080B"/>
    <w:rsid w:val="00361C79"/>
    <w:rsid w:val="0036497F"/>
    <w:rsid w:val="003656B3"/>
    <w:rsid w:val="00372294"/>
    <w:rsid w:val="00374127"/>
    <w:rsid w:val="00374835"/>
    <w:rsid w:val="003754A6"/>
    <w:rsid w:val="00382913"/>
    <w:rsid w:val="0038380A"/>
    <w:rsid w:val="003840BB"/>
    <w:rsid w:val="0038584F"/>
    <w:rsid w:val="00386CBC"/>
    <w:rsid w:val="0039550B"/>
    <w:rsid w:val="00395EC0"/>
    <w:rsid w:val="003967DA"/>
    <w:rsid w:val="003A211E"/>
    <w:rsid w:val="003A34BC"/>
    <w:rsid w:val="003A41AF"/>
    <w:rsid w:val="003A673A"/>
    <w:rsid w:val="003A6B0E"/>
    <w:rsid w:val="003A7ABD"/>
    <w:rsid w:val="003B1B77"/>
    <w:rsid w:val="003B1CB3"/>
    <w:rsid w:val="003B28D8"/>
    <w:rsid w:val="003B41C3"/>
    <w:rsid w:val="003B5002"/>
    <w:rsid w:val="003B5555"/>
    <w:rsid w:val="003B759E"/>
    <w:rsid w:val="003C05EA"/>
    <w:rsid w:val="003C54B6"/>
    <w:rsid w:val="003C5DBD"/>
    <w:rsid w:val="003D09DC"/>
    <w:rsid w:val="003D2A40"/>
    <w:rsid w:val="003D33C5"/>
    <w:rsid w:val="003D343C"/>
    <w:rsid w:val="003D3FF9"/>
    <w:rsid w:val="003D5DF5"/>
    <w:rsid w:val="003D623A"/>
    <w:rsid w:val="003D73CB"/>
    <w:rsid w:val="003E035B"/>
    <w:rsid w:val="003E18E9"/>
    <w:rsid w:val="003E1A92"/>
    <w:rsid w:val="003E2730"/>
    <w:rsid w:val="003E522B"/>
    <w:rsid w:val="003F067B"/>
    <w:rsid w:val="003F09D8"/>
    <w:rsid w:val="003F2065"/>
    <w:rsid w:val="003F4437"/>
    <w:rsid w:val="003F4669"/>
    <w:rsid w:val="003F4AFF"/>
    <w:rsid w:val="003F52C6"/>
    <w:rsid w:val="003F5BF8"/>
    <w:rsid w:val="00400A39"/>
    <w:rsid w:val="00400B46"/>
    <w:rsid w:val="00405B96"/>
    <w:rsid w:val="00407A7F"/>
    <w:rsid w:val="00412F70"/>
    <w:rsid w:val="00413E7B"/>
    <w:rsid w:val="00416600"/>
    <w:rsid w:val="00416ACB"/>
    <w:rsid w:val="00420C46"/>
    <w:rsid w:val="00424131"/>
    <w:rsid w:val="004244D5"/>
    <w:rsid w:val="00430D54"/>
    <w:rsid w:val="00431284"/>
    <w:rsid w:val="00440B88"/>
    <w:rsid w:val="00441620"/>
    <w:rsid w:val="004417FA"/>
    <w:rsid w:val="00441DAC"/>
    <w:rsid w:val="00443CA0"/>
    <w:rsid w:val="00447F81"/>
    <w:rsid w:val="00452473"/>
    <w:rsid w:val="004545EA"/>
    <w:rsid w:val="00455284"/>
    <w:rsid w:val="00455CC6"/>
    <w:rsid w:val="004568DB"/>
    <w:rsid w:val="00467525"/>
    <w:rsid w:val="0047044B"/>
    <w:rsid w:val="00470D3D"/>
    <w:rsid w:val="00472060"/>
    <w:rsid w:val="0047282C"/>
    <w:rsid w:val="0047676D"/>
    <w:rsid w:val="004810C1"/>
    <w:rsid w:val="004811A4"/>
    <w:rsid w:val="00481995"/>
    <w:rsid w:val="004835F4"/>
    <w:rsid w:val="00484A57"/>
    <w:rsid w:val="00484D5C"/>
    <w:rsid w:val="00485786"/>
    <w:rsid w:val="00485B42"/>
    <w:rsid w:val="0048685A"/>
    <w:rsid w:val="004879B2"/>
    <w:rsid w:val="0049046C"/>
    <w:rsid w:val="0049189B"/>
    <w:rsid w:val="00492D8A"/>
    <w:rsid w:val="00495540"/>
    <w:rsid w:val="0049630F"/>
    <w:rsid w:val="00496721"/>
    <w:rsid w:val="00496964"/>
    <w:rsid w:val="00497736"/>
    <w:rsid w:val="00497C21"/>
    <w:rsid w:val="004A07C6"/>
    <w:rsid w:val="004A37BD"/>
    <w:rsid w:val="004A413B"/>
    <w:rsid w:val="004A4B75"/>
    <w:rsid w:val="004B1F37"/>
    <w:rsid w:val="004B2DF1"/>
    <w:rsid w:val="004B3631"/>
    <w:rsid w:val="004B4721"/>
    <w:rsid w:val="004B670A"/>
    <w:rsid w:val="004B7160"/>
    <w:rsid w:val="004B7593"/>
    <w:rsid w:val="004B7A81"/>
    <w:rsid w:val="004B7E5F"/>
    <w:rsid w:val="004C0588"/>
    <w:rsid w:val="004C0A22"/>
    <w:rsid w:val="004C1484"/>
    <w:rsid w:val="004C312D"/>
    <w:rsid w:val="004C4D7C"/>
    <w:rsid w:val="004C5085"/>
    <w:rsid w:val="004C7346"/>
    <w:rsid w:val="004D0B8B"/>
    <w:rsid w:val="004D0E94"/>
    <w:rsid w:val="004D17E0"/>
    <w:rsid w:val="004E112B"/>
    <w:rsid w:val="004E1539"/>
    <w:rsid w:val="004E596F"/>
    <w:rsid w:val="004E644C"/>
    <w:rsid w:val="004F186B"/>
    <w:rsid w:val="004F4DB6"/>
    <w:rsid w:val="004F598F"/>
    <w:rsid w:val="004F5ACD"/>
    <w:rsid w:val="00500052"/>
    <w:rsid w:val="00500347"/>
    <w:rsid w:val="00500F2B"/>
    <w:rsid w:val="0050362F"/>
    <w:rsid w:val="00503AD2"/>
    <w:rsid w:val="00503E90"/>
    <w:rsid w:val="00503F9F"/>
    <w:rsid w:val="005050F2"/>
    <w:rsid w:val="0050554D"/>
    <w:rsid w:val="005064A6"/>
    <w:rsid w:val="0050689A"/>
    <w:rsid w:val="00511919"/>
    <w:rsid w:val="0051230A"/>
    <w:rsid w:val="00512B49"/>
    <w:rsid w:val="00513D6B"/>
    <w:rsid w:val="00516824"/>
    <w:rsid w:val="00517438"/>
    <w:rsid w:val="00520A49"/>
    <w:rsid w:val="00522BC7"/>
    <w:rsid w:val="00523855"/>
    <w:rsid w:val="00525541"/>
    <w:rsid w:val="00525B73"/>
    <w:rsid w:val="00527CC4"/>
    <w:rsid w:val="00530194"/>
    <w:rsid w:val="005302A9"/>
    <w:rsid w:val="0053197C"/>
    <w:rsid w:val="00533904"/>
    <w:rsid w:val="00551F80"/>
    <w:rsid w:val="00552FBE"/>
    <w:rsid w:val="00555138"/>
    <w:rsid w:val="005565B8"/>
    <w:rsid w:val="0056071D"/>
    <w:rsid w:val="00560AC1"/>
    <w:rsid w:val="005614E9"/>
    <w:rsid w:val="005660DC"/>
    <w:rsid w:val="00567011"/>
    <w:rsid w:val="005702B4"/>
    <w:rsid w:val="0057051A"/>
    <w:rsid w:val="0057267B"/>
    <w:rsid w:val="00572F94"/>
    <w:rsid w:val="00573E5B"/>
    <w:rsid w:val="00575D93"/>
    <w:rsid w:val="00581EF5"/>
    <w:rsid w:val="00582BB0"/>
    <w:rsid w:val="0058302E"/>
    <w:rsid w:val="00583511"/>
    <w:rsid w:val="0058444F"/>
    <w:rsid w:val="005854C8"/>
    <w:rsid w:val="005856EE"/>
    <w:rsid w:val="00591E7B"/>
    <w:rsid w:val="00593B03"/>
    <w:rsid w:val="00594449"/>
    <w:rsid w:val="00594B21"/>
    <w:rsid w:val="0059702F"/>
    <w:rsid w:val="00597648"/>
    <w:rsid w:val="00597C90"/>
    <w:rsid w:val="005A5292"/>
    <w:rsid w:val="005A58A0"/>
    <w:rsid w:val="005B14B3"/>
    <w:rsid w:val="005C5CC6"/>
    <w:rsid w:val="005D28DA"/>
    <w:rsid w:val="005D40B9"/>
    <w:rsid w:val="005E1E5B"/>
    <w:rsid w:val="005E2ACC"/>
    <w:rsid w:val="005E500A"/>
    <w:rsid w:val="005E5379"/>
    <w:rsid w:val="005E71D0"/>
    <w:rsid w:val="005E737B"/>
    <w:rsid w:val="005E769D"/>
    <w:rsid w:val="005E76DA"/>
    <w:rsid w:val="005F0007"/>
    <w:rsid w:val="005F4697"/>
    <w:rsid w:val="005F5DBF"/>
    <w:rsid w:val="005F7087"/>
    <w:rsid w:val="005F71BD"/>
    <w:rsid w:val="00601ABE"/>
    <w:rsid w:val="0060375F"/>
    <w:rsid w:val="00605062"/>
    <w:rsid w:val="00606E81"/>
    <w:rsid w:val="00607694"/>
    <w:rsid w:val="006076D6"/>
    <w:rsid w:val="0060785F"/>
    <w:rsid w:val="00607926"/>
    <w:rsid w:val="00607BD2"/>
    <w:rsid w:val="00613A77"/>
    <w:rsid w:val="00614053"/>
    <w:rsid w:val="00614692"/>
    <w:rsid w:val="006169DB"/>
    <w:rsid w:val="0061798A"/>
    <w:rsid w:val="0062107E"/>
    <w:rsid w:val="006220E9"/>
    <w:rsid w:val="00623CC6"/>
    <w:rsid w:val="00623D21"/>
    <w:rsid w:val="006336BD"/>
    <w:rsid w:val="00634B19"/>
    <w:rsid w:val="00634E3F"/>
    <w:rsid w:val="00634F22"/>
    <w:rsid w:val="00641816"/>
    <w:rsid w:val="00643698"/>
    <w:rsid w:val="00643C87"/>
    <w:rsid w:val="006442FC"/>
    <w:rsid w:val="0064529B"/>
    <w:rsid w:val="0064656C"/>
    <w:rsid w:val="006500D7"/>
    <w:rsid w:val="006520DC"/>
    <w:rsid w:val="0065220D"/>
    <w:rsid w:val="00653D44"/>
    <w:rsid w:val="00656F46"/>
    <w:rsid w:val="00664C5F"/>
    <w:rsid w:val="00666C91"/>
    <w:rsid w:val="0067173A"/>
    <w:rsid w:val="00671E3E"/>
    <w:rsid w:val="00676747"/>
    <w:rsid w:val="006812F7"/>
    <w:rsid w:val="00682FFA"/>
    <w:rsid w:val="0068334F"/>
    <w:rsid w:val="00683DCD"/>
    <w:rsid w:val="006879FB"/>
    <w:rsid w:val="0069098D"/>
    <w:rsid w:val="006937DC"/>
    <w:rsid w:val="006938B8"/>
    <w:rsid w:val="006A0F64"/>
    <w:rsid w:val="006A126B"/>
    <w:rsid w:val="006A1D94"/>
    <w:rsid w:val="006A2802"/>
    <w:rsid w:val="006A5128"/>
    <w:rsid w:val="006A5CF0"/>
    <w:rsid w:val="006A6159"/>
    <w:rsid w:val="006A7A8F"/>
    <w:rsid w:val="006B14AC"/>
    <w:rsid w:val="006B79DE"/>
    <w:rsid w:val="006C003D"/>
    <w:rsid w:val="006C0836"/>
    <w:rsid w:val="006C1C3C"/>
    <w:rsid w:val="006C299A"/>
    <w:rsid w:val="006C53F4"/>
    <w:rsid w:val="006C5D1B"/>
    <w:rsid w:val="006C7C1A"/>
    <w:rsid w:val="006D1309"/>
    <w:rsid w:val="006D3A45"/>
    <w:rsid w:val="006D7504"/>
    <w:rsid w:val="006D78CC"/>
    <w:rsid w:val="006D7FFE"/>
    <w:rsid w:val="006E108B"/>
    <w:rsid w:val="006E2015"/>
    <w:rsid w:val="006E30A5"/>
    <w:rsid w:val="006E4F6D"/>
    <w:rsid w:val="006E542E"/>
    <w:rsid w:val="006E5D3C"/>
    <w:rsid w:val="006E6561"/>
    <w:rsid w:val="006E7013"/>
    <w:rsid w:val="006F131C"/>
    <w:rsid w:val="00700AFC"/>
    <w:rsid w:val="00700BBE"/>
    <w:rsid w:val="007010BE"/>
    <w:rsid w:val="007045C7"/>
    <w:rsid w:val="00707325"/>
    <w:rsid w:val="00710209"/>
    <w:rsid w:val="00710B9B"/>
    <w:rsid w:val="00713CCE"/>
    <w:rsid w:val="0071400E"/>
    <w:rsid w:val="00715A18"/>
    <w:rsid w:val="00715C43"/>
    <w:rsid w:val="00715C45"/>
    <w:rsid w:val="00720E92"/>
    <w:rsid w:val="00721D56"/>
    <w:rsid w:val="00722C5F"/>
    <w:rsid w:val="00725046"/>
    <w:rsid w:val="00725836"/>
    <w:rsid w:val="00725D4D"/>
    <w:rsid w:val="00730E02"/>
    <w:rsid w:val="00731732"/>
    <w:rsid w:val="007318F8"/>
    <w:rsid w:val="00732A3C"/>
    <w:rsid w:val="00736F4C"/>
    <w:rsid w:val="0074092A"/>
    <w:rsid w:val="00740D1F"/>
    <w:rsid w:val="007417CC"/>
    <w:rsid w:val="0074191B"/>
    <w:rsid w:val="00741D83"/>
    <w:rsid w:val="00742058"/>
    <w:rsid w:val="00742D1C"/>
    <w:rsid w:val="00743265"/>
    <w:rsid w:val="00743C98"/>
    <w:rsid w:val="007440E7"/>
    <w:rsid w:val="00745148"/>
    <w:rsid w:val="0074557C"/>
    <w:rsid w:val="00746D16"/>
    <w:rsid w:val="0074797D"/>
    <w:rsid w:val="00750367"/>
    <w:rsid w:val="00750939"/>
    <w:rsid w:val="007560DD"/>
    <w:rsid w:val="00756C8C"/>
    <w:rsid w:val="00761500"/>
    <w:rsid w:val="0076188B"/>
    <w:rsid w:val="00762F6C"/>
    <w:rsid w:val="00763CE4"/>
    <w:rsid w:val="00764162"/>
    <w:rsid w:val="00764282"/>
    <w:rsid w:val="0076582A"/>
    <w:rsid w:val="00767A28"/>
    <w:rsid w:val="00767A7C"/>
    <w:rsid w:val="007705FC"/>
    <w:rsid w:val="00771BE6"/>
    <w:rsid w:val="00775902"/>
    <w:rsid w:val="00775E88"/>
    <w:rsid w:val="00776112"/>
    <w:rsid w:val="00781F1B"/>
    <w:rsid w:val="007821DC"/>
    <w:rsid w:val="007844AB"/>
    <w:rsid w:val="00785CB9"/>
    <w:rsid w:val="00786349"/>
    <w:rsid w:val="007864C0"/>
    <w:rsid w:val="00795D90"/>
    <w:rsid w:val="00796D26"/>
    <w:rsid w:val="007977CF"/>
    <w:rsid w:val="007A1307"/>
    <w:rsid w:val="007A49D5"/>
    <w:rsid w:val="007A4E82"/>
    <w:rsid w:val="007A5A8A"/>
    <w:rsid w:val="007A5EB5"/>
    <w:rsid w:val="007B0149"/>
    <w:rsid w:val="007B37F1"/>
    <w:rsid w:val="007B4302"/>
    <w:rsid w:val="007B57B5"/>
    <w:rsid w:val="007B7130"/>
    <w:rsid w:val="007C370B"/>
    <w:rsid w:val="007C3F0B"/>
    <w:rsid w:val="007C4C0A"/>
    <w:rsid w:val="007C605C"/>
    <w:rsid w:val="007C6A7A"/>
    <w:rsid w:val="007C6DC8"/>
    <w:rsid w:val="007C7602"/>
    <w:rsid w:val="007D240F"/>
    <w:rsid w:val="007E2EB1"/>
    <w:rsid w:val="007E36F6"/>
    <w:rsid w:val="007E4AAC"/>
    <w:rsid w:val="007E58A4"/>
    <w:rsid w:val="007E5E85"/>
    <w:rsid w:val="007E6948"/>
    <w:rsid w:val="007F23A9"/>
    <w:rsid w:val="007F33A8"/>
    <w:rsid w:val="007F33DF"/>
    <w:rsid w:val="007F47D3"/>
    <w:rsid w:val="007F66C7"/>
    <w:rsid w:val="00800B40"/>
    <w:rsid w:val="00803533"/>
    <w:rsid w:val="00805D0D"/>
    <w:rsid w:val="00805EBB"/>
    <w:rsid w:val="008061A6"/>
    <w:rsid w:val="008065BE"/>
    <w:rsid w:val="008068CE"/>
    <w:rsid w:val="00806DB3"/>
    <w:rsid w:val="00810790"/>
    <w:rsid w:val="00811A5E"/>
    <w:rsid w:val="008134A2"/>
    <w:rsid w:val="0081630B"/>
    <w:rsid w:val="00816960"/>
    <w:rsid w:val="008225B3"/>
    <w:rsid w:val="00823903"/>
    <w:rsid w:val="0082407E"/>
    <w:rsid w:val="00824376"/>
    <w:rsid w:val="00825EF4"/>
    <w:rsid w:val="00831C70"/>
    <w:rsid w:val="00841B15"/>
    <w:rsid w:val="00842797"/>
    <w:rsid w:val="00843CB0"/>
    <w:rsid w:val="00844063"/>
    <w:rsid w:val="0084515D"/>
    <w:rsid w:val="008464F8"/>
    <w:rsid w:val="00852E2E"/>
    <w:rsid w:val="00854DD5"/>
    <w:rsid w:val="00854E56"/>
    <w:rsid w:val="008558EA"/>
    <w:rsid w:val="008566E1"/>
    <w:rsid w:val="00856A45"/>
    <w:rsid w:val="00857670"/>
    <w:rsid w:val="0086136F"/>
    <w:rsid w:val="00862481"/>
    <w:rsid w:val="008656C7"/>
    <w:rsid w:val="0086646D"/>
    <w:rsid w:val="00866FEF"/>
    <w:rsid w:val="00871C66"/>
    <w:rsid w:val="00873059"/>
    <w:rsid w:val="00873E24"/>
    <w:rsid w:val="008741B6"/>
    <w:rsid w:val="00874F82"/>
    <w:rsid w:val="00875C33"/>
    <w:rsid w:val="00876B5D"/>
    <w:rsid w:val="00880040"/>
    <w:rsid w:val="00880B7C"/>
    <w:rsid w:val="00880C56"/>
    <w:rsid w:val="00885216"/>
    <w:rsid w:val="00885EC8"/>
    <w:rsid w:val="008869DD"/>
    <w:rsid w:val="0088775F"/>
    <w:rsid w:val="00892802"/>
    <w:rsid w:val="00894018"/>
    <w:rsid w:val="00897B6F"/>
    <w:rsid w:val="008A123F"/>
    <w:rsid w:val="008A1C05"/>
    <w:rsid w:val="008A6219"/>
    <w:rsid w:val="008A6D12"/>
    <w:rsid w:val="008A759B"/>
    <w:rsid w:val="008A7948"/>
    <w:rsid w:val="008B001C"/>
    <w:rsid w:val="008B1DFE"/>
    <w:rsid w:val="008B405E"/>
    <w:rsid w:val="008C41B9"/>
    <w:rsid w:val="008C5854"/>
    <w:rsid w:val="008C6E1C"/>
    <w:rsid w:val="008D17B1"/>
    <w:rsid w:val="008D3CAD"/>
    <w:rsid w:val="008D40E6"/>
    <w:rsid w:val="008D4988"/>
    <w:rsid w:val="008D4ACF"/>
    <w:rsid w:val="008D54F2"/>
    <w:rsid w:val="008D5C50"/>
    <w:rsid w:val="008D6927"/>
    <w:rsid w:val="008D7BE4"/>
    <w:rsid w:val="008E1B97"/>
    <w:rsid w:val="008E2C2D"/>
    <w:rsid w:val="008F1105"/>
    <w:rsid w:val="008F2D8F"/>
    <w:rsid w:val="008F42FE"/>
    <w:rsid w:val="008F4597"/>
    <w:rsid w:val="008F5959"/>
    <w:rsid w:val="008F60F5"/>
    <w:rsid w:val="008F72EC"/>
    <w:rsid w:val="0090557A"/>
    <w:rsid w:val="00907AEE"/>
    <w:rsid w:val="00910288"/>
    <w:rsid w:val="00910B11"/>
    <w:rsid w:val="00911D94"/>
    <w:rsid w:val="0091294B"/>
    <w:rsid w:val="00920D25"/>
    <w:rsid w:val="00923428"/>
    <w:rsid w:val="00923539"/>
    <w:rsid w:val="00925916"/>
    <w:rsid w:val="00930D87"/>
    <w:rsid w:val="009326FB"/>
    <w:rsid w:val="00932BCB"/>
    <w:rsid w:val="00933060"/>
    <w:rsid w:val="0093351F"/>
    <w:rsid w:val="00935615"/>
    <w:rsid w:val="009374BB"/>
    <w:rsid w:val="009374C4"/>
    <w:rsid w:val="0094075C"/>
    <w:rsid w:val="00940ED6"/>
    <w:rsid w:val="00943AE0"/>
    <w:rsid w:val="0094410C"/>
    <w:rsid w:val="00945539"/>
    <w:rsid w:val="0094627B"/>
    <w:rsid w:val="0094651A"/>
    <w:rsid w:val="00947DB7"/>
    <w:rsid w:val="00950155"/>
    <w:rsid w:val="00950ECB"/>
    <w:rsid w:val="0095158E"/>
    <w:rsid w:val="00952B61"/>
    <w:rsid w:val="0095506A"/>
    <w:rsid w:val="00956CBD"/>
    <w:rsid w:val="0095741A"/>
    <w:rsid w:val="00957D73"/>
    <w:rsid w:val="009609C2"/>
    <w:rsid w:val="00966AC7"/>
    <w:rsid w:val="00967A3A"/>
    <w:rsid w:val="00970697"/>
    <w:rsid w:val="00975360"/>
    <w:rsid w:val="00975EC9"/>
    <w:rsid w:val="0097665B"/>
    <w:rsid w:val="0098466C"/>
    <w:rsid w:val="00984FFD"/>
    <w:rsid w:val="009854C2"/>
    <w:rsid w:val="0098566C"/>
    <w:rsid w:val="0098757D"/>
    <w:rsid w:val="00992955"/>
    <w:rsid w:val="0099417B"/>
    <w:rsid w:val="009953C3"/>
    <w:rsid w:val="00995F24"/>
    <w:rsid w:val="00996E8B"/>
    <w:rsid w:val="009A1EB3"/>
    <w:rsid w:val="009A208F"/>
    <w:rsid w:val="009A6A02"/>
    <w:rsid w:val="009A7F33"/>
    <w:rsid w:val="009B3870"/>
    <w:rsid w:val="009B5836"/>
    <w:rsid w:val="009B5D1B"/>
    <w:rsid w:val="009B7CA8"/>
    <w:rsid w:val="009C18A2"/>
    <w:rsid w:val="009C29BC"/>
    <w:rsid w:val="009C5CCA"/>
    <w:rsid w:val="009D010A"/>
    <w:rsid w:val="009D1074"/>
    <w:rsid w:val="009D1105"/>
    <w:rsid w:val="009D27CE"/>
    <w:rsid w:val="009D3B80"/>
    <w:rsid w:val="009D4369"/>
    <w:rsid w:val="009D4E73"/>
    <w:rsid w:val="009D5524"/>
    <w:rsid w:val="009D62A8"/>
    <w:rsid w:val="009D719A"/>
    <w:rsid w:val="009D7977"/>
    <w:rsid w:val="009E2076"/>
    <w:rsid w:val="009E2931"/>
    <w:rsid w:val="009E44EF"/>
    <w:rsid w:val="009F25D9"/>
    <w:rsid w:val="009F3419"/>
    <w:rsid w:val="009F4458"/>
    <w:rsid w:val="009F4D5B"/>
    <w:rsid w:val="009F4D88"/>
    <w:rsid w:val="009F67AB"/>
    <w:rsid w:val="00A01EB7"/>
    <w:rsid w:val="00A03A01"/>
    <w:rsid w:val="00A04455"/>
    <w:rsid w:val="00A04C0E"/>
    <w:rsid w:val="00A058B2"/>
    <w:rsid w:val="00A0599B"/>
    <w:rsid w:val="00A0618C"/>
    <w:rsid w:val="00A067B7"/>
    <w:rsid w:val="00A07493"/>
    <w:rsid w:val="00A13294"/>
    <w:rsid w:val="00A16A34"/>
    <w:rsid w:val="00A17BC2"/>
    <w:rsid w:val="00A17EA5"/>
    <w:rsid w:val="00A2140F"/>
    <w:rsid w:val="00A25429"/>
    <w:rsid w:val="00A25495"/>
    <w:rsid w:val="00A31090"/>
    <w:rsid w:val="00A32CEF"/>
    <w:rsid w:val="00A35BA9"/>
    <w:rsid w:val="00A36441"/>
    <w:rsid w:val="00A3788E"/>
    <w:rsid w:val="00A5385E"/>
    <w:rsid w:val="00A56419"/>
    <w:rsid w:val="00A56B6D"/>
    <w:rsid w:val="00A61671"/>
    <w:rsid w:val="00A619DC"/>
    <w:rsid w:val="00A625C7"/>
    <w:rsid w:val="00A63DEA"/>
    <w:rsid w:val="00A668A9"/>
    <w:rsid w:val="00A71672"/>
    <w:rsid w:val="00A71D8D"/>
    <w:rsid w:val="00A727F6"/>
    <w:rsid w:val="00A73CB9"/>
    <w:rsid w:val="00A829A8"/>
    <w:rsid w:val="00A83A1C"/>
    <w:rsid w:val="00A86BFE"/>
    <w:rsid w:val="00A87328"/>
    <w:rsid w:val="00A87470"/>
    <w:rsid w:val="00A90B24"/>
    <w:rsid w:val="00A91067"/>
    <w:rsid w:val="00A917B2"/>
    <w:rsid w:val="00A9522F"/>
    <w:rsid w:val="00AA2EEF"/>
    <w:rsid w:val="00AA4338"/>
    <w:rsid w:val="00AA47E4"/>
    <w:rsid w:val="00AB0C40"/>
    <w:rsid w:val="00AB22D1"/>
    <w:rsid w:val="00AB4726"/>
    <w:rsid w:val="00AB54BB"/>
    <w:rsid w:val="00AB77CB"/>
    <w:rsid w:val="00AB7AA9"/>
    <w:rsid w:val="00AB7E6E"/>
    <w:rsid w:val="00AC23B7"/>
    <w:rsid w:val="00AC544B"/>
    <w:rsid w:val="00AD0867"/>
    <w:rsid w:val="00AD09BB"/>
    <w:rsid w:val="00AD17AF"/>
    <w:rsid w:val="00AD2318"/>
    <w:rsid w:val="00AD26DB"/>
    <w:rsid w:val="00AD64A1"/>
    <w:rsid w:val="00AE07C6"/>
    <w:rsid w:val="00AE09E6"/>
    <w:rsid w:val="00AE0D90"/>
    <w:rsid w:val="00AE18AD"/>
    <w:rsid w:val="00AE4CCE"/>
    <w:rsid w:val="00AE4FFC"/>
    <w:rsid w:val="00AF22A0"/>
    <w:rsid w:val="00AF2693"/>
    <w:rsid w:val="00AF2E08"/>
    <w:rsid w:val="00AF3B44"/>
    <w:rsid w:val="00AF4B01"/>
    <w:rsid w:val="00AF7151"/>
    <w:rsid w:val="00AF71FD"/>
    <w:rsid w:val="00B00EB8"/>
    <w:rsid w:val="00B018A1"/>
    <w:rsid w:val="00B018FD"/>
    <w:rsid w:val="00B02B80"/>
    <w:rsid w:val="00B04223"/>
    <w:rsid w:val="00B04840"/>
    <w:rsid w:val="00B049D5"/>
    <w:rsid w:val="00B070F7"/>
    <w:rsid w:val="00B073A6"/>
    <w:rsid w:val="00B0750F"/>
    <w:rsid w:val="00B117FF"/>
    <w:rsid w:val="00B123CF"/>
    <w:rsid w:val="00B12BDE"/>
    <w:rsid w:val="00B16899"/>
    <w:rsid w:val="00B173C4"/>
    <w:rsid w:val="00B17711"/>
    <w:rsid w:val="00B17D13"/>
    <w:rsid w:val="00B20A7D"/>
    <w:rsid w:val="00B20C7C"/>
    <w:rsid w:val="00B21FF8"/>
    <w:rsid w:val="00B22350"/>
    <w:rsid w:val="00B231AF"/>
    <w:rsid w:val="00B239CE"/>
    <w:rsid w:val="00B23BF0"/>
    <w:rsid w:val="00B240B8"/>
    <w:rsid w:val="00B24DF1"/>
    <w:rsid w:val="00B250B6"/>
    <w:rsid w:val="00B2515B"/>
    <w:rsid w:val="00B26AA0"/>
    <w:rsid w:val="00B27E6B"/>
    <w:rsid w:val="00B32141"/>
    <w:rsid w:val="00B32719"/>
    <w:rsid w:val="00B3273D"/>
    <w:rsid w:val="00B3572C"/>
    <w:rsid w:val="00B35CB4"/>
    <w:rsid w:val="00B36449"/>
    <w:rsid w:val="00B428D5"/>
    <w:rsid w:val="00B472F2"/>
    <w:rsid w:val="00B51E77"/>
    <w:rsid w:val="00B54365"/>
    <w:rsid w:val="00B55670"/>
    <w:rsid w:val="00B62BC3"/>
    <w:rsid w:val="00B64386"/>
    <w:rsid w:val="00B6538C"/>
    <w:rsid w:val="00B66EDD"/>
    <w:rsid w:val="00B70FC9"/>
    <w:rsid w:val="00B74604"/>
    <w:rsid w:val="00B76F66"/>
    <w:rsid w:val="00B80A14"/>
    <w:rsid w:val="00B82916"/>
    <w:rsid w:val="00B8304A"/>
    <w:rsid w:val="00B8377A"/>
    <w:rsid w:val="00B839C2"/>
    <w:rsid w:val="00B902E7"/>
    <w:rsid w:val="00B9095B"/>
    <w:rsid w:val="00B90B42"/>
    <w:rsid w:val="00B91A38"/>
    <w:rsid w:val="00B927C3"/>
    <w:rsid w:val="00B960B8"/>
    <w:rsid w:val="00B96F65"/>
    <w:rsid w:val="00B973F8"/>
    <w:rsid w:val="00BA1E1D"/>
    <w:rsid w:val="00BA7809"/>
    <w:rsid w:val="00BB0270"/>
    <w:rsid w:val="00BB0C05"/>
    <w:rsid w:val="00BB18F1"/>
    <w:rsid w:val="00BB1ADA"/>
    <w:rsid w:val="00BB2627"/>
    <w:rsid w:val="00BB452B"/>
    <w:rsid w:val="00BB5BF4"/>
    <w:rsid w:val="00BB627D"/>
    <w:rsid w:val="00BB70DF"/>
    <w:rsid w:val="00BB75E5"/>
    <w:rsid w:val="00BC08A9"/>
    <w:rsid w:val="00BC131C"/>
    <w:rsid w:val="00BC28B2"/>
    <w:rsid w:val="00BC2DDE"/>
    <w:rsid w:val="00BC4C18"/>
    <w:rsid w:val="00BC7D2D"/>
    <w:rsid w:val="00BD1E89"/>
    <w:rsid w:val="00BD213D"/>
    <w:rsid w:val="00BD36D6"/>
    <w:rsid w:val="00BD69E9"/>
    <w:rsid w:val="00BD789C"/>
    <w:rsid w:val="00BE16C4"/>
    <w:rsid w:val="00BE25AD"/>
    <w:rsid w:val="00BE3708"/>
    <w:rsid w:val="00BE3C98"/>
    <w:rsid w:val="00BE68EB"/>
    <w:rsid w:val="00BE7B1B"/>
    <w:rsid w:val="00BF1505"/>
    <w:rsid w:val="00BF48F0"/>
    <w:rsid w:val="00C0066D"/>
    <w:rsid w:val="00C01296"/>
    <w:rsid w:val="00C05077"/>
    <w:rsid w:val="00C1038F"/>
    <w:rsid w:val="00C14802"/>
    <w:rsid w:val="00C20787"/>
    <w:rsid w:val="00C210BC"/>
    <w:rsid w:val="00C21911"/>
    <w:rsid w:val="00C22A41"/>
    <w:rsid w:val="00C22FD3"/>
    <w:rsid w:val="00C230B2"/>
    <w:rsid w:val="00C25EF7"/>
    <w:rsid w:val="00C31981"/>
    <w:rsid w:val="00C31FAC"/>
    <w:rsid w:val="00C35BC0"/>
    <w:rsid w:val="00C376E6"/>
    <w:rsid w:val="00C404DF"/>
    <w:rsid w:val="00C40987"/>
    <w:rsid w:val="00C431BC"/>
    <w:rsid w:val="00C45048"/>
    <w:rsid w:val="00C4778E"/>
    <w:rsid w:val="00C503ED"/>
    <w:rsid w:val="00C50EA8"/>
    <w:rsid w:val="00C50F50"/>
    <w:rsid w:val="00C51EBC"/>
    <w:rsid w:val="00C531D1"/>
    <w:rsid w:val="00C57E76"/>
    <w:rsid w:val="00C63A24"/>
    <w:rsid w:val="00C640E0"/>
    <w:rsid w:val="00C66CE1"/>
    <w:rsid w:val="00C66E38"/>
    <w:rsid w:val="00C70056"/>
    <w:rsid w:val="00C7093D"/>
    <w:rsid w:val="00C7124A"/>
    <w:rsid w:val="00C72549"/>
    <w:rsid w:val="00C728EB"/>
    <w:rsid w:val="00C73528"/>
    <w:rsid w:val="00C7401E"/>
    <w:rsid w:val="00C74B2F"/>
    <w:rsid w:val="00C74E33"/>
    <w:rsid w:val="00C812BD"/>
    <w:rsid w:val="00C82915"/>
    <w:rsid w:val="00C82EC8"/>
    <w:rsid w:val="00C85DD0"/>
    <w:rsid w:val="00C86906"/>
    <w:rsid w:val="00C871D3"/>
    <w:rsid w:val="00C8725E"/>
    <w:rsid w:val="00C87A76"/>
    <w:rsid w:val="00C917F6"/>
    <w:rsid w:val="00C9205E"/>
    <w:rsid w:val="00C92663"/>
    <w:rsid w:val="00C93610"/>
    <w:rsid w:val="00C944D1"/>
    <w:rsid w:val="00C95DB6"/>
    <w:rsid w:val="00C97578"/>
    <w:rsid w:val="00CA04D3"/>
    <w:rsid w:val="00CA2829"/>
    <w:rsid w:val="00CA3360"/>
    <w:rsid w:val="00CA42EF"/>
    <w:rsid w:val="00CA47E2"/>
    <w:rsid w:val="00CA5AFE"/>
    <w:rsid w:val="00CA5CDC"/>
    <w:rsid w:val="00CA5D67"/>
    <w:rsid w:val="00CB127C"/>
    <w:rsid w:val="00CB272D"/>
    <w:rsid w:val="00CB5310"/>
    <w:rsid w:val="00CB609D"/>
    <w:rsid w:val="00CB6A17"/>
    <w:rsid w:val="00CB6F3B"/>
    <w:rsid w:val="00CC3AA5"/>
    <w:rsid w:val="00CC3B08"/>
    <w:rsid w:val="00CC6D28"/>
    <w:rsid w:val="00CC7489"/>
    <w:rsid w:val="00CD00F2"/>
    <w:rsid w:val="00CD12E3"/>
    <w:rsid w:val="00CD2CEE"/>
    <w:rsid w:val="00CD39A1"/>
    <w:rsid w:val="00CD3AE6"/>
    <w:rsid w:val="00CD3D43"/>
    <w:rsid w:val="00CD49F4"/>
    <w:rsid w:val="00CD5B40"/>
    <w:rsid w:val="00CD6173"/>
    <w:rsid w:val="00CD64E7"/>
    <w:rsid w:val="00CD7D8F"/>
    <w:rsid w:val="00CE1F77"/>
    <w:rsid w:val="00CE3485"/>
    <w:rsid w:val="00CE4B04"/>
    <w:rsid w:val="00CE5BDC"/>
    <w:rsid w:val="00CE775A"/>
    <w:rsid w:val="00CE7795"/>
    <w:rsid w:val="00CF0602"/>
    <w:rsid w:val="00CF1CCA"/>
    <w:rsid w:val="00CF26DE"/>
    <w:rsid w:val="00D00F9D"/>
    <w:rsid w:val="00D02445"/>
    <w:rsid w:val="00D04469"/>
    <w:rsid w:val="00D046CE"/>
    <w:rsid w:val="00D04CA7"/>
    <w:rsid w:val="00D06BA3"/>
    <w:rsid w:val="00D1198F"/>
    <w:rsid w:val="00D13444"/>
    <w:rsid w:val="00D1449F"/>
    <w:rsid w:val="00D14AB3"/>
    <w:rsid w:val="00D230F9"/>
    <w:rsid w:val="00D23DDD"/>
    <w:rsid w:val="00D26055"/>
    <w:rsid w:val="00D26669"/>
    <w:rsid w:val="00D27B7F"/>
    <w:rsid w:val="00D302D0"/>
    <w:rsid w:val="00D32C6B"/>
    <w:rsid w:val="00D32E2E"/>
    <w:rsid w:val="00D347D7"/>
    <w:rsid w:val="00D34AB8"/>
    <w:rsid w:val="00D3643E"/>
    <w:rsid w:val="00D3749E"/>
    <w:rsid w:val="00D37C9A"/>
    <w:rsid w:val="00D403B9"/>
    <w:rsid w:val="00D45FB3"/>
    <w:rsid w:val="00D468D5"/>
    <w:rsid w:val="00D47A22"/>
    <w:rsid w:val="00D544B9"/>
    <w:rsid w:val="00D56A81"/>
    <w:rsid w:val="00D6008E"/>
    <w:rsid w:val="00D601BB"/>
    <w:rsid w:val="00D615E5"/>
    <w:rsid w:val="00D61B9D"/>
    <w:rsid w:val="00D62063"/>
    <w:rsid w:val="00D62DC5"/>
    <w:rsid w:val="00D64D23"/>
    <w:rsid w:val="00D656EE"/>
    <w:rsid w:val="00D700F7"/>
    <w:rsid w:val="00D70A47"/>
    <w:rsid w:val="00D735F2"/>
    <w:rsid w:val="00D7741B"/>
    <w:rsid w:val="00D77E1A"/>
    <w:rsid w:val="00D81201"/>
    <w:rsid w:val="00D82982"/>
    <w:rsid w:val="00D84FC4"/>
    <w:rsid w:val="00D873A5"/>
    <w:rsid w:val="00D878C6"/>
    <w:rsid w:val="00D949AB"/>
    <w:rsid w:val="00D94D2A"/>
    <w:rsid w:val="00D9519A"/>
    <w:rsid w:val="00D96A60"/>
    <w:rsid w:val="00D97F43"/>
    <w:rsid w:val="00DA09DA"/>
    <w:rsid w:val="00DA39F2"/>
    <w:rsid w:val="00DA3E8D"/>
    <w:rsid w:val="00DA4E6F"/>
    <w:rsid w:val="00DA7F38"/>
    <w:rsid w:val="00DB6A1B"/>
    <w:rsid w:val="00DB6BDA"/>
    <w:rsid w:val="00DC0050"/>
    <w:rsid w:val="00DC2640"/>
    <w:rsid w:val="00DC4A03"/>
    <w:rsid w:val="00DC4CEC"/>
    <w:rsid w:val="00DC5D0F"/>
    <w:rsid w:val="00DC5F29"/>
    <w:rsid w:val="00DC62AA"/>
    <w:rsid w:val="00DD0387"/>
    <w:rsid w:val="00DD19EE"/>
    <w:rsid w:val="00DD3A5D"/>
    <w:rsid w:val="00DD5347"/>
    <w:rsid w:val="00DD57F1"/>
    <w:rsid w:val="00DD6ECC"/>
    <w:rsid w:val="00DD7C6D"/>
    <w:rsid w:val="00DE0013"/>
    <w:rsid w:val="00DE096E"/>
    <w:rsid w:val="00DE1A09"/>
    <w:rsid w:val="00DE1EAC"/>
    <w:rsid w:val="00DE26AC"/>
    <w:rsid w:val="00DE2BA5"/>
    <w:rsid w:val="00DE31DA"/>
    <w:rsid w:val="00DE5133"/>
    <w:rsid w:val="00DE642B"/>
    <w:rsid w:val="00DE76E2"/>
    <w:rsid w:val="00DF1C61"/>
    <w:rsid w:val="00DF2E31"/>
    <w:rsid w:val="00DF4D5B"/>
    <w:rsid w:val="00DF59BB"/>
    <w:rsid w:val="00DF6D24"/>
    <w:rsid w:val="00E002A5"/>
    <w:rsid w:val="00E069E6"/>
    <w:rsid w:val="00E10ADF"/>
    <w:rsid w:val="00E10DC6"/>
    <w:rsid w:val="00E11C81"/>
    <w:rsid w:val="00E133B8"/>
    <w:rsid w:val="00E14909"/>
    <w:rsid w:val="00E14ED2"/>
    <w:rsid w:val="00E16856"/>
    <w:rsid w:val="00E16BFE"/>
    <w:rsid w:val="00E16F42"/>
    <w:rsid w:val="00E21746"/>
    <w:rsid w:val="00E23240"/>
    <w:rsid w:val="00E23362"/>
    <w:rsid w:val="00E2347E"/>
    <w:rsid w:val="00E2424D"/>
    <w:rsid w:val="00E24C60"/>
    <w:rsid w:val="00E26B0D"/>
    <w:rsid w:val="00E276EC"/>
    <w:rsid w:val="00E3267F"/>
    <w:rsid w:val="00E332E6"/>
    <w:rsid w:val="00E33E30"/>
    <w:rsid w:val="00E34EF7"/>
    <w:rsid w:val="00E42265"/>
    <w:rsid w:val="00E43EE3"/>
    <w:rsid w:val="00E46161"/>
    <w:rsid w:val="00E46F73"/>
    <w:rsid w:val="00E477CB"/>
    <w:rsid w:val="00E54FBD"/>
    <w:rsid w:val="00E56599"/>
    <w:rsid w:val="00E6215C"/>
    <w:rsid w:val="00E64A1F"/>
    <w:rsid w:val="00E65860"/>
    <w:rsid w:val="00E67EBB"/>
    <w:rsid w:val="00E80DAD"/>
    <w:rsid w:val="00E83493"/>
    <w:rsid w:val="00E83F26"/>
    <w:rsid w:val="00E85E17"/>
    <w:rsid w:val="00E85F88"/>
    <w:rsid w:val="00E868E7"/>
    <w:rsid w:val="00E87580"/>
    <w:rsid w:val="00E87EC2"/>
    <w:rsid w:val="00E90B27"/>
    <w:rsid w:val="00E9202B"/>
    <w:rsid w:val="00E93370"/>
    <w:rsid w:val="00E96AFE"/>
    <w:rsid w:val="00E97AA1"/>
    <w:rsid w:val="00E97BAB"/>
    <w:rsid w:val="00EA228F"/>
    <w:rsid w:val="00EA4A0B"/>
    <w:rsid w:val="00EB341E"/>
    <w:rsid w:val="00EB4343"/>
    <w:rsid w:val="00EB6D96"/>
    <w:rsid w:val="00EB7AD4"/>
    <w:rsid w:val="00EC1C7E"/>
    <w:rsid w:val="00EC6737"/>
    <w:rsid w:val="00ED03A0"/>
    <w:rsid w:val="00ED2212"/>
    <w:rsid w:val="00ED36D3"/>
    <w:rsid w:val="00ED3D90"/>
    <w:rsid w:val="00ED786E"/>
    <w:rsid w:val="00ED787D"/>
    <w:rsid w:val="00EE0C25"/>
    <w:rsid w:val="00EE2D5B"/>
    <w:rsid w:val="00EE5A33"/>
    <w:rsid w:val="00EE6477"/>
    <w:rsid w:val="00EF4BBA"/>
    <w:rsid w:val="00EF5895"/>
    <w:rsid w:val="00EF742F"/>
    <w:rsid w:val="00F025C7"/>
    <w:rsid w:val="00F03AA6"/>
    <w:rsid w:val="00F042CA"/>
    <w:rsid w:val="00F07C53"/>
    <w:rsid w:val="00F13D15"/>
    <w:rsid w:val="00F13DB4"/>
    <w:rsid w:val="00F172EB"/>
    <w:rsid w:val="00F175F2"/>
    <w:rsid w:val="00F206ED"/>
    <w:rsid w:val="00F20A09"/>
    <w:rsid w:val="00F24F3E"/>
    <w:rsid w:val="00F27653"/>
    <w:rsid w:val="00F318A0"/>
    <w:rsid w:val="00F32C4A"/>
    <w:rsid w:val="00F351BA"/>
    <w:rsid w:val="00F3672E"/>
    <w:rsid w:val="00F3754C"/>
    <w:rsid w:val="00F40E23"/>
    <w:rsid w:val="00F42115"/>
    <w:rsid w:val="00F425AB"/>
    <w:rsid w:val="00F425F1"/>
    <w:rsid w:val="00F43658"/>
    <w:rsid w:val="00F44E5B"/>
    <w:rsid w:val="00F47425"/>
    <w:rsid w:val="00F501B6"/>
    <w:rsid w:val="00F50599"/>
    <w:rsid w:val="00F5348E"/>
    <w:rsid w:val="00F5448D"/>
    <w:rsid w:val="00F60EAD"/>
    <w:rsid w:val="00F63261"/>
    <w:rsid w:val="00F64462"/>
    <w:rsid w:val="00F656AE"/>
    <w:rsid w:val="00F67932"/>
    <w:rsid w:val="00F700D5"/>
    <w:rsid w:val="00F70EAF"/>
    <w:rsid w:val="00F71DD1"/>
    <w:rsid w:val="00F72DB6"/>
    <w:rsid w:val="00F74DD7"/>
    <w:rsid w:val="00F7586B"/>
    <w:rsid w:val="00F763E0"/>
    <w:rsid w:val="00F76B8D"/>
    <w:rsid w:val="00F774E6"/>
    <w:rsid w:val="00F80C84"/>
    <w:rsid w:val="00F830B5"/>
    <w:rsid w:val="00F838AB"/>
    <w:rsid w:val="00F85897"/>
    <w:rsid w:val="00F91F2F"/>
    <w:rsid w:val="00F92F68"/>
    <w:rsid w:val="00F9786C"/>
    <w:rsid w:val="00FA066E"/>
    <w:rsid w:val="00FA0BA3"/>
    <w:rsid w:val="00FA2393"/>
    <w:rsid w:val="00FA3C36"/>
    <w:rsid w:val="00FA3EAE"/>
    <w:rsid w:val="00FA7850"/>
    <w:rsid w:val="00FA7B41"/>
    <w:rsid w:val="00FB04DE"/>
    <w:rsid w:val="00FB1081"/>
    <w:rsid w:val="00FB2918"/>
    <w:rsid w:val="00FB3462"/>
    <w:rsid w:val="00FB5E55"/>
    <w:rsid w:val="00FC130D"/>
    <w:rsid w:val="00FC280D"/>
    <w:rsid w:val="00FC301D"/>
    <w:rsid w:val="00FC4862"/>
    <w:rsid w:val="00FD018F"/>
    <w:rsid w:val="00FD03EE"/>
    <w:rsid w:val="00FD3CC9"/>
    <w:rsid w:val="00FD52F4"/>
    <w:rsid w:val="00FD553C"/>
    <w:rsid w:val="00FD5792"/>
    <w:rsid w:val="00FD61C0"/>
    <w:rsid w:val="00FE0463"/>
    <w:rsid w:val="00FE0CE8"/>
    <w:rsid w:val="00FE1307"/>
    <w:rsid w:val="00FE3B9F"/>
    <w:rsid w:val="00FE486E"/>
    <w:rsid w:val="00FE7E6D"/>
    <w:rsid w:val="00FF0DB5"/>
    <w:rsid w:val="00FF140F"/>
    <w:rsid w:val="00FF1921"/>
    <w:rsid w:val="00FF3A03"/>
    <w:rsid w:val="00FF5A1C"/>
    <w:rsid w:val="00FF6009"/>
    <w:rsid w:val="00FF6A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AD5A85"/>
  <w15:chartTrackingRefBased/>
  <w15:docId w15:val="{CB99FFE2-33E8-444A-B2DB-3D373823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Narrow" w:hAnsi="Arial Narrow"/>
      <w:sz w:val="22"/>
    </w:rPr>
  </w:style>
  <w:style w:type="paragraph" w:styleId="Titre1">
    <w:name w:val="heading 1"/>
    <w:basedOn w:val="Normal"/>
    <w:next w:val="Normal"/>
    <w:qFormat/>
    <w:pPr>
      <w:keepNext/>
      <w:spacing w:before="240" w:after="60"/>
      <w:outlineLvl w:val="0"/>
    </w:pPr>
    <w:rPr>
      <w:b/>
      <w:kern w:val="28"/>
      <w:sz w:val="28"/>
    </w:rPr>
  </w:style>
  <w:style w:type="paragraph" w:styleId="Titre2">
    <w:name w:val="heading 2"/>
    <w:aliases w:val="D70AR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Titre4">
    <w:name w:val="heading 4"/>
    <w:aliases w:val="D70AR4,titel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Titre5">
    <w:name w:val="heading 5"/>
    <w:basedOn w:val="Normal"/>
    <w:next w:val="Normal"/>
    <w:qFormat/>
    <w:pPr>
      <w:numPr>
        <w:ilvl w:val="4"/>
        <w:numId w:val="13"/>
      </w:numPr>
      <w:spacing w:before="240" w:after="60"/>
      <w:outlineLvl w:val="4"/>
    </w:pPr>
    <w:rPr>
      <w:b/>
      <w:bCs/>
      <w:i/>
      <w:iCs/>
      <w:sz w:val="26"/>
      <w:szCs w:val="26"/>
    </w:rPr>
  </w:style>
  <w:style w:type="paragraph" w:styleId="Titre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Titre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Titre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Titre9">
    <w:name w:val="heading 9"/>
    <w:basedOn w:val="Normal"/>
    <w:next w:val="Normal"/>
    <w:qFormat/>
    <w:pPr>
      <w:numPr>
        <w:ilvl w:val="8"/>
        <w:numId w:val="13"/>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mmListePuces1">
    <w:name w:val="AmmListePuces1"/>
    <w:basedOn w:val="AmmCorpsTexte"/>
    <w:link w:val="AmmListePuces1Car"/>
    <w:pPr>
      <w:numPr>
        <w:numId w:val="13"/>
      </w:numPr>
      <w:spacing w:after="0"/>
      <w:jc w:val="left"/>
    </w:pPr>
  </w:style>
  <w:style w:type="paragraph" w:customStyle="1" w:styleId="AmmCorpsTexte">
    <w:name w:val="AmmCorpsTexte"/>
    <w:basedOn w:val="Normal"/>
    <w:link w:val="AmmCorpsTexteCar"/>
    <w:qFormat/>
    <w:pPr>
      <w:spacing w:after="120"/>
    </w:pPr>
    <w:rPr>
      <w:rFonts w:ascii="Arial" w:hAnsi="Arial"/>
      <w:sz w:val="20"/>
    </w:rPr>
  </w:style>
  <w:style w:type="character" w:customStyle="1" w:styleId="AmmCorpsTexteCar">
    <w:name w:val="AmmCorpsTexte Car"/>
    <w:link w:val="AmmCorpsTexte"/>
    <w:rsid w:val="00E6215C"/>
    <w:rPr>
      <w:rFonts w:ascii="Arial" w:hAnsi="Arial"/>
      <w:lang w:val="fr-FR" w:eastAsia="fr-FR" w:bidi="ar-SA"/>
    </w:rPr>
  </w:style>
  <w:style w:type="paragraph" w:customStyle="1" w:styleId="AmmAnnexeTitre">
    <w:name w:val="AmmAnnexeTitre"/>
    <w:basedOn w:val="Normal"/>
    <w:next w:val="AmmCorpsTexte"/>
    <w:pPr>
      <w:spacing w:before="240"/>
      <w:jc w:val="center"/>
      <w:outlineLvl w:val="0"/>
    </w:pPr>
    <w:rPr>
      <w:rFonts w:ascii="Arial" w:hAnsi="Arial"/>
      <w:b/>
      <w:caps/>
      <w:color w:val="0B3D92"/>
      <w:sz w:val="24"/>
    </w:rPr>
  </w:style>
  <w:style w:type="paragraph" w:customStyle="1" w:styleId="AmmAnnexeSousTitre">
    <w:name w:val="AmmAnnexeSousTitre"/>
    <w:basedOn w:val="AmmAnnexeTitre"/>
    <w:next w:val="AmmCorpsTexte"/>
  </w:style>
  <w:style w:type="paragraph" w:customStyle="1" w:styleId="AmmAnnexeTitre1">
    <w:name w:val="AmmAnnexeTitre1"/>
    <w:basedOn w:val="Normal"/>
    <w:next w:val="AmmCorpsTexte"/>
    <w:pPr>
      <w:tabs>
        <w:tab w:val="left" w:pos="357"/>
      </w:tabs>
      <w:spacing w:before="240" w:after="120"/>
      <w:ind w:left="357" w:hanging="357"/>
      <w:outlineLvl w:val="1"/>
    </w:pPr>
    <w:rPr>
      <w:rFonts w:ascii="Arial" w:hAnsi="Arial"/>
      <w:b/>
      <w:caps/>
      <w:color w:val="0B3D92"/>
    </w:rPr>
  </w:style>
  <w:style w:type="paragraph" w:customStyle="1" w:styleId="AmmAnnexeTitre2">
    <w:name w:val="AmmAnnexeTitre2"/>
    <w:basedOn w:val="AmmCorpsTexte"/>
    <w:next w:val="AmmCorpsTexte"/>
    <w:autoRedefine/>
    <w:pPr>
      <w:keepNext/>
      <w:keepLines/>
      <w:tabs>
        <w:tab w:val="left" w:pos="720"/>
      </w:tabs>
      <w:spacing w:before="240"/>
      <w:ind w:left="720" w:hanging="720"/>
      <w:outlineLvl w:val="2"/>
    </w:pPr>
    <w:rPr>
      <w:b/>
      <w:color w:val="0B3D92"/>
      <w:sz w:val="22"/>
    </w:rPr>
  </w:style>
  <w:style w:type="paragraph" w:customStyle="1" w:styleId="AmmAnnexeTitre3">
    <w:name w:val="AmmAnnexeTitre3"/>
    <w:basedOn w:val="AmmCorpsTexte"/>
    <w:next w:val="AmmCorpsTexte"/>
    <w:pPr>
      <w:keepNext/>
      <w:keepLines/>
      <w:spacing w:before="120"/>
    </w:pPr>
    <w:rPr>
      <w:b/>
      <w:u w:val="single"/>
    </w:rPr>
  </w:style>
  <w:style w:type="paragraph" w:customStyle="1" w:styleId="AmmAnnexeTitre4">
    <w:name w:val="AmmAnnexeTitre4"/>
    <w:basedOn w:val="AmmCorpsTexte"/>
    <w:next w:val="AmmCorpsTexte"/>
    <w:rPr>
      <w:i/>
      <w:u w:val="single"/>
    </w:rPr>
  </w:style>
  <w:style w:type="paragraph" w:customStyle="1" w:styleId="AmmComposition">
    <w:name w:val="AmmComposition"/>
    <w:basedOn w:val="AmmCorpsTexte"/>
    <w:next w:val="AmmCorpsTexte"/>
    <w:rsid w:val="00C7401E"/>
    <w:pPr>
      <w:tabs>
        <w:tab w:val="right" w:leader="dot" w:pos="9072"/>
      </w:tabs>
    </w:pPr>
  </w:style>
  <w:style w:type="paragraph" w:customStyle="1" w:styleId="AmmNoticeTitre1">
    <w:name w:val="AmmNoticeTitre1"/>
    <w:basedOn w:val="AmmCorpsTexte"/>
    <w:next w:val="AmmCorpsTexte"/>
    <w:autoRedefine/>
    <w:rsid w:val="00824376"/>
    <w:pPr>
      <w:spacing w:before="120"/>
      <w:outlineLvl w:val="1"/>
    </w:pPr>
    <w:rPr>
      <w:b/>
      <w:color w:val="0B3D92"/>
    </w:rPr>
  </w:style>
  <w:style w:type="paragraph" w:customStyle="1" w:styleId="AmmTitreEncadre">
    <w:name w:val="AmmTitreEncadre"/>
    <w:basedOn w:val="AmmCorpsTexte"/>
    <w:next w:val="Normal"/>
    <w:autoRedefine/>
    <w:rsid w:val="00F425AB"/>
    <w:pPr>
      <w:pBdr>
        <w:top w:val="single" w:sz="4" w:space="1" w:color="auto"/>
        <w:left w:val="single" w:sz="4" w:space="4" w:color="auto"/>
        <w:bottom w:val="single" w:sz="4" w:space="1" w:color="auto"/>
        <w:right w:val="single" w:sz="4" w:space="4" w:color="auto"/>
      </w:pBdr>
      <w:shd w:val="clear" w:color="auto" w:fill="D9D9D9"/>
      <w:tabs>
        <w:tab w:val="left" w:pos="357"/>
        <w:tab w:val="left" w:pos="776"/>
        <w:tab w:val="left" w:pos="1496"/>
        <w:tab w:val="left" w:pos="2216"/>
        <w:tab w:val="left" w:pos="2936"/>
        <w:tab w:val="left" w:pos="3656"/>
        <w:tab w:val="left" w:pos="4376"/>
        <w:tab w:val="left" w:pos="5096"/>
        <w:tab w:val="left" w:pos="5816"/>
        <w:tab w:val="left" w:pos="6536"/>
        <w:tab w:val="left" w:pos="7256"/>
        <w:tab w:val="left" w:pos="7976"/>
        <w:tab w:val="left" w:pos="8696"/>
      </w:tabs>
      <w:spacing w:before="240" w:after="240"/>
      <w:outlineLvl w:val="1"/>
    </w:pPr>
    <w:rPr>
      <w:b/>
      <w:caps/>
      <w:color w:val="2F5496"/>
      <w:sz w:val="22"/>
    </w:rPr>
  </w:style>
  <w:style w:type="paragraph" w:customStyle="1" w:styleId="AmmAnnexeTitre1Encadre">
    <w:name w:val="AmmAnnexeTitre1Encadre"/>
    <w:basedOn w:val="AmmAnnexeTitre1"/>
    <w:pPr>
      <w:pBdr>
        <w:top w:val="single" w:sz="4" w:space="1" w:color="auto"/>
        <w:left w:val="single" w:sz="4" w:space="4" w:color="auto"/>
        <w:bottom w:val="single" w:sz="4" w:space="1" w:color="auto"/>
        <w:right w:val="single" w:sz="4" w:space="4" w:color="auto"/>
      </w:pBdr>
    </w:pPr>
  </w:style>
  <w:style w:type="paragraph" w:customStyle="1" w:styleId="AmmListePuces2">
    <w:name w:val="AmmListePuces2"/>
    <w:basedOn w:val="AmmCorpsTexte"/>
    <w:pPr>
      <w:keepNext/>
      <w:keepLines/>
      <w:numPr>
        <w:ilvl w:val="1"/>
        <w:numId w:val="3"/>
      </w:numPr>
      <w:tabs>
        <w:tab w:val="clear" w:pos="1440"/>
        <w:tab w:val="left" w:pos="709"/>
      </w:tabs>
      <w:spacing w:after="0"/>
      <w:ind w:left="714" w:hanging="357"/>
      <w:jc w:val="left"/>
    </w:pPr>
  </w:style>
  <w:style w:type="paragraph" w:customStyle="1" w:styleId="AmmListePuces3">
    <w:name w:val="AmmListePuces3"/>
    <w:basedOn w:val="AmmCorpsTexte"/>
    <w:pPr>
      <w:numPr>
        <w:numId w:val="3"/>
      </w:numPr>
      <w:tabs>
        <w:tab w:val="clear" w:pos="927"/>
        <w:tab w:val="left" w:pos="1072"/>
      </w:tabs>
      <w:spacing w:after="0"/>
      <w:ind w:left="1071" w:hanging="357"/>
      <w:jc w:val="left"/>
    </w:pPr>
  </w:style>
  <w:style w:type="paragraph" w:customStyle="1" w:styleId="AmmCorpsTexteGras">
    <w:name w:val="AmmCorpsTexteGras"/>
    <w:basedOn w:val="AmmCorpsTexte"/>
    <w:link w:val="AmmCorpsTexteGrasCar"/>
    <w:rPr>
      <w:b/>
      <w:bCs/>
    </w:rPr>
  </w:style>
  <w:style w:type="character" w:customStyle="1" w:styleId="AmmCorpsTexteGrasCar">
    <w:name w:val="AmmCorpsTexteGras Car"/>
    <w:link w:val="AmmCorpsTexteGras"/>
    <w:rsid w:val="00E6215C"/>
    <w:rPr>
      <w:rFonts w:ascii="Arial" w:hAnsi="Arial"/>
      <w:b/>
      <w:bCs/>
      <w:lang w:val="fr-FR" w:eastAsia="fr-FR" w:bidi="ar-SA"/>
    </w:rPr>
  </w:style>
  <w:style w:type="paragraph" w:customStyle="1" w:styleId="AmmPiedDePage">
    <w:name w:val="AmmPiedDePage"/>
    <w:basedOn w:val="Normal"/>
    <w:pPr>
      <w:tabs>
        <w:tab w:val="center" w:pos="4962"/>
        <w:tab w:val="center" w:pos="9781"/>
      </w:tabs>
    </w:pPr>
    <w:rPr>
      <w:rFonts w:ascii="Arial" w:hAnsi="Arial" w:cs="Arial"/>
      <w:i/>
      <w:iCs/>
      <w:sz w:val="16"/>
    </w:rPr>
  </w:style>
  <w:style w:type="paragraph" w:styleId="En-tte">
    <w:name w:val="header"/>
    <w:basedOn w:val="Normal"/>
    <w:link w:val="En-tteCar"/>
    <w:pPr>
      <w:tabs>
        <w:tab w:val="center" w:pos="4536"/>
        <w:tab w:val="right" w:pos="9072"/>
      </w:tabs>
    </w:pPr>
  </w:style>
  <w:style w:type="character" w:customStyle="1" w:styleId="En-tteCar">
    <w:name w:val="En-tête Car"/>
    <w:link w:val="En-tte"/>
    <w:semiHidden/>
    <w:rsid w:val="00122CA3"/>
    <w:rPr>
      <w:rFonts w:ascii="Arial Narrow" w:hAnsi="Arial Narrow"/>
      <w:sz w:val="22"/>
      <w:lang w:val="fr-FR" w:eastAsia="fr-FR" w:bidi="ar-SA"/>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22CA3"/>
    <w:rPr>
      <w:rFonts w:ascii="Arial Narrow" w:hAnsi="Arial Narrow"/>
      <w:sz w:val="22"/>
      <w:lang w:val="fr-FR" w:eastAsia="fr-FR" w:bidi="ar-SA"/>
    </w:rPr>
  </w:style>
  <w:style w:type="paragraph" w:customStyle="1" w:styleId="AmmTitulaireNom">
    <w:name w:val="AmmTitulaireNom"/>
    <w:basedOn w:val="AmmCorpsTexte"/>
    <w:next w:val="Normal"/>
    <w:link w:val="AmmTitulaireNomCar"/>
    <w:locked/>
    <w:rsid w:val="001C539B"/>
    <w:pPr>
      <w:spacing w:after="0"/>
      <w:jc w:val="left"/>
    </w:pPr>
    <w:rPr>
      <w:rFonts w:cs="Arial"/>
      <w:b/>
      <w:caps/>
    </w:rPr>
  </w:style>
  <w:style w:type="paragraph" w:customStyle="1" w:styleId="Textecourant9-12">
    <w:name w:val="Texte courant 9-12"/>
    <w:basedOn w:val="Normal"/>
    <w:locked/>
    <w:rsid w:val="001C539B"/>
    <w:pPr>
      <w:spacing w:line="240" w:lineRule="atLeast"/>
      <w:jc w:val="left"/>
    </w:pPr>
    <w:rPr>
      <w:rFonts w:ascii="Arial" w:eastAsia="Times" w:hAnsi="Arial" w:cs="Arial"/>
      <w:sz w:val="18"/>
    </w:rPr>
  </w:style>
  <w:style w:type="paragraph" w:styleId="Textedebulles">
    <w:name w:val="Balloon Text"/>
    <w:basedOn w:val="Normal"/>
    <w:semiHidden/>
    <w:rsid w:val="002B127C"/>
    <w:rPr>
      <w:rFonts w:ascii="Tahoma" w:hAnsi="Tahoma" w:cs="Tahoma"/>
      <w:sz w:val="16"/>
      <w:szCs w:val="16"/>
    </w:rPr>
  </w:style>
  <w:style w:type="character" w:styleId="Marquedecommentaire">
    <w:name w:val="annotation reference"/>
    <w:semiHidden/>
    <w:rsid w:val="00412F70"/>
    <w:rPr>
      <w:sz w:val="16"/>
      <w:szCs w:val="16"/>
    </w:rPr>
  </w:style>
  <w:style w:type="paragraph" w:styleId="Commentaire">
    <w:name w:val="annotation text"/>
    <w:basedOn w:val="Normal"/>
    <w:link w:val="CommentaireCar"/>
    <w:semiHidden/>
    <w:rsid w:val="00412F70"/>
    <w:rPr>
      <w:sz w:val="20"/>
    </w:rPr>
  </w:style>
  <w:style w:type="paragraph" w:styleId="Objetducommentaire">
    <w:name w:val="annotation subject"/>
    <w:basedOn w:val="Commentaire"/>
    <w:next w:val="Commentaire"/>
    <w:semiHidden/>
    <w:rsid w:val="00412F70"/>
    <w:rPr>
      <w:b/>
      <w:bCs/>
    </w:rPr>
  </w:style>
  <w:style w:type="table" w:styleId="Grilledutableau">
    <w:name w:val="Table Grid"/>
    <w:basedOn w:val="TableauNormal"/>
    <w:rsid w:val="00122CA3"/>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mAnnexeTitre1Nature">
    <w:name w:val="AmmAnnexeTitre1Nature"/>
    <w:basedOn w:val="AmmAnnexeTitre1Encadre"/>
    <w:next w:val="AmmCorpsTexte"/>
    <w:rsid w:val="002801B6"/>
    <w:rPr>
      <w:caps w:val="0"/>
    </w:rPr>
  </w:style>
  <w:style w:type="paragraph" w:styleId="Rvision">
    <w:name w:val="Revision"/>
    <w:hidden/>
    <w:uiPriority w:val="99"/>
    <w:semiHidden/>
    <w:rsid w:val="00811A5E"/>
    <w:rPr>
      <w:rFonts w:ascii="Arial Narrow" w:hAnsi="Arial Narrow"/>
      <w:sz w:val="22"/>
    </w:rPr>
  </w:style>
  <w:style w:type="character" w:customStyle="1" w:styleId="AmmTitulaireNomCar">
    <w:name w:val="AmmTitulaireNom Car"/>
    <w:link w:val="AmmTitulaireNom"/>
    <w:locked/>
    <w:rsid w:val="001C539B"/>
    <w:rPr>
      <w:rFonts w:ascii="Arial" w:hAnsi="Arial" w:cs="Arial"/>
      <w:b/>
      <w:caps/>
    </w:rPr>
  </w:style>
  <w:style w:type="paragraph" w:customStyle="1" w:styleId="AmmTitulaireCpVillePays">
    <w:name w:val="AmmTitulaireCpVillePays"/>
    <w:basedOn w:val="AmmTitulaireNom"/>
    <w:locked/>
    <w:rsid w:val="001C539B"/>
    <w:rPr>
      <w:b w:val="0"/>
      <w:sz w:val="22"/>
    </w:rPr>
  </w:style>
  <w:style w:type="character" w:styleId="Lienhypertexte">
    <w:name w:val="Hyperlink"/>
    <w:unhideWhenUsed/>
    <w:rsid w:val="001C539B"/>
    <w:rPr>
      <w:color w:val="0000FF"/>
      <w:u w:val="single"/>
    </w:rPr>
  </w:style>
  <w:style w:type="character" w:styleId="Textedelespacerserv">
    <w:name w:val="Placeholder Text"/>
    <w:uiPriority w:val="99"/>
    <w:semiHidden/>
    <w:rsid w:val="001C539B"/>
    <w:rPr>
      <w:color w:val="808080"/>
    </w:rPr>
  </w:style>
  <w:style w:type="paragraph" w:styleId="Paragraphedeliste">
    <w:name w:val="List Paragraph"/>
    <w:basedOn w:val="Normal"/>
    <w:uiPriority w:val="34"/>
    <w:qFormat/>
    <w:rsid w:val="001C539B"/>
    <w:pPr>
      <w:ind w:left="720"/>
      <w:contextualSpacing/>
    </w:pPr>
    <w:rPr>
      <w:rFonts w:ascii="Arial" w:hAnsi="Arial" w:cs="Arial"/>
      <w:sz w:val="20"/>
    </w:rPr>
  </w:style>
  <w:style w:type="character" w:styleId="Lienhypertextesuivivisit">
    <w:name w:val="FollowedHyperlink"/>
    <w:rsid w:val="00FB04DE"/>
    <w:rPr>
      <w:color w:val="954F72"/>
      <w:u w:val="single"/>
    </w:rPr>
  </w:style>
  <w:style w:type="paragraph" w:customStyle="1" w:styleId="ammcorpstexte0">
    <w:name w:val="ammcorpstexte"/>
    <w:basedOn w:val="Normal"/>
    <w:rsid w:val="00B8304A"/>
    <w:pPr>
      <w:spacing w:before="100" w:beforeAutospacing="1" w:after="100" w:afterAutospacing="1"/>
      <w:jc w:val="left"/>
    </w:pPr>
    <w:rPr>
      <w:rFonts w:ascii="Times New Roman" w:hAnsi="Times New Roman"/>
      <w:sz w:val="24"/>
      <w:szCs w:val="24"/>
    </w:rPr>
  </w:style>
  <w:style w:type="character" w:customStyle="1" w:styleId="CommentaireCar">
    <w:name w:val="Commentaire Car"/>
    <w:link w:val="Commentaire"/>
    <w:semiHidden/>
    <w:rsid w:val="00B8304A"/>
    <w:rPr>
      <w:rFonts w:ascii="Arial Narrow" w:hAnsi="Arial Narrow"/>
    </w:rPr>
  </w:style>
  <w:style w:type="character" w:customStyle="1" w:styleId="AmmListePuces1Car">
    <w:name w:val="AmmListePuces1 Car"/>
    <w:link w:val="AmmListePuces1"/>
    <w:rsid w:val="00952B61"/>
    <w:rPr>
      <w:rFonts w:ascii="Arial" w:hAnsi="Arial"/>
    </w:rPr>
  </w:style>
  <w:style w:type="character" w:customStyle="1" w:styleId="BodytextAgencyChar">
    <w:name w:val="Body text (Agency) Char"/>
    <w:link w:val="BodytextAgency"/>
    <w:locked/>
    <w:rsid w:val="00FF3A03"/>
    <w:rPr>
      <w:rFonts w:ascii="Verdana" w:eastAsia="Verdana" w:hAnsi="Verdana" w:cs="Verdana"/>
      <w:sz w:val="18"/>
      <w:szCs w:val="18"/>
      <w:lang w:val="en-GB" w:eastAsia="en-GB"/>
    </w:rPr>
  </w:style>
  <w:style w:type="paragraph" w:customStyle="1" w:styleId="BodytextAgency">
    <w:name w:val="Body text (Agency)"/>
    <w:basedOn w:val="Normal"/>
    <w:link w:val="BodytextAgencyChar"/>
    <w:qFormat/>
    <w:rsid w:val="00FF3A03"/>
    <w:pPr>
      <w:spacing w:after="140" w:line="280" w:lineRule="atLeast"/>
      <w:jc w:val="left"/>
    </w:pPr>
    <w:rPr>
      <w:rFonts w:ascii="Verdana" w:eastAsia="Verdana" w:hAnsi="Verdana" w:cs="Verdana"/>
      <w:sz w:val="18"/>
      <w:szCs w:val="18"/>
      <w:lang w:val="en-GB" w:eastAsia="en-GB"/>
    </w:rPr>
  </w:style>
  <w:style w:type="character" w:customStyle="1" w:styleId="Mentionnonrsolue1">
    <w:name w:val="Mention non résolue1"/>
    <w:basedOn w:val="Policepardfaut"/>
    <w:uiPriority w:val="99"/>
    <w:semiHidden/>
    <w:unhideWhenUsed/>
    <w:rsid w:val="00CC3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67448">
      <w:bodyDiv w:val="1"/>
      <w:marLeft w:val="0"/>
      <w:marRight w:val="0"/>
      <w:marTop w:val="0"/>
      <w:marBottom w:val="0"/>
      <w:divBdr>
        <w:top w:val="none" w:sz="0" w:space="0" w:color="auto"/>
        <w:left w:val="none" w:sz="0" w:space="0" w:color="auto"/>
        <w:bottom w:val="none" w:sz="0" w:space="0" w:color="auto"/>
        <w:right w:val="none" w:sz="0" w:space="0" w:color="auto"/>
      </w:divBdr>
    </w:div>
    <w:div w:id="280766607">
      <w:bodyDiv w:val="1"/>
      <w:marLeft w:val="240"/>
      <w:marRight w:val="240"/>
      <w:marTop w:val="240"/>
      <w:marBottom w:val="60"/>
      <w:divBdr>
        <w:top w:val="none" w:sz="0" w:space="0" w:color="auto"/>
        <w:left w:val="none" w:sz="0" w:space="0" w:color="auto"/>
        <w:bottom w:val="none" w:sz="0" w:space="0" w:color="auto"/>
        <w:right w:val="none" w:sz="0" w:space="0" w:color="auto"/>
      </w:divBdr>
      <w:divsChild>
        <w:div w:id="619339720">
          <w:marLeft w:val="0"/>
          <w:marRight w:val="0"/>
          <w:marTop w:val="0"/>
          <w:marBottom w:val="0"/>
          <w:divBdr>
            <w:top w:val="none" w:sz="0" w:space="0" w:color="auto"/>
            <w:left w:val="none" w:sz="0" w:space="0" w:color="auto"/>
            <w:bottom w:val="single" w:sz="6" w:space="9" w:color="C8C8C8"/>
            <w:right w:val="none" w:sz="0" w:space="0" w:color="auto"/>
          </w:divBdr>
          <w:divsChild>
            <w:div w:id="2018652638">
              <w:marLeft w:val="0"/>
              <w:marRight w:val="0"/>
              <w:marTop w:val="0"/>
              <w:marBottom w:val="0"/>
              <w:divBdr>
                <w:top w:val="none" w:sz="0" w:space="0" w:color="auto"/>
                <w:left w:val="none" w:sz="0" w:space="0" w:color="auto"/>
                <w:bottom w:val="none" w:sz="0" w:space="0" w:color="auto"/>
                <w:right w:val="none" w:sz="0" w:space="0" w:color="auto"/>
              </w:divBdr>
              <w:divsChild>
                <w:div w:id="561523099">
                  <w:marLeft w:val="0"/>
                  <w:marRight w:val="0"/>
                  <w:marTop w:val="0"/>
                  <w:marBottom w:val="0"/>
                  <w:divBdr>
                    <w:top w:val="none" w:sz="0" w:space="0" w:color="auto"/>
                    <w:left w:val="none" w:sz="0" w:space="0" w:color="auto"/>
                    <w:bottom w:val="none" w:sz="0" w:space="0" w:color="auto"/>
                    <w:right w:val="none" w:sz="0" w:space="0" w:color="auto"/>
                  </w:divBdr>
                </w:div>
                <w:div w:id="974064734">
                  <w:marLeft w:val="0"/>
                  <w:marRight w:val="0"/>
                  <w:marTop w:val="0"/>
                  <w:marBottom w:val="0"/>
                  <w:divBdr>
                    <w:top w:val="none" w:sz="0" w:space="0" w:color="auto"/>
                    <w:left w:val="none" w:sz="0" w:space="0" w:color="auto"/>
                    <w:bottom w:val="none" w:sz="0" w:space="0" w:color="auto"/>
                    <w:right w:val="none" w:sz="0" w:space="0" w:color="auto"/>
                  </w:divBdr>
                </w:div>
                <w:div w:id="1410075896">
                  <w:marLeft w:val="0"/>
                  <w:marRight w:val="0"/>
                  <w:marTop w:val="0"/>
                  <w:marBottom w:val="0"/>
                  <w:divBdr>
                    <w:top w:val="none" w:sz="0" w:space="0" w:color="auto"/>
                    <w:left w:val="none" w:sz="0" w:space="0" w:color="auto"/>
                    <w:bottom w:val="none" w:sz="0" w:space="0" w:color="auto"/>
                    <w:right w:val="none" w:sz="0" w:space="0" w:color="auto"/>
                  </w:divBdr>
                </w:div>
                <w:div w:id="1755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048">
      <w:bodyDiv w:val="1"/>
      <w:marLeft w:val="0"/>
      <w:marRight w:val="0"/>
      <w:marTop w:val="0"/>
      <w:marBottom w:val="0"/>
      <w:divBdr>
        <w:top w:val="none" w:sz="0" w:space="0" w:color="auto"/>
        <w:left w:val="none" w:sz="0" w:space="0" w:color="auto"/>
        <w:bottom w:val="none" w:sz="0" w:space="0" w:color="auto"/>
        <w:right w:val="none" w:sz="0" w:space="0" w:color="auto"/>
      </w:divBdr>
      <w:divsChild>
        <w:div w:id="250160702">
          <w:marLeft w:val="0"/>
          <w:marRight w:val="0"/>
          <w:marTop w:val="0"/>
          <w:marBottom w:val="0"/>
          <w:divBdr>
            <w:top w:val="none" w:sz="0" w:space="0" w:color="auto"/>
            <w:left w:val="none" w:sz="0" w:space="0" w:color="auto"/>
            <w:bottom w:val="none" w:sz="0" w:space="0" w:color="auto"/>
            <w:right w:val="none" w:sz="0" w:space="0" w:color="auto"/>
          </w:divBdr>
          <w:divsChild>
            <w:div w:id="158931129">
              <w:marLeft w:val="0"/>
              <w:marRight w:val="0"/>
              <w:marTop w:val="0"/>
              <w:marBottom w:val="0"/>
              <w:divBdr>
                <w:top w:val="single" w:sz="4" w:space="1" w:color="auto"/>
                <w:left w:val="single" w:sz="4" w:space="4" w:color="auto"/>
                <w:bottom w:val="single" w:sz="4" w:space="1" w:color="auto"/>
                <w:right w:val="single" w:sz="4" w:space="4" w:color="auto"/>
              </w:divBdr>
              <w:divsChild>
                <w:div w:id="318965714">
                  <w:marLeft w:val="570"/>
                  <w:marRight w:val="0"/>
                  <w:marTop w:val="0"/>
                  <w:marBottom w:val="0"/>
                  <w:divBdr>
                    <w:top w:val="single" w:sz="4" w:space="1" w:color="auto"/>
                    <w:left w:val="single" w:sz="4" w:space="4" w:color="auto"/>
                    <w:bottom w:val="single" w:sz="4" w:space="1" w:color="auto"/>
                    <w:right w:val="single" w:sz="4" w:space="4" w:color="auto"/>
                  </w:divBdr>
                </w:div>
              </w:divsChild>
            </w:div>
            <w:div w:id="409545602">
              <w:marLeft w:val="0"/>
              <w:marRight w:val="0"/>
              <w:marTop w:val="0"/>
              <w:marBottom w:val="0"/>
              <w:divBdr>
                <w:top w:val="none" w:sz="0" w:space="0" w:color="auto"/>
                <w:left w:val="none" w:sz="0" w:space="0" w:color="auto"/>
                <w:bottom w:val="none" w:sz="0" w:space="0" w:color="auto"/>
                <w:right w:val="none" w:sz="0" w:space="0" w:color="auto"/>
              </w:divBdr>
            </w:div>
            <w:div w:id="553547974">
              <w:marLeft w:val="0"/>
              <w:marRight w:val="0"/>
              <w:marTop w:val="0"/>
              <w:marBottom w:val="0"/>
              <w:divBdr>
                <w:top w:val="none" w:sz="0" w:space="0" w:color="auto"/>
                <w:left w:val="none" w:sz="0" w:space="0" w:color="auto"/>
                <w:bottom w:val="none" w:sz="0" w:space="0" w:color="auto"/>
                <w:right w:val="none" w:sz="0" w:space="0" w:color="auto"/>
              </w:divBdr>
            </w:div>
            <w:div w:id="1371227725">
              <w:marLeft w:val="0"/>
              <w:marRight w:val="0"/>
              <w:marTop w:val="0"/>
              <w:marBottom w:val="0"/>
              <w:divBdr>
                <w:top w:val="single" w:sz="4" w:space="1" w:color="auto"/>
                <w:left w:val="single" w:sz="4" w:space="4" w:color="auto"/>
                <w:bottom w:val="single" w:sz="4" w:space="1" w:color="auto"/>
                <w:right w:val="single" w:sz="4" w:space="4" w:color="auto"/>
              </w:divBdr>
              <w:divsChild>
                <w:div w:id="999382842">
                  <w:marLeft w:val="570"/>
                  <w:marRight w:val="0"/>
                  <w:marTop w:val="0"/>
                  <w:marBottom w:val="0"/>
                  <w:divBdr>
                    <w:top w:val="single" w:sz="4" w:space="1" w:color="auto"/>
                    <w:left w:val="single" w:sz="4" w:space="4" w:color="auto"/>
                    <w:bottom w:val="single" w:sz="4" w:space="1" w:color="auto"/>
                    <w:right w:val="single" w:sz="4" w:space="4" w:color="auto"/>
                  </w:divBdr>
                </w:div>
              </w:divsChild>
            </w:div>
            <w:div w:id="1856535187">
              <w:marLeft w:val="0"/>
              <w:marRight w:val="0"/>
              <w:marTop w:val="0"/>
              <w:marBottom w:val="0"/>
              <w:divBdr>
                <w:top w:val="none" w:sz="0" w:space="0" w:color="auto"/>
                <w:left w:val="none" w:sz="0" w:space="0" w:color="auto"/>
                <w:bottom w:val="none" w:sz="0" w:space="0" w:color="auto"/>
                <w:right w:val="none" w:sz="0" w:space="0" w:color="auto"/>
              </w:divBdr>
            </w:div>
            <w:div w:id="1859394079">
              <w:marLeft w:val="0"/>
              <w:marRight w:val="0"/>
              <w:marTop w:val="0"/>
              <w:marBottom w:val="0"/>
              <w:divBdr>
                <w:top w:val="none" w:sz="0" w:space="0" w:color="auto"/>
                <w:left w:val="none" w:sz="0" w:space="0" w:color="auto"/>
                <w:bottom w:val="none" w:sz="0" w:space="0" w:color="auto"/>
                <w:right w:val="none" w:sz="0" w:space="0" w:color="auto"/>
              </w:divBdr>
            </w:div>
            <w:div w:id="2077051826">
              <w:marLeft w:val="0"/>
              <w:marRight w:val="0"/>
              <w:marTop w:val="0"/>
              <w:marBottom w:val="0"/>
              <w:divBdr>
                <w:top w:val="none" w:sz="0" w:space="0" w:color="auto"/>
                <w:left w:val="none" w:sz="0" w:space="0" w:color="auto"/>
                <w:bottom w:val="none" w:sz="0" w:space="0" w:color="auto"/>
                <w:right w:val="none" w:sz="0" w:space="0" w:color="auto"/>
              </w:divBdr>
            </w:div>
            <w:div w:id="20967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4591">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2677448">
          <w:marLeft w:val="0"/>
          <w:marRight w:val="0"/>
          <w:marTop w:val="0"/>
          <w:marBottom w:val="0"/>
          <w:divBdr>
            <w:top w:val="none" w:sz="0" w:space="0" w:color="auto"/>
            <w:left w:val="none" w:sz="0" w:space="0" w:color="auto"/>
            <w:bottom w:val="single" w:sz="6" w:space="9" w:color="C8C8C8"/>
            <w:right w:val="none" w:sz="0" w:space="0" w:color="auto"/>
          </w:divBdr>
          <w:divsChild>
            <w:div w:id="7412601">
              <w:marLeft w:val="0"/>
              <w:marRight w:val="0"/>
              <w:marTop w:val="0"/>
              <w:marBottom w:val="0"/>
              <w:divBdr>
                <w:top w:val="none" w:sz="0" w:space="0" w:color="auto"/>
                <w:left w:val="none" w:sz="0" w:space="0" w:color="auto"/>
                <w:bottom w:val="none" w:sz="0" w:space="0" w:color="auto"/>
                <w:right w:val="none" w:sz="0" w:space="0" w:color="auto"/>
              </w:divBdr>
              <w:divsChild>
                <w:div w:id="1104688858">
                  <w:marLeft w:val="0"/>
                  <w:marRight w:val="0"/>
                  <w:marTop w:val="0"/>
                  <w:marBottom w:val="0"/>
                  <w:divBdr>
                    <w:top w:val="none" w:sz="0" w:space="0" w:color="auto"/>
                    <w:left w:val="none" w:sz="0" w:space="0" w:color="auto"/>
                    <w:bottom w:val="none" w:sz="0" w:space="0" w:color="auto"/>
                    <w:right w:val="none" w:sz="0" w:space="0" w:color="auto"/>
                  </w:divBdr>
                </w:div>
                <w:div w:id="1645744109">
                  <w:marLeft w:val="0"/>
                  <w:marRight w:val="0"/>
                  <w:marTop w:val="0"/>
                  <w:marBottom w:val="160"/>
                  <w:divBdr>
                    <w:top w:val="none" w:sz="0" w:space="0" w:color="auto"/>
                    <w:left w:val="none" w:sz="0" w:space="0" w:color="auto"/>
                    <w:bottom w:val="none" w:sz="0" w:space="0" w:color="auto"/>
                    <w:right w:val="none" w:sz="0" w:space="0" w:color="auto"/>
                  </w:divBdr>
                </w:div>
                <w:div w:id="1909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32932">
      <w:bodyDiv w:val="1"/>
      <w:marLeft w:val="0"/>
      <w:marRight w:val="0"/>
      <w:marTop w:val="0"/>
      <w:marBottom w:val="0"/>
      <w:divBdr>
        <w:top w:val="none" w:sz="0" w:space="0" w:color="auto"/>
        <w:left w:val="none" w:sz="0" w:space="0" w:color="auto"/>
        <w:bottom w:val="none" w:sz="0" w:space="0" w:color="auto"/>
        <w:right w:val="none" w:sz="0" w:space="0" w:color="auto"/>
      </w:divBdr>
      <w:divsChild>
        <w:div w:id="646012782">
          <w:marLeft w:val="360"/>
          <w:marRight w:val="0"/>
          <w:marTop w:val="200"/>
          <w:marBottom w:val="0"/>
          <w:divBdr>
            <w:top w:val="none" w:sz="0" w:space="0" w:color="auto"/>
            <w:left w:val="none" w:sz="0" w:space="0" w:color="auto"/>
            <w:bottom w:val="none" w:sz="0" w:space="0" w:color="auto"/>
            <w:right w:val="none" w:sz="0" w:space="0" w:color="auto"/>
          </w:divBdr>
        </w:div>
      </w:divsChild>
    </w:div>
    <w:div w:id="859591466">
      <w:bodyDiv w:val="1"/>
      <w:marLeft w:val="0"/>
      <w:marRight w:val="0"/>
      <w:marTop w:val="0"/>
      <w:marBottom w:val="0"/>
      <w:divBdr>
        <w:top w:val="none" w:sz="0" w:space="0" w:color="auto"/>
        <w:left w:val="none" w:sz="0" w:space="0" w:color="auto"/>
        <w:bottom w:val="none" w:sz="0" w:space="0" w:color="auto"/>
        <w:right w:val="none" w:sz="0" w:space="0" w:color="auto"/>
      </w:divBdr>
    </w:div>
    <w:div w:id="1072510244">
      <w:bodyDiv w:val="1"/>
      <w:marLeft w:val="0"/>
      <w:marRight w:val="0"/>
      <w:marTop w:val="0"/>
      <w:marBottom w:val="0"/>
      <w:divBdr>
        <w:top w:val="none" w:sz="0" w:space="0" w:color="auto"/>
        <w:left w:val="none" w:sz="0" w:space="0" w:color="auto"/>
        <w:bottom w:val="none" w:sz="0" w:space="0" w:color="auto"/>
        <w:right w:val="none" w:sz="0" w:space="0" w:color="auto"/>
      </w:divBdr>
    </w:div>
    <w:div w:id="1513833284">
      <w:bodyDiv w:val="1"/>
      <w:marLeft w:val="0"/>
      <w:marRight w:val="0"/>
      <w:marTop w:val="0"/>
      <w:marBottom w:val="0"/>
      <w:divBdr>
        <w:top w:val="none" w:sz="0" w:space="0" w:color="auto"/>
        <w:left w:val="none" w:sz="0" w:space="0" w:color="auto"/>
        <w:bottom w:val="none" w:sz="0" w:space="0" w:color="auto"/>
        <w:right w:val="none" w:sz="0" w:space="0" w:color="auto"/>
      </w:divBdr>
      <w:divsChild>
        <w:div w:id="2093548013">
          <w:marLeft w:val="0"/>
          <w:marRight w:val="0"/>
          <w:marTop w:val="0"/>
          <w:marBottom w:val="0"/>
          <w:divBdr>
            <w:top w:val="none" w:sz="0" w:space="0" w:color="auto"/>
            <w:left w:val="none" w:sz="0" w:space="0" w:color="auto"/>
            <w:bottom w:val="none" w:sz="0" w:space="0" w:color="auto"/>
            <w:right w:val="none" w:sz="0" w:space="0" w:color="auto"/>
          </w:divBdr>
          <w:divsChild>
            <w:div w:id="96339354">
              <w:marLeft w:val="0"/>
              <w:marRight w:val="0"/>
              <w:marTop w:val="0"/>
              <w:marBottom w:val="0"/>
              <w:divBdr>
                <w:top w:val="none" w:sz="0" w:space="0" w:color="auto"/>
                <w:left w:val="none" w:sz="0" w:space="0" w:color="auto"/>
                <w:bottom w:val="none" w:sz="0" w:space="0" w:color="auto"/>
                <w:right w:val="none" w:sz="0" w:space="0" w:color="auto"/>
              </w:divBdr>
            </w:div>
            <w:div w:id="256252558">
              <w:marLeft w:val="0"/>
              <w:marRight w:val="0"/>
              <w:marTop w:val="0"/>
              <w:marBottom w:val="0"/>
              <w:divBdr>
                <w:top w:val="none" w:sz="0" w:space="0" w:color="auto"/>
                <w:left w:val="none" w:sz="0" w:space="0" w:color="auto"/>
                <w:bottom w:val="none" w:sz="0" w:space="0" w:color="auto"/>
                <w:right w:val="none" w:sz="0" w:space="0" w:color="auto"/>
              </w:divBdr>
            </w:div>
            <w:div w:id="614681807">
              <w:marLeft w:val="0"/>
              <w:marRight w:val="0"/>
              <w:marTop w:val="0"/>
              <w:marBottom w:val="0"/>
              <w:divBdr>
                <w:top w:val="none" w:sz="0" w:space="0" w:color="auto"/>
                <w:left w:val="none" w:sz="0" w:space="0" w:color="auto"/>
                <w:bottom w:val="none" w:sz="0" w:space="0" w:color="auto"/>
                <w:right w:val="none" w:sz="0" w:space="0" w:color="auto"/>
              </w:divBdr>
            </w:div>
            <w:div w:id="1100757420">
              <w:marLeft w:val="0"/>
              <w:marRight w:val="0"/>
              <w:marTop w:val="0"/>
              <w:marBottom w:val="0"/>
              <w:divBdr>
                <w:top w:val="single" w:sz="4" w:space="1" w:color="auto"/>
                <w:left w:val="single" w:sz="4" w:space="4" w:color="auto"/>
                <w:bottom w:val="single" w:sz="4" w:space="1" w:color="auto"/>
                <w:right w:val="single" w:sz="4" w:space="4" w:color="auto"/>
              </w:divBdr>
              <w:divsChild>
                <w:div w:id="888569309">
                  <w:marLeft w:val="570"/>
                  <w:marRight w:val="0"/>
                  <w:marTop w:val="0"/>
                  <w:marBottom w:val="0"/>
                  <w:divBdr>
                    <w:top w:val="single" w:sz="4" w:space="1" w:color="auto"/>
                    <w:left w:val="single" w:sz="4" w:space="4" w:color="auto"/>
                    <w:bottom w:val="single" w:sz="4" w:space="1" w:color="auto"/>
                    <w:right w:val="single" w:sz="4" w:space="4" w:color="auto"/>
                  </w:divBdr>
                </w:div>
              </w:divsChild>
            </w:div>
            <w:div w:id="1290666464">
              <w:marLeft w:val="0"/>
              <w:marRight w:val="0"/>
              <w:marTop w:val="0"/>
              <w:marBottom w:val="0"/>
              <w:divBdr>
                <w:top w:val="none" w:sz="0" w:space="0" w:color="auto"/>
                <w:left w:val="none" w:sz="0" w:space="0" w:color="auto"/>
                <w:bottom w:val="none" w:sz="0" w:space="0" w:color="auto"/>
                <w:right w:val="none" w:sz="0" w:space="0" w:color="auto"/>
              </w:divBdr>
            </w:div>
            <w:div w:id="1422604676">
              <w:marLeft w:val="0"/>
              <w:marRight w:val="0"/>
              <w:marTop w:val="0"/>
              <w:marBottom w:val="0"/>
              <w:divBdr>
                <w:top w:val="none" w:sz="0" w:space="0" w:color="auto"/>
                <w:left w:val="none" w:sz="0" w:space="0" w:color="auto"/>
                <w:bottom w:val="none" w:sz="0" w:space="0" w:color="auto"/>
                <w:right w:val="none" w:sz="0" w:space="0" w:color="auto"/>
              </w:divBdr>
            </w:div>
            <w:div w:id="1554266847">
              <w:marLeft w:val="0"/>
              <w:marRight w:val="0"/>
              <w:marTop w:val="0"/>
              <w:marBottom w:val="0"/>
              <w:divBdr>
                <w:top w:val="none" w:sz="0" w:space="0" w:color="auto"/>
                <w:left w:val="none" w:sz="0" w:space="0" w:color="auto"/>
                <w:bottom w:val="none" w:sz="0" w:space="0" w:color="auto"/>
                <w:right w:val="none" w:sz="0" w:space="0" w:color="auto"/>
              </w:divBdr>
            </w:div>
            <w:div w:id="2035157248">
              <w:marLeft w:val="0"/>
              <w:marRight w:val="0"/>
              <w:marTop w:val="0"/>
              <w:marBottom w:val="0"/>
              <w:divBdr>
                <w:top w:val="single" w:sz="4" w:space="1" w:color="auto"/>
                <w:left w:val="single" w:sz="4" w:space="4" w:color="auto"/>
                <w:bottom w:val="single" w:sz="4" w:space="1" w:color="auto"/>
                <w:right w:val="single" w:sz="4" w:space="4" w:color="auto"/>
              </w:divBdr>
              <w:divsChild>
                <w:div w:id="1631521549">
                  <w:marLeft w:val="570"/>
                  <w:marRight w:val="0"/>
                  <w:marTop w:val="0"/>
                  <w:marBottom w:val="0"/>
                  <w:divBdr>
                    <w:top w:val="single" w:sz="4" w:space="1" w:color="auto"/>
                    <w:left w:val="single" w:sz="4" w:space="4" w:color="auto"/>
                    <w:bottom w:val="single" w:sz="4" w:space="1" w:color="auto"/>
                    <w:right w:val="single" w:sz="4" w:space="4" w:color="auto"/>
                  </w:divBdr>
                </w:div>
              </w:divsChild>
            </w:div>
          </w:divsChild>
        </w:div>
      </w:divsChild>
    </w:div>
    <w:div w:id="1713340267">
      <w:bodyDiv w:val="1"/>
      <w:marLeft w:val="0"/>
      <w:marRight w:val="0"/>
      <w:marTop w:val="0"/>
      <w:marBottom w:val="0"/>
      <w:divBdr>
        <w:top w:val="none" w:sz="0" w:space="0" w:color="auto"/>
        <w:left w:val="none" w:sz="0" w:space="0" w:color="auto"/>
        <w:bottom w:val="none" w:sz="0" w:space="0" w:color="auto"/>
        <w:right w:val="none" w:sz="0" w:space="0" w:color="auto"/>
      </w:divBdr>
    </w:div>
    <w:div w:id="1757676690">
      <w:bodyDiv w:val="1"/>
      <w:marLeft w:val="0"/>
      <w:marRight w:val="0"/>
      <w:marTop w:val="0"/>
      <w:marBottom w:val="0"/>
      <w:divBdr>
        <w:top w:val="none" w:sz="0" w:space="0" w:color="auto"/>
        <w:left w:val="none" w:sz="0" w:space="0" w:color="auto"/>
        <w:bottom w:val="none" w:sz="0" w:space="0" w:color="auto"/>
        <w:right w:val="none" w:sz="0" w:space="0" w:color="auto"/>
      </w:divBdr>
    </w:div>
    <w:div w:id="1861776352">
      <w:bodyDiv w:val="1"/>
      <w:marLeft w:val="0"/>
      <w:marRight w:val="0"/>
      <w:marTop w:val="0"/>
      <w:marBottom w:val="0"/>
      <w:divBdr>
        <w:top w:val="none" w:sz="0" w:space="0" w:color="auto"/>
        <w:left w:val="none" w:sz="0" w:space="0" w:color="auto"/>
        <w:bottom w:val="none" w:sz="0" w:space="0" w:color="auto"/>
        <w:right w:val="none" w:sz="0" w:space="0" w:color="auto"/>
      </w:divBdr>
    </w:div>
    <w:div w:id="1961378319">
      <w:bodyDiv w:val="1"/>
      <w:marLeft w:val="0"/>
      <w:marRight w:val="0"/>
      <w:marTop w:val="0"/>
      <w:marBottom w:val="0"/>
      <w:divBdr>
        <w:top w:val="none" w:sz="0" w:space="0" w:color="auto"/>
        <w:left w:val="none" w:sz="0" w:space="0" w:color="auto"/>
        <w:bottom w:val="none" w:sz="0" w:space="0" w:color="auto"/>
        <w:right w:val="none" w:sz="0" w:space="0" w:color="auto"/>
      </w:divBdr>
    </w:div>
    <w:div w:id="1961766738">
      <w:bodyDiv w:val="1"/>
      <w:marLeft w:val="0"/>
      <w:marRight w:val="0"/>
      <w:marTop w:val="0"/>
      <w:marBottom w:val="0"/>
      <w:divBdr>
        <w:top w:val="none" w:sz="0" w:space="0" w:color="auto"/>
        <w:left w:val="none" w:sz="0" w:space="0" w:color="auto"/>
        <w:bottom w:val="none" w:sz="0" w:space="0" w:color="auto"/>
        <w:right w:val="none" w:sz="0" w:space="0" w:color="auto"/>
      </w:divBdr>
    </w:div>
    <w:div w:id="1999964526">
      <w:bodyDiv w:val="1"/>
      <w:marLeft w:val="0"/>
      <w:marRight w:val="0"/>
      <w:marTop w:val="0"/>
      <w:marBottom w:val="0"/>
      <w:divBdr>
        <w:top w:val="none" w:sz="0" w:space="0" w:color="auto"/>
        <w:left w:val="none" w:sz="0" w:space="0" w:color="auto"/>
        <w:bottom w:val="none" w:sz="0" w:space="0" w:color="auto"/>
        <w:right w:val="none" w:sz="0" w:space="0" w:color="auto"/>
      </w:divBdr>
    </w:div>
    <w:div w:id="2052218888">
      <w:bodyDiv w:val="1"/>
      <w:marLeft w:val="0"/>
      <w:marRight w:val="0"/>
      <w:marTop w:val="0"/>
      <w:marBottom w:val="0"/>
      <w:divBdr>
        <w:top w:val="none" w:sz="0" w:space="0" w:color="auto"/>
        <w:left w:val="none" w:sz="0" w:space="0" w:color="auto"/>
        <w:bottom w:val="none" w:sz="0" w:space="0" w:color="auto"/>
        <w:right w:val="none" w:sz="0" w:space="0" w:color="auto"/>
      </w:divBdr>
    </w:div>
    <w:div w:id="211054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gnalement.social-sante.gouv.fr/" TargetMode="Externa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file:///G:\DM-EVAL\EVAL-COMMUN\POLE%20CLINIQUE%20AMM\VARIATION\2-%20Mod&#232;les%20et%20templates\1-%20Courriers\1-%20PN\1-%20Recevabilit&#233;\:::ENTETE-interne:logo+RF.jpg" TargetMode="External"/><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FF434-4F5F-4F3F-89E4-D37B01E37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5821</Words>
  <Characters>32018</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37764</CharactersWithSpaces>
  <SharedDoc>false</SharedDoc>
  <HLinks>
    <vt:vector size="24" baseType="variant">
      <vt:variant>
        <vt:i4>1835089</vt:i4>
      </vt:variant>
      <vt:variant>
        <vt:i4>6</vt:i4>
      </vt:variant>
      <vt:variant>
        <vt:i4>0</vt:i4>
      </vt:variant>
      <vt:variant>
        <vt:i4>5</vt:i4>
      </vt:variant>
      <vt:variant>
        <vt:lpwstr>http://www.signalement-sante.gouv.fr/</vt:lpwstr>
      </vt:variant>
      <vt:variant>
        <vt:lpwstr/>
      </vt:variant>
      <vt:variant>
        <vt:i4>1245197</vt:i4>
      </vt:variant>
      <vt:variant>
        <vt:i4>3</vt:i4>
      </vt:variant>
      <vt:variant>
        <vt:i4>0</vt:i4>
      </vt:variant>
      <vt:variant>
        <vt:i4>5</vt:i4>
      </vt:variant>
      <vt:variant>
        <vt:lpwstr>http://www.ema.europa.eu/</vt:lpwstr>
      </vt:variant>
      <vt:variant>
        <vt:lpwstr/>
      </vt:variant>
      <vt:variant>
        <vt:i4>1835089</vt:i4>
      </vt:variant>
      <vt:variant>
        <vt:i4>0</vt:i4>
      </vt:variant>
      <vt:variant>
        <vt:i4>0</vt:i4>
      </vt:variant>
      <vt:variant>
        <vt:i4>5</vt:i4>
      </vt:variant>
      <vt:variant>
        <vt:lpwstr>http://www.signalement-sante.gouv.fr/</vt:lpwstr>
      </vt:variant>
      <vt:variant>
        <vt:lpwstr/>
      </vt:variant>
      <vt:variant>
        <vt:i4>10027187</vt:i4>
      </vt:variant>
      <vt:variant>
        <vt:i4>-1</vt:i4>
      </vt:variant>
      <vt:variant>
        <vt:i4>2049</vt:i4>
      </vt:variant>
      <vt:variant>
        <vt:i4>1</vt:i4>
      </vt:variant>
      <vt:variant>
        <vt:lpwstr>G:\DM-EVAL\EVAL-COMMUN\POLE CLINIQUE AMM\VARIATION\2- Modèles et templates\1- Courriers\1- PN\1- Recevabilité\:::ENTETE-interne:logo+RF.jpg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ANSM-PV</dc:creator>
  <cp:keywords/>
  <dc:description/>
  <cp:lastModifiedBy>ANSM C</cp:lastModifiedBy>
  <cp:revision>7</cp:revision>
  <dcterms:created xsi:type="dcterms:W3CDTF">2024-04-25T08:50:00Z</dcterms:created>
  <dcterms:modified xsi:type="dcterms:W3CDTF">2024-05-06T12:45:00Z</dcterms:modified>
  <cp:category/>
</cp:coreProperties>
</file>