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F34AC" w14:textId="77777777" w:rsidR="00CD60F8" w:rsidRPr="00970766" w:rsidRDefault="006A225A" w:rsidP="004176FC">
      <w:pPr>
        <w:pStyle w:val="Titre"/>
        <w:jc w:val="center"/>
        <w:rPr>
          <w:i/>
        </w:rPr>
      </w:pPr>
      <w:bookmarkStart w:id="0" w:name="_GoBack"/>
      <w:bookmarkEnd w:id="0"/>
      <w:r w:rsidRPr="00970766">
        <w:rPr>
          <w:i/>
        </w:rPr>
        <w:t>P</w:t>
      </w:r>
      <w:r w:rsidR="00CD60F8" w:rsidRPr="00970766">
        <w:rPr>
          <w:i/>
        </w:rPr>
        <w:t>rotocole d’utilisation thérapeutique et de suivi des patients (PUT-</w:t>
      </w:r>
      <w:r w:rsidR="0085421E" w:rsidRPr="00970766">
        <w:rPr>
          <w:i/>
        </w:rPr>
        <w:t>S</w:t>
      </w:r>
      <w:r w:rsidR="00265EBF" w:rsidRPr="00970766">
        <w:rPr>
          <w:i/>
        </w:rPr>
        <w:t>P</w:t>
      </w:r>
      <w:r w:rsidR="00CD60F8" w:rsidRPr="00970766">
        <w:rPr>
          <w:i/>
        </w:rPr>
        <w:t>)</w:t>
      </w:r>
    </w:p>
    <w:p w14:paraId="28244B28" w14:textId="77777777" w:rsidR="00CD60F8" w:rsidRDefault="00CD60F8" w:rsidP="00CD60F8">
      <w:pPr>
        <w:pStyle w:val="Sous-titre"/>
        <w:jc w:val="center"/>
        <w:rPr>
          <w:color w:val="auto"/>
        </w:rPr>
      </w:pPr>
      <w:r w:rsidRPr="00970766">
        <w:rPr>
          <w:color w:val="auto"/>
        </w:rPr>
        <w:t xml:space="preserve">Cadre </w:t>
      </w:r>
      <w:r w:rsidR="00621407" w:rsidRPr="00970766">
        <w:rPr>
          <w:color w:val="auto"/>
        </w:rPr>
        <w:t>de prescription compassionnelle</w:t>
      </w:r>
    </w:p>
    <w:p w14:paraId="1363F881" w14:textId="77777777" w:rsidR="00E42FC2" w:rsidRPr="00E42FC2" w:rsidRDefault="00E42FC2" w:rsidP="00E42FC2">
      <w:pPr>
        <w:jc w:val="center"/>
        <w:rPr>
          <w:b/>
          <w:color w:val="7030A0"/>
          <w:sz w:val="32"/>
          <w:lang w:eastAsia="fr-FR"/>
        </w:rPr>
      </w:pPr>
      <w:r w:rsidRPr="00E42FC2">
        <w:rPr>
          <w:b/>
          <w:color w:val="7030A0"/>
          <w:sz w:val="32"/>
          <w:lang w:eastAsia="fr-FR"/>
        </w:rPr>
        <w:t>BOTOX 50 UNITÉS ALLERGAN, poudre pour solution injectable</w:t>
      </w:r>
    </w:p>
    <w:p w14:paraId="7D4129F7" w14:textId="77777777" w:rsidR="00E42FC2" w:rsidRPr="00E42FC2" w:rsidRDefault="00E42FC2" w:rsidP="00E42FC2">
      <w:pPr>
        <w:jc w:val="center"/>
        <w:rPr>
          <w:b/>
          <w:color w:val="7030A0"/>
          <w:sz w:val="32"/>
          <w:lang w:eastAsia="fr-FR"/>
        </w:rPr>
      </w:pPr>
      <w:r w:rsidRPr="00E42FC2">
        <w:rPr>
          <w:b/>
          <w:color w:val="7030A0"/>
          <w:sz w:val="32"/>
          <w:lang w:eastAsia="fr-FR"/>
        </w:rPr>
        <w:t>BOTOX</w:t>
      </w:r>
      <w:r w:rsidR="002169B7">
        <w:rPr>
          <w:b/>
          <w:color w:val="7030A0"/>
          <w:sz w:val="32"/>
          <w:lang w:eastAsia="fr-FR"/>
        </w:rPr>
        <w:t xml:space="preserve"> </w:t>
      </w:r>
      <w:r w:rsidRPr="00E42FC2">
        <w:rPr>
          <w:b/>
          <w:color w:val="7030A0"/>
          <w:sz w:val="32"/>
          <w:lang w:eastAsia="fr-FR"/>
        </w:rPr>
        <w:t>100 UNITÉS ALLERGAN, poudre pour solution injectable</w:t>
      </w:r>
    </w:p>
    <w:p w14:paraId="47F3DAA9" w14:textId="77777777" w:rsidR="00E42FC2" w:rsidRPr="00E42FC2" w:rsidRDefault="00E42FC2" w:rsidP="00E42FC2">
      <w:pPr>
        <w:jc w:val="center"/>
        <w:rPr>
          <w:b/>
          <w:color w:val="7030A0"/>
          <w:sz w:val="32"/>
          <w:lang w:eastAsia="fr-FR"/>
        </w:rPr>
      </w:pPr>
      <w:r w:rsidRPr="00E42FC2">
        <w:rPr>
          <w:b/>
          <w:color w:val="7030A0"/>
          <w:sz w:val="32"/>
          <w:lang w:eastAsia="fr-FR"/>
        </w:rPr>
        <w:t>BOTOX</w:t>
      </w:r>
      <w:r w:rsidR="002169B7">
        <w:rPr>
          <w:b/>
          <w:color w:val="7030A0"/>
          <w:sz w:val="32"/>
          <w:lang w:eastAsia="fr-FR"/>
        </w:rPr>
        <w:t xml:space="preserve"> </w:t>
      </w:r>
      <w:r w:rsidRPr="00E42FC2">
        <w:rPr>
          <w:b/>
          <w:color w:val="7030A0"/>
          <w:sz w:val="32"/>
          <w:lang w:eastAsia="fr-FR"/>
        </w:rPr>
        <w:t>200 UNITÉS ALLERGAN, poudre pour solution injectable</w:t>
      </w:r>
    </w:p>
    <w:p w14:paraId="7118533E" w14:textId="77777777" w:rsidR="00D813C3" w:rsidRPr="00187551" w:rsidRDefault="00D813C3" w:rsidP="00187551">
      <w:pPr>
        <w:pStyle w:val="Titre"/>
        <w:pageBreakBefore w:val="0"/>
        <w:jc w:val="center"/>
        <w:rPr>
          <w:rFonts w:ascii="Arial" w:hAnsi="Arial" w:cs="Arial"/>
          <w:sz w:val="32"/>
          <w:szCs w:val="32"/>
        </w:rPr>
      </w:pPr>
      <w:r w:rsidRPr="00970766">
        <w:rPr>
          <w:rFonts w:ascii="Arial" w:hAnsi="Arial" w:cs="Arial"/>
          <w:sz w:val="32"/>
          <w:szCs w:val="32"/>
        </w:rPr>
        <w:t>Protocole d’utilisation thérape</w:t>
      </w:r>
      <w:r w:rsidR="00187551">
        <w:rPr>
          <w:rFonts w:ascii="Arial" w:hAnsi="Arial" w:cs="Arial"/>
          <w:sz w:val="32"/>
          <w:szCs w:val="32"/>
        </w:rPr>
        <w:t>utique et de suivi des patients</w:t>
      </w:r>
    </w:p>
    <w:p w14:paraId="4D3E6729" w14:textId="77777777" w:rsidR="000754FB" w:rsidRPr="00187551" w:rsidRDefault="00D813C3" w:rsidP="00187551">
      <w:pPr>
        <w:pStyle w:val="Titre"/>
        <w:pageBreakBefore w:val="0"/>
        <w:jc w:val="center"/>
        <w:rPr>
          <w:rFonts w:ascii="Arial" w:hAnsi="Arial" w:cs="Arial"/>
          <w:sz w:val="32"/>
          <w:szCs w:val="32"/>
        </w:rPr>
      </w:pPr>
      <w:r w:rsidRPr="00970766" w:rsidDel="00D813C3">
        <w:rPr>
          <w:rFonts w:ascii="Arial" w:hAnsi="Arial" w:cs="Arial"/>
          <w:sz w:val="32"/>
          <w:szCs w:val="32"/>
        </w:rPr>
        <w:t xml:space="preserve"> </w:t>
      </w:r>
      <w:r w:rsidR="00187551">
        <w:rPr>
          <w:rFonts w:ascii="Arial" w:hAnsi="Arial" w:cs="Arial"/>
          <w:sz w:val="32"/>
          <w:szCs w:val="32"/>
        </w:rPr>
        <w:t>(PUT-SP)</w:t>
      </w:r>
    </w:p>
    <w:tbl>
      <w:tblPr>
        <w:tblStyle w:val="Grilledutableau"/>
        <w:tblW w:w="5000" w:type="pct"/>
        <w:tblLook w:val="0480" w:firstRow="0" w:lastRow="0" w:firstColumn="1" w:lastColumn="0" w:noHBand="0" w:noVBand="1"/>
      </w:tblPr>
      <w:tblGrid>
        <w:gridCol w:w="3864"/>
        <w:gridCol w:w="5198"/>
      </w:tblGrid>
      <w:tr w:rsidR="00CD60F8" w:rsidRPr="00970766" w14:paraId="54D59712" w14:textId="77777777" w:rsidTr="00D9256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6E0870A0" w14:textId="77777777" w:rsidR="00CD60F8" w:rsidRPr="00970766" w:rsidRDefault="008504C4" w:rsidP="00D92560">
            <w:pPr>
              <w:pStyle w:val="Intertitre"/>
              <w:rPr>
                <w:rStyle w:val="lev"/>
              </w:rPr>
            </w:pPr>
            <w:r w:rsidRPr="00970766">
              <w:rPr>
                <w:rStyle w:val="lev"/>
              </w:rPr>
              <w:t>le CPC</w:t>
            </w:r>
          </w:p>
        </w:tc>
      </w:tr>
      <w:tr w:rsidR="00CD60F8" w:rsidRPr="00970766" w14:paraId="47F0D88E"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21116B94" w14:textId="77777777" w:rsidR="00CD60F8" w:rsidRPr="00970766" w:rsidRDefault="00CD60F8" w:rsidP="00D92560">
            <w:pPr>
              <w:ind w:left="737" w:hanging="737"/>
            </w:pPr>
            <w:r w:rsidRPr="00970766">
              <w:t>Spécialité</w:t>
            </w:r>
            <w:r w:rsidR="000754FB" w:rsidRPr="00970766">
              <w:t>(s)</w:t>
            </w:r>
          </w:p>
        </w:tc>
        <w:tc>
          <w:tcPr>
            <w:tcW w:w="2868" w:type="pct"/>
          </w:tcPr>
          <w:sdt>
            <w:sdtPr>
              <w:id w:val="-588004346"/>
              <w:placeholder>
                <w:docPart w:val="082E6F3946224A8FB855746FC4822340"/>
              </w:placeholder>
            </w:sdtPr>
            <w:sdtEndPr/>
            <w:sdtContent>
              <w:p w14:paraId="3458BEAB" w14:textId="77777777" w:rsidR="00621407" w:rsidRPr="00970766" w:rsidRDefault="00621407" w:rsidP="00621407">
                <w:pPr>
                  <w:cnfStyle w:val="000000000000" w:firstRow="0" w:lastRow="0" w:firstColumn="0" w:lastColumn="0" w:oddVBand="0" w:evenVBand="0" w:oddHBand="0" w:evenHBand="0" w:firstRowFirstColumn="0" w:firstRowLastColumn="0" w:lastRowFirstColumn="0" w:lastRowLastColumn="0"/>
                </w:pPr>
                <w:r w:rsidRPr="00970766">
                  <w:t>BOTOX</w:t>
                </w:r>
                <w:r w:rsidR="002169B7">
                  <w:t xml:space="preserve"> </w:t>
                </w:r>
                <w:r w:rsidRPr="00970766">
                  <w:t>50 UNITÉS ALLERGAN, poudre pour solution injectable</w:t>
                </w:r>
              </w:p>
              <w:p w14:paraId="4B977EE9" w14:textId="77777777" w:rsidR="00621407" w:rsidRPr="00970766" w:rsidRDefault="00621407" w:rsidP="00621407">
                <w:pPr>
                  <w:cnfStyle w:val="000000000000" w:firstRow="0" w:lastRow="0" w:firstColumn="0" w:lastColumn="0" w:oddVBand="0" w:evenVBand="0" w:oddHBand="0" w:evenHBand="0" w:firstRowFirstColumn="0" w:firstRowLastColumn="0" w:lastRowFirstColumn="0" w:lastRowLastColumn="0"/>
                </w:pPr>
                <w:r w:rsidRPr="00970766">
                  <w:t>BOTOX</w:t>
                </w:r>
                <w:r w:rsidR="002169B7">
                  <w:t xml:space="preserve"> </w:t>
                </w:r>
                <w:r w:rsidRPr="00970766">
                  <w:t>100 UNITÉS ALLERGAN, poudre pour solution injectable</w:t>
                </w:r>
              </w:p>
              <w:p w14:paraId="0DEC93DA" w14:textId="77777777" w:rsidR="00CD60F8" w:rsidRPr="00970766" w:rsidRDefault="00621407" w:rsidP="001F58AB">
                <w:pPr>
                  <w:cnfStyle w:val="000000000000" w:firstRow="0" w:lastRow="0" w:firstColumn="0" w:lastColumn="0" w:oddVBand="0" w:evenVBand="0" w:oddHBand="0" w:evenHBand="0" w:firstRowFirstColumn="0" w:firstRowLastColumn="0" w:lastRowFirstColumn="0" w:lastRowLastColumn="0"/>
                </w:pPr>
                <w:r w:rsidRPr="00970766">
                  <w:t>BOTOX</w:t>
                </w:r>
                <w:r w:rsidR="002169B7">
                  <w:t xml:space="preserve"> </w:t>
                </w:r>
                <w:r w:rsidRPr="00970766">
                  <w:t>200 UNITÉS ALLERGAN, poudre pour solution injectable</w:t>
                </w:r>
              </w:p>
            </w:sdtContent>
          </w:sdt>
        </w:tc>
      </w:tr>
      <w:tr w:rsidR="00CD60F8" w:rsidRPr="00970766" w14:paraId="14326B22"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7DB08890" w14:textId="77777777" w:rsidR="00CD60F8" w:rsidRPr="00970766" w:rsidRDefault="00CD60F8" w:rsidP="00D92560">
            <w:r w:rsidRPr="00970766">
              <w:t>DCI</w:t>
            </w:r>
          </w:p>
        </w:tc>
        <w:tc>
          <w:tcPr>
            <w:tcW w:w="2868" w:type="pct"/>
          </w:tcPr>
          <w:p w14:paraId="7873F95D" w14:textId="77777777" w:rsidR="00CD60F8" w:rsidRPr="00970766" w:rsidRDefault="00621407" w:rsidP="00D82BCB">
            <w:pPr>
              <w:cnfStyle w:val="000000000000" w:firstRow="0" w:lastRow="0" w:firstColumn="0" w:lastColumn="0" w:oddVBand="0" w:evenVBand="0" w:oddHBand="0" w:evenHBand="0" w:firstRowFirstColumn="0" w:firstRowLastColumn="0" w:lastRowFirstColumn="0" w:lastRowLastColumn="0"/>
            </w:pPr>
            <w:r w:rsidRPr="00970766">
              <w:t>Toxine botulinique de type A</w:t>
            </w:r>
          </w:p>
        </w:tc>
      </w:tr>
      <w:tr w:rsidR="00CD60F8" w:rsidRPr="00970766" w14:paraId="2F4DF70F"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6D44C50D" w14:textId="77777777" w:rsidR="00CD60F8" w:rsidRPr="00970766" w:rsidRDefault="00CD60F8" w:rsidP="00D92560">
            <w:r w:rsidRPr="00970766">
              <w:t>Indication</w:t>
            </w:r>
            <w:r w:rsidR="00D82BCB" w:rsidRPr="00970766">
              <w:t xml:space="preserve"> du CPC</w:t>
            </w:r>
            <w:r w:rsidRPr="00970766">
              <w:t xml:space="preserve"> </w:t>
            </w:r>
          </w:p>
        </w:tc>
        <w:tc>
          <w:tcPr>
            <w:tcW w:w="2868" w:type="pct"/>
          </w:tcPr>
          <w:p w14:paraId="02486B6D" w14:textId="77777777" w:rsidR="00CD60F8" w:rsidRPr="00970766" w:rsidRDefault="0086781B" w:rsidP="00D82BCB">
            <w:pPr>
              <w:cnfStyle w:val="000000000000" w:firstRow="0" w:lastRow="0" w:firstColumn="0" w:lastColumn="0" w:oddVBand="0" w:evenVBand="0" w:oddHBand="0" w:evenHBand="0" w:firstRowFirstColumn="0" w:firstRowLastColumn="0" w:lastRowFirstColumn="0" w:lastRowLastColumn="0"/>
            </w:pPr>
            <w:sdt>
              <w:sdtPr>
                <w:id w:val="-1730687472"/>
                <w:placeholder>
                  <w:docPart w:val="4D8FEF52A8764996B03490A3A1A9A211"/>
                </w:placeholder>
              </w:sdtPr>
              <w:sdtEndPr/>
              <w:sdtContent>
                <w:r w:rsidR="00621407" w:rsidRPr="00970766">
                  <w:rPr>
                    <w:rStyle w:val="Mention1"/>
                    <w:color w:val="auto"/>
                  </w:rPr>
                  <w:t>Traitement de la douleur neuropathique périphérique chronique (depuis au moins 6 mois) bien localisée (surface ≤ 240 cm²) en tant que traitement adjuvant chez les patients adultes insuffisamment soulagés ou réfractaires aux autres traitements.</w:t>
                </w:r>
              </w:sdtContent>
            </w:sdt>
          </w:p>
        </w:tc>
      </w:tr>
      <w:tr w:rsidR="00CD60F8" w:rsidRPr="00970766" w14:paraId="62BBBCD2"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5D0BD8B6" w14:textId="77777777" w:rsidR="00CD60F8" w:rsidRPr="00970766" w:rsidRDefault="00CD60F8" w:rsidP="00D82BCB">
            <w:pPr>
              <w:ind w:left="1474" w:hanging="1474"/>
            </w:pPr>
            <w:r w:rsidRPr="00970766">
              <w:t xml:space="preserve">Date </w:t>
            </w:r>
            <w:r w:rsidR="00D82BCB" w:rsidRPr="00970766">
              <w:t>du CPC</w:t>
            </w:r>
            <w:r w:rsidRPr="00970766">
              <w:t xml:space="preserve"> </w:t>
            </w:r>
          </w:p>
        </w:tc>
        <w:tc>
          <w:tcPr>
            <w:tcW w:w="2868" w:type="pct"/>
          </w:tcPr>
          <w:p w14:paraId="2A859BEE" w14:textId="35700A4D" w:rsidR="00CD60F8" w:rsidRPr="00970766" w:rsidRDefault="00CD60F8" w:rsidP="00CD60F8">
            <w:pPr>
              <w:cnfStyle w:val="000000000000" w:firstRow="0" w:lastRow="0" w:firstColumn="0" w:lastColumn="0" w:oddVBand="0" w:evenVBand="0" w:oddHBand="0" w:evenHBand="0" w:firstRowFirstColumn="0" w:firstRowLastColumn="0" w:lastRowFirstColumn="0" w:lastRowLastColumn="0"/>
              <w:rPr>
                <w:rStyle w:val="Accentuation"/>
              </w:rPr>
            </w:pPr>
          </w:p>
        </w:tc>
      </w:tr>
      <w:tr w:rsidR="00CD60F8" w:rsidRPr="00970766" w14:paraId="67F58746"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5747A971" w14:textId="77777777" w:rsidR="00CD60F8" w:rsidRPr="00970766" w:rsidRDefault="00CD60F8" w:rsidP="00D92560">
            <w:r w:rsidRPr="00970766">
              <w:t>Périodicité des rapports de synthèse</w:t>
            </w:r>
          </w:p>
        </w:tc>
        <w:tc>
          <w:tcPr>
            <w:tcW w:w="2868" w:type="pct"/>
          </w:tcPr>
          <w:p w14:paraId="733C3621" w14:textId="77777777" w:rsidR="00CD60F8" w:rsidRPr="00970766" w:rsidRDefault="001B141E" w:rsidP="00D92560">
            <w:pPr>
              <w:cnfStyle w:val="000000000000" w:firstRow="0" w:lastRow="0" w:firstColumn="0" w:lastColumn="0" w:oddVBand="0" w:evenVBand="0" w:oddHBand="0" w:evenHBand="0" w:firstRowFirstColumn="0" w:firstRowLastColumn="0" w:lastRowFirstColumn="0" w:lastRowLastColumn="0"/>
              <w:rPr>
                <w:rStyle w:val="Accentuation"/>
              </w:rPr>
            </w:pPr>
            <w:r w:rsidRPr="00970766">
              <w:rPr>
                <w:rStyle w:val="Accentuation"/>
              </w:rPr>
              <w:t>6 mois</w:t>
            </w:r>
          </w:p>
        </w:tc>
      </w:tr>
      <w:tr w:rsidR="00CD60F8" w:rsidRPr="00970766" w14:paraId="07EAB75C" w14:textId="77777777" w:rsidTr="00D9256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515368DD" w14:textId="77777777" w:rsidR="00CD60F8" w:rsidRPr="00970766" w:rsidRDefault="00CD60F8" w:rsidP="00D92560">
            <w:pPr>
              <w:pStyle w:val="Intertitre"/>
              <w:rPr>
                <w:rStyle w:val="lev"/>
              </w:rPr>
            </w:pPr>
            <w:r w:rsidRPr="00970766">
              <w:rPr>
                <w:rStyle w:val="lev"/>
              </w:rPr>
              <w:t>Renseignements administratifs</w:t>
            </w:r>
          </w:p>
        </w:tc>
      </w:tr>
      <w:tr w:rsidR="00CD60F8" w:rsidRPr="001F0AD9" w14:paraId="0A146993"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52890C6D" w14:textId="77777777" w:rsidR="00CD60F8" w:rsidRPr="00970766" w:rsidRDefault="00CD60F8" w:rsidP="00462C1F">
            <w:r w:rsidRPr="00970766">
              <w:t xml:space="preserve">laboratoire </w:t>
            </w:r>
          </w:p>
        </w:tc>
        <w:tc>
          <w:tcPr>
            <w:tcW w:w="2868" w:type="pct"/>
          </w:tcPr>
          <w:p w14:paraId="6EAEA0CA" w14:textId="77777777" w:rsidR="001B141E" w:rsidRPr="00970766" w:rsidRDefault="001B141E" w:rsidP="001B141E">
            <w:pPr>
              <w:cnfStyle w:val="000000000000" w:firstRow="0" w:lastRow="0" w:firstColumn="0" w:lastColumn="0" w:oddVBand="0" w:evenVBand="0" w:oddHBand="0" w:evenHBand="0" w:firstRowFirstColumn="0" w:firstRowLastColumn="0" w:lastRowFirstColumn="0" w:lastRowLastColumn="0"/>
            </w:pPr>
            <w:r w:rsidRPr="00970766">
              <w:t>ABBVIE</w:t>
            </w:r>
          </w:p>
          <w:p w14:paraId="3C5B5481" w14:textId="77777777" w:rsidR="001B141E" w:rsidRPr="00970766" w:rsidRDefault="001B141E" w:rsidP="001B141E">
            <w:pPr>
              <w:cnfStyle w:val="000000000000" w:firstRow="0" w:lastRow="0" w:firstColumn="0" w:lastColumn="0" w:oddVBand="0" w:evenVBand="0" w:oddHBand="0" w:evenHBand="0" w:firstRowFirstColumn="0" w:firstRowLastColumn="0" w:lastRowFirstColumn="0" w:lastRowLastColumn="0"/>
            </w:pPr>
            <w:r w:rsidRPr="00970766">
              <w:t>10 RUE D’ARCUEIL</w:t>
            </w:r>
          </w:p>
          <w:p w14:paraId="16C59ABA" w14:textId="77777777" w:rsidR="001B141E" w:rsidRPr="00970766" w:rsidRDefault="001B141E" w:rsidP="001B141E">
            <w:pPr>
              <w:cnfStyle w:val="000000000000" w:firstRow="0" w:lastRow="0" w:firstColumn="0" w:lastColumn="0" w:oddVBand="0" w:evenVBand="0" w:oddHBand="0" w:evenHBand="0" w:firstRowFirstColumn="0" w:firstRowLastColumn="0" w:lastRowFirstColumn="0" w:lastRowLastColumn="0"/>
            </w:pPr>
            <w:r w:rsidRPr="00970766">
              <w:t>94528 RUNGIS CEDEX</w:t>
            </w:r>
          </w:p>
          <w:p w14:paraId="35CD9E73" w14:textId="77777777" w:rsidR="001B141E" w:rsidRPr="00970766" w:rsidRDefault="001B141E" w:rsidP="001B141E">
            <w:pPr>
              <w:cnfStyle w:val="000000000000" w:firstRow="0" w:lastRow="0" w:firstColumn="0" w:lastColumn="0" w:oddVBand="0" w:evenVBand="0" w:oddHBand="0" w:evenHBand="0" w:firstRowFirstColumn="0" w:firstRowLastColumn="0" w:lastRowFirstColumn="0" w:lastRowLastColumn="0"/>
            </w:pPr>
            <w:r w:rsidRPr="00970766">
              <w:t>Tél : 0 800 100 381</w:t>
            </w:r>
          </w:p>
          <w:p w14:paraId="2C446331" w14:textId="77777777" w:rsidR="001B141E" w:rsidRPr="00970766" w:rsidRDefault="001B141E" w:rsidP="001B141E">
            <w:pPr>
              <w:cnfStyle w:val="000000000000" w:firstRow="0" w:lastRow="0" w:firstColumn="0" w:lastColumn="0" w:oddVBand="0" w:evenVBand="0" w:oddHBand="0" w:evenHBand="0" w:firstRowFirstColumn="0" w:firstRowLastColumn="0" w:lastRowFirstColumn="0" w:lastRowLastColumn="0"/>
            </w:pPr>
            <w:r w:rsidRPr="00970766">
              <w:t xml:space="preserve">Fax : 01 53 01 44 </w:t>
            </w:r>
            <w:r>
              <w:t>83</w:t>
            </w:r>
          </w:p>
          <w:p w14:paraId="569E183B" w14:textId="77777777" w:rsidR="00CD60F8" w:rsidRPr="001F0AD9" w:rsidRDefault="001B141E" w:rsidP="001B141E">
            <w:pPr>
              <w:cnfStyle w:val="000000000000" w:firstRow="0" w:lastRow="0" w:firstColumn="0" w:lastColumn="0" w:oddVBand="0" w:evenVBand="0" w:oddHBand="0" w:evenHBand="0" w:firstRowFirstColumn="0" w:firstRowLastColumn="0" w:lastRowFirstColumn="0" w:lastRowLastColumn="0"/>
              <w:rPr>
                <w:lang w:val="de-DE"/>
              </w:rPr>
            </w:pPr>
            <w:r w:rsidRPr="001F0AD9">
              <w:rPr>
                <w:lang w:val="de-DE"/>
              </w:rPr>
              <w:t xml:space="preserve">E-mail : </w:t>
            </w:r>
            <w:hyperlink r:id="rId8" w:history="1">
              <w:r w:rsidR="001B2082" w:rsidRPr="001B3FF4">
                <w:rPr>
                  <w:rStyle w:val="Lienhypertexte"/>
                  <w:lang w:val="de-DE"/>
                </w:rPr>
                <w:t>France.acap@abbvie.com</w:t>
              </w:r>
            </w:hyperlink>
            <w:r w:rsidR="001B2082">
              <w:rPr>
                <w:lang w:val="de-DE"/>
              </w:rPr>
              <w:t xml:space="preserve"> </w:t>
            </w:r>
          </w:p>
        </w:tc>
      </w:tr>
      <w:tr w:rsidR="00CD60F8" w:rsidRPr="00970766" w14:paraId="14B53AC8" w14:textId="77777777" w:rsidTr="00D92560">
        <w:trPr>
          <w:trHeight w:val="389"/>
        </w:trPr>
        <w:tc>
          <w:tcPr>
            <w:cnfStyle w:val="001000000000" w:firstRow="0" w:lastRow="0" w:firstColumn="1" w:lastColumn="0" w:oddVBand="0" w:evenVBand="0" w:oddHBand="0" w:evenHBand="0" w:firstRowFirstColumn="0" w:firstRowLastColumn="0" w:lastRowFirstColumn="0" w:lastRowLastColumn="0"/>
            <w:tcW w:w="2132" w:type="pct"/>
          </w:tcPr>
          <w:p w14:paraId="4C22F395" w14:textId="77777777" w:rsidR="00CD60F8" w:rsidRPr="00970766" w:rsidRDefault="00CD60F8" w:rsidP="00D92560">
            <w:r w:rsidRPr="00970766">
              <w:t xml:space="preserve">Contact à l’ANSM </w:t>
            </w:r>
          </w:p>
        </w:tc>
        <w:tc>
          <w:tcPr>
            <w:tcW w:w="2868" w:type="pct"/>
          </w:tcPr>
          <w:p w14:paraId="73E78A65" w14:textId="77777777" w:rsidR="00CD60F8" w:rsidRPr="00970766" w:rsidRDefault="0086781B" w:rsidP="00CD60F8">
            <w:pPr>
              <w:cnfStyle w:val="000000000000" w:firstRow="0" w:lastRow="0" w:firstColumn="0" w:lastColumn="0" w:oddVBand="0" w:evenVBand="0" w:oddHBand="0" w:evenHBand="0" w:firstRowFirstColumn="0" w:firstRowLastColumn="0" w:lastRowFirstColumn="0" w:lastRowLastColumn="0"/>
              <w:rPr>
                <w:rStyle w:val="Accentuation"/>
              </w:rPr>
            </w:pPr>
            <w:hyperlink r:id="rId9" w:history="1">
              <w:r w:rsidR="00D462B3" w:rsidRPr="001B3FF4">
                <w:rPr>
                  <w:rStyle w:val="Lienhypertexte"/>
                </w:rPr>
                <w:t>cpc@ansm.sante.fr</w:t>
              </w:r>
            </w:hyperlink>
          </w:p>
        </w:tc>
      </w:tr>
      <w:tr w:rsidR="00CD60F8" w:rsidRPr="00970766" w14:paraId="230B30B4"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079CC853" w14:textId="77777777" w:rsidR="00CD60F8" w:rsidRPr="00970766" w:rsidRDefault="00CD60F8" w:rsidP="00CD60F8">
            <w:pPr>
              <w:rPr>
                <w:rStyle w:val="Condens"/>
              </w:rPr>
            </w:pPr>
            <w:r w:rsidRPr="00970766">
              <w:rPr>
                <w:rStyle w:val="Condens"/>
              </w:rPr>
              <w:t xml:space="preserve">CRPV en charge du suivi du cadre de prescription compassionnelle, le cas échéant </w:t>
            </w:r>
          </w:p>
        </w:tc>
        <w:tc>
          <w:tcPr>
            <w:tcW w:w="2868" w:type="pct"/>
          </w:tcPr>
          <w:p w14:paraId="24BDDE70" w14:textId="77777777" w:rsidR="00CD60F8" w:rsidRPr="00970766" w:rsidRDefault="00A519BF" w:rsidP="00CD60F8">
            <w:pPr>
              <w:cnfStyle w:val="000000000000" w:firstRow="0" w:lastRow="0" w:firstColumn="0" w:lastColumn="0" w:oddVBand="0" w:evenVBand="0" w:oddHBand="0" w:evenHBand="0" w:firstRowFirstColumn="0" w:firstRowLastColumn="0" w:lastRowFirstColumn="0" w:lastRowLastColumn="0"/>
              <w:rPr>
                <w:rStyle w:val="Accentuation"/>
              </w:rPr>
            </w:pPr>
            <w:r>
              <w:rPr>
                <w:rStyle w:val="Accentuation"/>
              </w:rPr>
              <w:t>Strasbourg</w:t>
            </w:r>
          </w:p>
        </w:tc>
      </w:tr>
    </w:tbl>
    <w:p w14:paraId="7F581DD6" w14:textId="64F8C1B3" w:rsidR="00AE31FA" w:rsidRDefault="00D92560">
      <w:pPr>
        <w:rPr>
          <w:rStyle w:val="Accentuation"/>
          <w:sz w:val="24"/>
        </w:rPr>
      </w:pPr>
      <w:r w:rsidRPr="00970766">
        <w:t xml:space="preserve">Dernière date de mise à jour : </w:t>
      </w:r>
      <w:r w:rsidR="00070FEB">
        <w:rPr>
          <w:rStyle w:val="Accentuation"/>
          <w:sz w:val="24"/>
        </w:rPr>
        <w:t>15</w:t>
      </w:r>
      <w:r w:rsidR="003D2329">
        <w:rPr>
          <w:rStyle w:val="Accentuation"/>
          <w:sz w:val="24"/>
        </w:rPr>
        <w:t>/02</w:t>
      </w:r>
      <w:r w:rsidR="00C647FC">
        <w:rPr>
          <w:rStyle w:val="Accentuation"/>
          <w:sz w:val="24"/>
        </w:rPr>
        <w:t>/2024</w:t>
      </w:r>
      <w:r w:rsidRPr="00970766">
        <w:rPr>
          <w:rStyle w:val="Accentuation"/>
          <w:sz w:val="24"/>
        </w:rPr>
        <w:t>.</w:t>
      </w:r>
    </w:p>
    <w:p w14:paraId="727DA0A3" w14:textId="77777777" w:rsidR="00F85008" w:rsidRDefault="00F85008">
      <w:pPr>
        <w:rPr>
          <w:rStyle w:val="Accentuation"/>
          <w:sz w:val="24"/>
        </w:rPr>
      </w:pPr>
    </w:p>
    <w:p w14:paraId="58887DD5" w14:textId="77777777" w:rsidR="00F85008" w:rsidRPr="00E42FC2" w:rsidRDefault="00F85008">
      <w:pPr>
        <w:rPr>
          <w:rFonts w:ascii="Arial" w:hAnsi="Arial" w:cs="Arial"/>
          <w:sz w:val="18"/>
          <w:szCs w:val="20"/>
        </w:rPr>
      </w:pPr>
    </w:p>
    <w:sdt>
      <w:sdtPr>
        <w:rPr>
          <w:rFonts w:asciiTheme="minorHAnsi" w:eastAsiaTheme="minorHAnsi" w:hAnsiTheme="minorHAnsi" w:cstheme="minorBidi"/>
          <w:i/>
          <w:iCs/>
          <w:color w:val="auto"/>
          <w:sz w:val="22"/>
          <w:szCs w:val="22"/>
          <w:lang w:eastAsia="en-US"/>
        </w:rPr>
        <w:id w:val="889000910"/>
        <w:docPartObj>
          <w:docPartGallery w:val="Table of Contents"/>
          <w:docPartUnique/>
        </w:docPartObj>
      </w:sdtPr>
      <w:sdtEndPr>
        <w:rPr>
          <w:rFonts w:ascii="Arial Narrow" w:hAnsi="Arial Narrow"/>
          <w:b/>
          <w:bCs/>
        </w:rPr>
      </w:sdtEndPr>
      <w:sdtContent>
        <w:p w14:paraId="07502E85" w14:textId="77777777" w:rsidR="00CD60F8" w:rsidRPr="00970766" w:rsidRDefault="00D92560">
          <w:pPr>
            <w:pStyle w:val="En-ttedetabledesmatires"/>
            <w:rPr>
              <w:rFonts w:ascii="Arial Narrow" w:hAnsi="Arial Narrow"/>
            </w:rPr>
          </w:pPr>
          <w:r w:rsidRPr="00970766">
            <w:rPr>
              <w:rFonts w:ascii="Arial Narrow" w:hAnsi="Arial Narrow"/>
            </w:rPr>
            <w:t>Sommaire</w:t>
          </w:r>
        </w:p>
        <w:p w14:paraId="2A156B80" w14:textId="77777777" w:rsidR="0020695D" w:rsidRPr="00970766" w:rsidRDefault="0020695D" w:rsidP="0020695D">
          <w:pPr>
            <w:rPr>
              <w:lang w:eastAsia="fr-FR"/>
            </w:rPr>
          </w:pPr>
        </w:p>
        <w:p w14:paraId="1A06A347" w14:textId="77777777" w:rsidR="00DB310C" w:rsidRDefault="00CD60F8">
          <w:pPr>
            <w:pStyle w:val="TM2"/>
            <w:tabs>
              <w:tab w:val="left" w:pos="660"/>
              <w:tab w:val="right" w:leader="dot" w:pos="9062"/>
            </w:tabs>
            <w:rPr>
              <w:rFonts w:eastAsiaTheme="minorEastAsia"/>
              <w:noProof/>
              <w:lang w:eastAsia="fr-FR"/>
            </w:rPr>
          </w:pPr>
          <w:r w:rsidRPr="00970766">
            <w:rPr>
              <w:rFonts w:ascii="Arial Narrow" w:hAnsi="Arial Narrow"/>
            </w:rPr>
            <w:fldChar w:fldCharType="begin"/>
          </w:r>
          <w:r w:rsidRPr="00970766">
            <w:rPr>
              <w:rFonts w:ascii="Arial Narrow" w:hAnsi="Arial Narrow"/>
            </w:rPr>
            <w:instrText xml:space="preserve"> TOC \o "1-3" \h \z \u </w:instrText>
          </w:r>
          <w:r w:rsidRPr="00970766">
            <w:rPr>
              <w:rFonts w:ascii="Arial Narrow" w:hAnsi="Arial Narrow"/>
            </w:rPr>
            <w:fldChar w:fldCharType="separate"/>
          </w:r>
          <w:hyperlink w:anchor="_Toc158900869" w:history="1">
            <w:r w:rsidR="00DB310C" w:rsidRPr="002D5E90">
              <w:rPr>
                <w:rStyle w:val="Lienhypertexte"/>
                <w:rFonts w:ascii="Arial Narrow" w:hAnsi="Arial Narrow"/>
                <w:b/>
                <w:noProof/>
              </w:rPr>
              <w:t>1.</w:t>
            </w:r>
            <w:r w:rsidR="00DB310C">
              <w:rPr>
                <w:rFonts w:eastAsiaTheme="minorEastAsia"/>
                <w:noProof/>
                <w:lang w:eastAsia="fr-FR"/>
              </w:rPr>
              <w:tab/>
            </w:r>
            <w:r w:rsidR="00DB310C" w:rsidRPr="002D5E90">
              <w:rPr>
                <w:rStyle w:val="Lienhypertexte"/>
                <w:rFonts w:ascii="Arial Narrow" w:hAnsi="Arial Narrow"/>
                <w:b/>
                <w:noProof/>
              </w:rPr>
              <w:t>LE(S) MEDICAMENT(S) concernés par le CPC</w:t>
            </w:r>
            <w:r w:rsidR="00DB310C">
              <w:rPr>
                <w:noProof/>
                <w:webHidden/>
              </w:rPr>
              <w:tab/>
            </w:r>
            <w:r w:rsidR="00DB310C">
              <w:rPr>
                <w:noProof/>
                <w:webHidden/>
              </w:rPr>
              <w:fldChar w:fldCharType="begin"/>
            </w:r>
            <w:r w:rsidR="00DB310C">
              <w:rPr>
                <w:noProof/>
                <w:webHidden/>
              </w:rPr>
              <w:instrText xml:space="preserve"> PAGEREF _Toc158900869 \h </w:instrText>
            </w:r>
            <w:r w:rsidR="00DB310C">
              <w:rPr>
                <w:noProof/>
                <w:webHidden/>
              </w:rPr>
            </w:r>
            <w:r w:rsidR="00DB310C">
              <w:rPr>
                <w:noProof/>
                <w:webHidden/>
              </w:rPr>
              <w:fldChar w:fldCharType="separate"/>
            </w:r>
            <w:r w:rsidR="00DB310C">
              <w:rPr>
                <w:noProof/>
                <w:webHidden/>
              </w:rPr>
              <w:t>4</w:t>
            </w:r>
            <w:r w:rsidR="00DB310C">
              <w:rPr>
                <w:noProof/>
                <w:webHidden/>
              </w:rPr>
              <w:fldChar w:fldCharType="end"/>
            </w:r>
          </w:hyperlink>
        </w:p>
        <w:p w14:paraId="0BB2A726" w14:textId="77777777" w:rsidR="00DB310C" w:rsidRDefault="0086781B">
          <w:pPr>
            <w:pStyle w:val="TM2"/>
            <w:tabs>
              <w:tab w:val="left" w:pos="660"/>
              <w:tab w:val="right" w:leader="dot" w:pos="9062"/>
            </w:tabs>
            <w:rPr>
              <w:rFonts w:eastAsiaTheme="minorEastAsia"/>
              <w:noProof/>
              <w:lang w:eastAsia="fr-FR"/>
            </w:rPr>
          </w:pPr>
          <w:hyperlink w:anchor="_Toc158900870" w:history="1">
            <w:r w:rsidR="00DB310C" w:rsidRPr="002D5E90">
              <w:rPr>
                <w:rStyle w:val="Lienhypertexte"/>
                <w:rFonts w:ascii="Arial Narrow" w:hAnsi="Arial Narrow"/>
                <w:b/>
                <w:noProof/>
              </w:rPr>
              <w:t>2.</w:t>
            </w:r>
            <w:r w:rsidR="00DB310C">
              <w:rPr>
                <w:rFonts w:eastAsiaTheme="minorEastAsia"/>
                <w:noProof/>
                <w:lang w:eastAsia="fr-FR"/>
              </w:rPr>
              <w:tab/>
            </w:r>
            <w:r w:rsidR="00DB310C" w:rsidRPr="002D5E90">
              <w:rPr>
                <w:rStyle w:val="Lienhypertexte"/>
                <w:rFonts w:ascii="Arial Narrow" w:hAnsi="Arial Narrow"/>
                <w:b/>
                <w:noProof/>
              </w:rPr>
              <w:t>MODALITES PRATIQUES DE SUIVI DES PATIENTS TRAITES</w:t>
            </w:r>
            <w:r w:rsidR="00DB310C">
              <w:rPr>
                <w:noProof/>
                <w:webHidden/>
              </w:rPr>
              <w:tab/>
            </w:r>
            <w:r w:rsidR="00DB310C">
              <w:rPr>
                <w:noProof/>
                <w:webHidden/>
              </w:rPr>
              <w:fldChar w:fldCharType="begin"/>
            </w:r>
            <w:r w:rsidR="00DB310C">
              <w:rPr>
                <w:noProof/>
                <w:webHidden/>
              </w:rPr>
              <w:instrText xml:space="preserve"> PAGEREF _Toc158900870 \h </w:instrText>
            </w:r>
            <w:r w:rsidR="00DB310C">
              <w:rPr>
                <w:noProof/>
                <w:webHidden/>
              </w:rPr>
            </w:r>
            <w:r w:rsidR="00DB310C">
              <w:rPr>
                <w:noProof/>
                <w:webHidden/>
              </w:rPr>
              <w:fldChar w:fldCharType="separate"/>
            </w:r>
            <w:r w:rsidR="00DB310C">
              <w:rPr>
                <w:noProof/>
                <w:webHidden/>
              </w:rPr>
              <w:t>8</w:t>
            </w:r>
            <w:r w:rsidR="00DB310C">
              <w:rPr>
                <w:noProof/>
                <w:webHidden/>
              </w:rPr>
              <w:fldChar w:fldCharType="end"/>
            </w:r>
          </w:hyperlink>
        </w:p>
        <w:p w14:paraId="5FC313CD" w14:textId="77777777" w:rsidR="00DB310C" w:rsidRDefault="0086781B">
          <w:pPr>
            <w:pStyle w:val="TM3"/>
            <w:tabs>
              <w:tab w:val="right" w:leader="dot" w:pos="9062"/>
            </w:tabs>
            <w:rPr>
              <w:rFonts w:eastAsiaTheme="minorEastAsia"/>
              <w:noProof/>
              <w:lang w:eastAsia="fr-FR"/>
            </w:rPr>
          </w:pPr>
          <w:hyperlink w:anchor="_Toc158900871" w:history="1">
            <w:r w:rsidR="00DB310C" w:rsidRPr="002D5E90">
              <w:rPr>
                <w:rStyle w:val="Lienhypertexte"/>
                <w:rFonts w:ascii="Arial Nova Cond" w:hAnsi="Arial Nova Cond"/>
                <w:b/>
                <w:noProof/>
                <w:shd w:val="clear" w:color="auto" w:fill="F2F2F2" w:themeFill="background1" w:themeFillShade="F2"/>
                <w:lang w:eastAsia="fr-FR"/>
              </w:rPr>
              <w:t>2.1 Initiation du traitement :</w:t>
            </w:r>
            <w:r w:rsidR="00DB310C">
              <w:rPr>
                <w:noProof/>
                <w:webHidden/>
              </w:rPr>
              <w:tab/>
            </w:r>
            <w:r w:rsidR="00DB310C">
              <w:rPr>
                <w:noProof/>
                <w:webHidden/>
              </w:rPr>
              <w:fldChar w:fldCharType="begin"/>
            </w:r>
            <w:r w:rsidR="00DB310C">
              <w:rPr>
                <w:noProof/>
                <w:webHidden/>
              </w:rPr>
              <w:instrText xml:space="preserve"> PAGEREF _Toc158900871 \h </w:instrText>
            </w:r>
            <w:r w:rsidR="00DB310C">
              <w:rPr>
                <w:noProof/>
                <w:webHidden/>
              </w:rPr>
            </w:r>
            <w:r w:rsidR="00DB310C">
              <w:rPr>
                <w:noProof/>
                <w:webHidden/>
              </w:rPr>
              <w:fldChar w:fldCharType="separate"/>
            </w:r>
            <w:r w:rsidR="00DB310C">
              <w:rPr>
                <w:noProof/>
                <w:webHidden/>
              </w:rPr>
              <w:t>8</w:t>
            </w:r>
            <w:r w:rsidR="00DB310C">
              <w:rPr>
                <w:noProof/>
                <w:webHidden/>
              </w:rPr>
              <w:fldChar w:fldCharType="end"/>
            </w:r>
          </w:hyperlink>
        </w:p>
        <w:p w14:paraId="59DB85C0" w14:textId="77777777" w:rsidR="00DB310C" w:rsidRDefault="0086781B">
          <w:pPr>
            <w:pStyle w:val="TM3"/>
            <w:tabs>
              <w:tab w:val="right" w:leader="dot" w:pos="9062"/>
            </w:tabs>
            <w:rPr>
              <w:rFonts w:eastAsiaTheme="minorEastAsia"/>
              <w:noProof/>
              <w:lang w:eastAsia="fr-FR"/>
            </w:rPr>
          </w:pPr>
          <w:hyperlink w:anchor="_Toc158900872" w:history="1">
            <w:r w:rsidR="00DB310C" w:rsidRPr="002D5E90">
              <w:rPr>
                <w:rStyle w:val="Lienhypertexte"/>
                <w:rFonts w:ascii="Arial Nova Cond" w:hAnsi="Arial Nova Cond"/>
                <w:b/>
                <w:noProof/>
                <w:shd w:val="clear" w:color="auto" w:fill="F2F2F2" w:themeFill="background1" w:themeFillShade="F2"/>
                <w:lang w:eastAsia="fr-FR"/>
              </w:rPr>
              <w:t>2.2 Suivi du patient :</w:t>
            </w:r>
            <w:r w:rsidR="00DB310C">
              <w:rPr>
                <w:noProof/>
                <w:webHidden/>
              </w:rPr>
              <w:tab/>
            </w:r>
            <w:r w:rsidR="00DB310C">
              <w:rPr>
                <w:noProof/>
                <w:webHidden/>
              </w:rPr>
              <w:fldChar w:fldCharType="begin"/>
            </w:r>
            <w:r w:rsidR="00DB310C">
              <w:rPr>
                <w:noProof/>
                <w:webHidden/>
              </w:rPr>
              <w:instrText xml:space="preserve"> PAGEREF _Toc158900872 \h </w:instrText>
            </w:r>
            <w:r w:rsidR="00DB310C">
              <w:rPr>
                <w:noProof/>
                <w:webHidden/>
              </w:rPr>
            </w:r>
            <w:r w:rsidR="00DB310C">
              <w:rPr>
                <w:noProof/>
                <w:webHidden/>
              </w:rPr>
              <w:fldChar w:fldCharType="separate"/>
            </w:r>
            <w:r w:rsidR="00DB310C">
              <w:rPr>
                <w:noProof/>
                <w:webHidden/>
              </w:rPr>
              <w:t>9</w:t>
            </w:r>
            <w:r w:rsidR="00DB310C">
              <w:rPr>
                <w:noProof/>
                <w:webHidden/>
              </w:rPr>
              <w:fldChar w:fldCharType="end"/>
            </w:r>
          </w:hyperlink>
        </w:p>
        <w:p w14:paraId="55A6EE44" w14:textId="77777777" w:rsidR="00DB310C" w:rsidRDefault="0086781B">
          <w:pPr>
            <w:pStyle w:val="TM3"/>
            <w:tabs>
              <w:tab w:val="right" w:leader="dot" w:pos="9062"/>
            </w:tabs>
            <w:rPr>
              <w:rFonts w:eastAsiaTheme="minorEastAsia"/>
              <w:noProof/>
              <w:lang w:eastAsia="fr-FR"/>
            </w:rPr>
          </w:pPr>
          <w:hyperlink w:anchor="_Toc158900873" w:history="1">
            <w:r w:rsidR="00DB310C" w:rsidRPr="002D5E90">
              <w:rPr>
                <w:rStyle w:val="Lienhypertexte"/>
                <w:rFonts w:ascii="Arial Nova Cond" w:hAnsi="Arial Nova Cond"/>
                <w:b/>
                <w:noProof/>
                <w:shd w:val="clear" w:color="auto" w:fill="F2F2F2" w:themeFill="background1" w:themeFillShade="F2"/>
                <w:lang w:eastAsia="fr-FR"/>
              </w:rPr>
              <w:t>2.3 Schéma de suivi du patient :</w:t>
            </w:r>
            <w:r w:rsidR="00DB310C">
              <w:rPr>
                <w:noProof/>
                <w:webHidden/>
              </w:rPr>
              <w:tab/>
            </w:r>
            <w:r w:rsidR="00DB310C">
              <w:rPr>
                <w:noProof/>
                <w:webHidden/>
              </w:rPr>
              <w:fldChar w:fldCharType="begin"/>
            </w:r>
            <w:r w:rsidR="00DB310C">
              <w:rPr>
                <w:noProof/>
                <w:webHidden/>
              </w:rPr>
              <w:instrText xml:space="preserve"> PAGEREF _Toc158900873 \h </w:instrText>
            </w:r>
            <w:r w:rsidR="00DB310C">
              <w:rPr>
                <w:noProof/>
                <w:webHidden/>
              </w:rPr>
            </w:r>
            <w:r w:rsidR="00DB310C">
              <w:rPr>
                <w:noProof/>
                <w:webHidden/>
              </w:rPr>
              <w:fldChar w:fldCharType="separate"/>
            </w:r>
            <w:r w:rsidR="00DB310C">
              <w:rPr>
                <w:noProof/>
                <w:webHidden/>
              </w:rPr>
              <w:t>10</w:t>
            </w:r>
            <w:r w:rsidR="00DB310C">
              <w:rPr>
                <w:noProof/>
                <w:webHidden/>
              </w:rPr>
              <w:fldChar w:fldCharType="end"/>
            </w:r>
          </w:hyperlink>
        </w:p>
        <w:p w14:paraId="000F868A" w14:textId="77777777" w:rsidR="00DB310C" w:rsidRDefault="0086781B">
          <w:pPr>
            <w:pStyle w:val="TM3"/>
            <w:tabs>
              <w:tab w:val="right" w:leader="dot" w:pos="9062"/>
            </w:tabs>
            <w:rPr>
              <w:rFonts w:eastAsiaTheme="minorEastAsia"/>
              <w:noProof/>
              <w:lang w:eastAsia="fr-FR"/>
            </w:rPr>
          </w:pPr>
          <w:hyperlink w:anchor="_Toc158900874" w:history="1">
            <w:r w:rsidR="00DB310C" w:rsidRPr="002D5E90">
              <w:rPr>
                <w:rStyle w:val="Lienhypertexte"/>
                <w:rFonts w:ascii="Arial Nova Cond" w:hAnsi="Arial Nova Cond"/>
                <w:b/>
                <w:noProof/>
                <w:shd w:val="clear" w:color="auto" w:fill="F2F2F2" w:themeFill="background1" w:themeFillShade="F2"/>
                <w:lang w:eastAsia="fr-FR"/>
              </w:rPr>
              <w:t>2.4 Arrêt du traitement :</w:t>
            </w:r>
            <w:r w:rsidR="00DB310C">
              <w:rPr>
                <w:noProof/>
                <w:webHidden/>
              </w:rPr>
              <w:tab/>
            </w:r>
            <w:r w:rsidR="00DB310C">
              <w:rPr>
                <w:noProof/>
                <w:webHidden/>
              </w:rPr>
              <w:fldChar w:fldCharType="begin"/>
            </w:r>
            <w:r w:rsidR="00DB310C">
              <w:rPr>
                <w:noProof/>
                <w:webHidden/>
              </w:rPr>
              <w:instrText xml:space="preserve"> PAGEREF _Toc158900874 \h </w:instrText>
            </w:r>
            <w:r w:rsidR="00DB310C">
              <w:rPr>
                <w:noProof/>
                <w:webHidden/>
              </w:rPr>
            </w:r>
            <w:r w:rsidR="00DB310C">
              <w:rPr>
                <w:noProof/>
                <w:webHidden/>
              </w:rPr>
              <w:fldChar w:fldCharType="separate"/>
            </w:r>
            <w:r w:rsidR="00DB310C">
              <w:rPr>
                <w:noProof/>
                <w:webHidden/>
              </w:rPr>
              <w:t>11</w:t>
            </w:r>
            <w:r w:rsidR="00DB310C">
              <w:rPr>
                <w:noProof/>
                <w:webHidden/>
              </w:rPr>
              <w:fldChar w:fldCharType="end"/>
            </w:r>
          </w:hyperlink>
        </w:p>
        <w:p w14:paraId="6EA91BD2" w14:textId="77777777" w:rsidR="00DB310C" w:rsidRDefault="0086781B">
          <w:pPr>
            <w:pStyle w:val="TM3"/>
            <w:tabs>
              <w:tab w:val="right" w:leader="dot" w:pos="9062"/>
            </w:tabs>
            <w:rPr>
              <w:rFonts w:eastAsiaTheme="minorEastAsia"/>
              <w:noProof/>
              <w:lang w:eastAsia="fr-FR"/>
            </w:rPr>
          </w:pPr>
          <w:hyperlink w:anchor="_Toc158900875" w:history="1">
            <w:r w:rsidR="00DB310C" w:rsidRPr="002D5E90">
              <w:rPr>
                <w:rStyle w:val="Lienhypertexte"/>
                <w:rFonts w:ascii="Arial Nova Cond" w:hAnsi="Arial Nova Cond"/>
                <w:b/>
                <w:noProof/>
                <w:shd w:val="clear" w:color="auto" w:fill="F2F2F2" w:themeFill="background1" w:themeFillShade="F2"/>
                <w:lang w:eastAsia="fr-FR"/>
              </w:rPr>
              <w:t>2.5 Modalités de saisie et exploitation des données</w:t>
            </w:r>
            <w:r w:rsidR="00DB310C">
              <w:rPr>
                <w:noProof/>
                <w:webHidden/>
              </w:rPr>
              <w:tab/>
            </w:r>
            <w:r w:rsidR="00DB310C">
              <w:rPr>
                <w:noProof/>
                <w:webHidden/>
              </w:rPr>
              <w:fldChar w:fldCharType="begin"/>
            </w:r>
            <w:r w:rsidR="00DB310C">
              <w:rPr>
                <w:noProof/>
                <w:webHidden/>
              </w:rPr>
              <w:instrText xml:space="preserve"> PAGEREF _Toc158900875 \h </w:instrText>
            </w:r>
            <w:r w:rsidR="00DB310C">
              <w:rPr>
                <w:noProof/>
                <w:webHidden/>
              </w:rPr>
            </w:r>
            <w:r w:rsidR="00DB310C">
              <w:rPr>
                <w:noProof/>
                <w:webHidden/>
              </w:rPr>
              <w:fldChar w:fldCharType="separate"/>
            </w:r>
            <w:r w:rsidR="00DB310C">
              <w:rPr>
                <w:noProof/>
                <w:webHidden/>
              </w:rPr>
              <w:t>11</w:t>
            </w:r>
            <w:r w:rsidR="00DB310C">
              <w:rPr>
                <w:noProof/>
                <w:webHidden/>
              </w:rPr>
              <w:fldChar w:fldCharType="end"/>
            </w:r>
          </w:hyperlink>
        </w:p>
        <w:p w14:paraId="689D3043" w14:textId="77777777" w:rsidR="00DB310C" w:rsidRDefault="0086781B">
          <w:pPr>
            <w:pStyle w:val="TM2"/>
            <w:tabs>
              <w:tab w:val="left" w:pos="660"/>
              <w:tab w:val="right" w:leader="dot" w:pos="9062"/>
            </w:tabs>
            <w:rPr>
              <w:rFonts w:eastAsiaTheme="minorEastAsia"/>
              <w:noProof/>
              <w:lang w:eastAsia="fr-FR"/>
            </w:rPr>
          </w:pPr>
          <w:hyperlink w:anchor="_Toc158900876" w:history="1">
            <w:r w:rsidR="00DB310C" w:rsidRPr="002D5E90">
              <w:rPr>
                <w:rStyle w:val="Lienhypertexte"/>
                <w:rFonts w:ascii="Arial Narrow" w:hAnsi="Arial Narrow"/>
                <w:b/>
                <w:noProof/>
              </w:rPr>
              <w:t>3.</w:t>
            </w:r>
            <w:r w:rsidR="00DB310C">
              <w:rPr>
                <w:rFonts w:eastAsiaTheme="minorEastAsia"/>
                <w:noProof/>
                <w:lang w:eastAsia="fr-FR"/>
              </w:rPr>
              <w:tab/>
            </w:r>
            <w:r w:rsidR="00DB310C" w:rsidRPr="002D5E90">
              <w:rPr>
                <w:rStyle w:val="Lienhypertexte"/>
                <w:rFonts w:ascii="Arial Narrow" w:hAnsi="Arial Narrow"/>
                <w:b/>
                <w:noProof/>
              </w:rPr>
              <w:t>Note d’information destinée aux professionnels de santé intervenant dans le CPC</w:t>
            </w:r>
            <w:r w:rsidR="00DB310C">
              <w:rPr>
                <w:noProof/>
                <w:webHidden/>
              </w:rPr>
              <w:tab/>
            </w:r>
            <w:r w:rsidR="00DB310C">
              <w:rPr>
                <w:noProof/>
                <w:webHidden/>
              </w:rPr>
              <w:fldChar w:fldCharType="begin"/>
            </w:r>
            <w:r w:rsidR="00DB310C">
              <w:rPr>
                <w:noProof/>
                <w:webHidden/>
              </w:rPr>
              <w:instrText xml:space="preserve"> PAGEREF _Toc158900876 \h </w:instrText>
            </w:r>
            <w:r w:rsidR="00DB310C">
              <w:rPr>
                <w:noProof/>
                <w:webHidden/>
              </w:rPr>
            </w:r>
            <w:r w:rsidR="00DB310C">
              <w:rPr>
                <w:noProof/>
                <w:webHidden/>
              </w:rPr>
              <w:fldChar w:fldCharType="separate"/>
            </w:r>
            <w:r w:rsidR="00DB310C">
              <w:rPr>
                <w:noProof/>
                <w:webHidden/>
              </w:rPr>
              <w:t>12</w:t>
            </w:r>
            <w:r w:rsidR="00DB310C">
              <w:rPr>
                <w:noProof/>
                <w:webHidden/>
              </w:rPr>
              <w:fldChar w:fldCharType="end"/>
            </w:r>
          </w:hyperlink>
        </w:p>
        <w:p w14:paraId="7151743F" w14:textId="77777777" w:rsidR="00DB310C" w:rsidRDefault="0086781B">
          <w:pPr>
            <w:pStyle w:val="TM2"/>
            <w:tabs>
              <w:tab w:val="left" w:pos="660"/>
              <w:tab w:val="right" w:leader="dot" w:pos="9062"/>
            </w:tabs>
            <w:rPr>
              <w:rFonts w:eastAsiaTheme="minorEastAsia"/>
              <w:noProof/>
              <w:lang w:eastAsia="fr-FR"/>
            </w:rPr>
          </w:pPr>
          <w:hyperlink w:anchor="_Toc158900877" w:history="1">
            <w:r w:rsidR="00DB310C" w:rsidRPr="002D5E90">
              <w:rPr>
                <w:rStyle w:val="Lienhypertexte"/>
                <w:rFonts w:ascii="Arial Narrow" w:hAnsi="Arial Narrow"/>
                <w:b/>
                <w:noProof/>
              </w:rPr>
              <w:t>4.</w:t>
            </w:r>
            <w:r w:rsidR="00DB310C">
              <w:rPr>
                <w:rFonts w:eastAsiaTheme="minorEastAsia"/>
                <w:noProof/>
                <w:lang w:eastAsia="fr-FR"/>
              </w:rPr>
              <w:tab/>
            </w:r>
            <w:r w:rsidR="00DB310C" w:rsidRPr="002D5E90">
              <w:rPr>
                <w:rStyle w:val="Lienhypertexte"/>
                <w:rFonts w:ascii="Arial Narrow" w:hAnsi="Arial Narrow"/>
                <w:b/>
                <w:noProof/>
              </w:rPr>
              <w:t>ANNEXES</w:t>
            </w:r>
            <w:r w:rsidR="00DB310C">
              <w:rPr>
                <w:noProof/>
                <w:webHidden/>
              </w:rPr>
              <w:tab/>
            </w:r>
            <w:r w:rsidR="00DB310C">
              <w:rPr>
                <w:noProof/>
                <w:webHidden/>
              </w:rPr>
              <w:fldChar w:fldCharType="begin"/>
            </w:r>
            <w:r w:rsidR="00DB310C">
              <w:rPr>
                <w:noProof/>
                <w:webHidden/>
              </w:rPr>
              <w:instrText xml:space="preserve"> PAGEREF _Toc158900877 \h </w:instrText>
            </w:r>
            <w:r w:rsidR="00DB310C">
              <w:rPr>
                <w:noProof/>
                <w:webHidden/>
              </w:rPr>
            </w:r>
            <w:r w:rsidR="00DB310C">
              <w:rPr>
                <w:noProof/>
                <w:webHidden/>
              </w:rPr>
              <w:fldChar w:fldCharType="separate"/>
            </w:r>
            <w:r w:rsidR="00DB310C">
              <w:rPr>
                <w:noProof/>
                <w:webHidden/>
              </w:rPr>
              <w:t>14</w:t>
            </w:r>
            <w:r w:rsidR="00DB310C">
              <w:rPr>
                <w:noProof/>
                <w:webHidden/>
              </w:rPr>
              <w:fldChar w:fldCharType="end"/>
            </w:r>
          </w:hyperlink>
        </w:p>
        <w:p w14:paraId="5CE58308" w14:textId="38A52D72" w:rsidR="00DB310C" w:rsidRDefault="0086781B">
          <w:pPr>
            <w:pStyle w:val="TM3"/>
            <w:tabs>
              <w:tab w:val="right" w:leader="dot" w:pos="9062"/>
            </w:tabs>
            <w:rPr>
              <w:rFonts w:eastAsiaTheme="minorEastAsia"/>
              <w:noProof/>
              <w:lang w:eastAsia="fr-FR"/>
            </w:rPr>
          </w:pPr>
          <w:hyperlink w:anchor="_Toc158900878" w:history="1">
            <w:r w:rsidR="00DB310C" w:rsidRPr="002D5E90">
              <w:rPr>
                <w:rStyle w:val="Lienhypertexte"/>
                <w:rFonts w:ascii="Arial" w:hAnsi="Arial" w:cs="Arial"/>
                <w:b/>
                <w:noProof/>
              </w:rPr>
              <w:t>ANNEXE 1.1 : fiche d’initiation de traitement (BOTOX dans le CPC)</w:t>
            </w:r>
            <w:r w:rsidR="00DB310C">
              <w:rPr>
                <w:noProof/>
                <w:webHidden/>
              </w:rPr>
              <w:tab/>
            </w:r>
            <w:r w:rsidR="00DB310C">
              <w:rPr>
                <w:noProof/>
                <w:webHidden/>
              </w:rPr>
              <w:fldChar w:fldCharType="begin"/>
            </w:r>
            <w:r w:rsidR="00DB310C">
              <w:rPr>
                <w:noProof/>
                <w:webHidden/>
              </w:rPr>
              <w:instrText xml:space="preserve"> PAGEREF _Toc158900878 \h </w:instrText>
            </w:r>
            <w:r w:rsidR="00DB310C">
              <w:rPr>
                <w:noProof/>
                <w:webHidden/>
              </w:rPr>
            </w:r>
            <w:r w:rsidR="00DB310C">
              <w:rPr>
                <w:noProof/>
                <w:webHidden/>
              </w:rPr>
              <w:fldChar w:fldCharType="separate"/>
            </w:r>
            <w:r w:rsidR="00DB310C">
              <w:rPr>
                <w:noProof/>
                <w:webHidden/>
              </w:rPr>
              <w:t>15</w:t>
            </w:r>
            <w:r w:rsidR="00DB310C">
              <w:rPr>
                <w:noProof/>
                <w:webHidden/>
              </w:rPr>
              <w:fldChar w:fldCharType="end"/>
            </w:r>
          </w:hyperlink>
        </w:p>
        <w:p w14:paraId="6BE0A458" w14:textId="77777777" w:rsidR="00DB310C" w:rsidRDefault="0086781B">
          <w:pPr>
            <w:pStyle w:val="TM3"/>
            <w:tabs>
              <w:tab w:val="right" w:leader="dot" w:pos="9062"/>
            </w:tabs>
            <w:rPr>
              <w:rFonts w:eastAsiaTheme="minorEastAsia"/>
              <w:noProof/>
              <w:lang w:eastAsia="fr-FR"/>
            </w:rPr>
          </w:pPr>
          <w:hyperlink w:anchor="_Toc158900879" w:history="1">
            <w:r w:rsidR="00DB310C" w:rsidRPr="002D5E90">
              <w:rPr>
                <w:rStyle w:val="Lienhypertexte"/>
                <w:rFonts w:ascii="Arial" w:hAnsi="Arial" w:cs="Arial"/>
                <w:b/>
                <w:noProof/>
              </w:rPr>
              <w:t>ANNEXE 1.2 : fiche de suivi pour les visites initiales V1 et V2</w:t>
            </w:r>
            <w:r w:rsidR="00DB310C">
              <w:rPr>
                <w:noProof/>
                <w:webHidden/>
              </w:rPr>
              <w:tab/>
            </w:r>
            <w:r w:rsidR="00DB310C">
              <w:rPr>
                <w:noProof/>
                <w:webHidden/>
              </w:rPr>
              <w:fldChar w:fldCharType="begin"/>
            </w:r>
            <w:r w:rsidR="00DB310C">
              <w:rPr>
                <w:noProof/>
                <w:webHidden/>
              </w:rPr>
              <w:instrText xml:space="preserve"> PAGEREF _Toc158900879 \h </w:instrText>
            </w:r>
            <w:r w:rsidR="00DB310C">
              <w:rPr>
                <w:noProof/>
                <w:webHidden/>
              </w:rPr>
            </w:r>
            <w:r w:rsidR="00DB310C">
              <w:rPr>
                <w:noProof/>
                <w:webHidden/>
              </w:rPr>
              <w:fldChar w:fldCharType="separate"/>
            </w:r>
            <w:r w:rsidR="00DB310C">
              <w:rPr>
                <w:noProof/>
                <w:webHidden/>
              </w:rPr>
              <w:t>20</w:t>
            </w:r>
            <w:r w:rsidR="00DB310C">
              <w:rPr>
                <w:noProof/>
                <w:webHidden/>
              </w:rPr>
              <w:fldChar w:fldCharType="end"/>
            </w:r>
          </w:hyperlink>
        </w:p>
        <w:p w14:paraId="240DA707" w14:textId="77777777" w:rsidR="00DB310C" w:rsidRDefault="0086781B">
          <w:pPr>
            <w:pStyle w:val="TM3"/>
            <w:tabs>
              <w:tab w:val="right" w:leader="dot" w:pos="9062"/>
            </w:tabs>
            <w:rPr>
              <w:rFonts w:eastAsiaTheme="minorEastAsia"/>
              <w:noProof/>
              <w:lang w:eastAsia="fr-FR"/>
            </w:rPr>
          </w:pPr>
          <w:hyperlink w:anchor="_Toc158900880" w:history="1">
            <w:r w:rsidR="00DB310C" w:rsidRPr="002D5E90">
              <w:rPr>
                <w:rStyle w:val="Lienhypertexte"/>
                <w:rFonts w:ascii="Arial" w:hAnsi="Arial" w:cs="Arial"/>
                <w:b/>
                <w:noProof/>
              </w:rPr>
              <w:t>ANNEXE 1.3 : fiche de suivi Vx (visites trimestrielles)</w:t>
            </w:r>
            <w:r w:rsidR="00DB310C">
              <w:rPr>
                <w:noProof/>
                <w:webHidden/>
              </w:rPr>
              <w:tab/>
            </w:r>
            <w:r w:rsidR="00DB310C">
              <w:rPr>
                <w:noProof/>
                <w:webHidden/>
              </w:rPr>
              <w:fldChar w:fldCharType="begin"/>
            </w:r>
            <w:r w:rsidR="00DB310C">
              <w:rPr>
                <w:noProof/>
                <w:webHidden/>
              </w:rPr>
              <w:instrText xml:space="preserve"> PAGEREF _Toc158900880 \h </w:instrText>
            </w:r>
            <w:r w:rsidR="00DB310C">
              <w:rPr>
                <w:noProof/>
                <w:webHidden/>
              </w:rPr>
            </w:r>
            <w:r w:rsidR="00DB310C">
              <w:rPr>
                <w:noProof/>
                <w:webHidden/>
              </w:rPr>
              <w:fldChar w:fldCharType="separate"/>
            </w:r>
            <w:r w:rsidR="00DB310C">
              <w:rPr>
                <w:noProof/>
                <w:webHidden/>
              </w:rPr>
              <w:t>23</w:t>
            </w:r>
            <w:r w:rsidR="00DB310C">
              <w:rPr>
                <w:noProof/>
                <w:webHidden/>
              </w:rPr>
              <w:fldChar w:fldCharType="end"/>
            </w:r>
          </w:hyperlink>
        </w:p>
        <w:p w14:paraId="3ACD701D" w14:textId="77777777" w:rsidR="00DB310C" w:rsidRDefault="0086781B">
          <w:pPr>
            <w:pStyle w:val="TM3"/>
            <w:tabs>
              <w:tab w:val="right" w:leader="dot" w:pos="9062"/>
            </w:tabs>
            <w:rPr>
              <w:rFonts w:eastAsiaTheme="minorEastAsia"/>
              <w:noProof/>
              <w:lang w:eastAsia="fr-FR"/>
            </w:rPr>
          </w:pPr>
          <w:hyperlink w:anchor="_Toc158900881" w:history="1">
            <w:r w:rsidR="00DB310C" w:rsidRPr="002D5E90">
              <w:rPr>
                <w:rStyle w:val="Lienhypertexte"/>
                <w:rFonts w:ascii="Arial" w:hAnsi="Arial" w:cs="Arial"/>
                <w:b/>
                <w:noProof/>
              </w:rPr>
              <w:t>ANNEXE 1.4 : fiche de fin de traitement</w:t>
            </w:r>
            <w:r w:rsidR="00DB310C">
              <w:rPr>
                <w:noProof/>
                <w:webHidden/>
              </w:rPr>
              <w:tab/>
            </w:r>
            <w:r w:rsidR="00DB310C">
              <w:rPr>
                <w:noProof/>
                <w:webHidden/>
              </w:rPr>
              <w:fldChar w:fldCharType="begin"/>
            </w:r>
            <w:r w:rsidR="00DB310C">
              <w:rPr>
                <w:noProof/>
                <w:webHidden/>
              </w:rPr>
              <w:instrText xml:space="preserve"> PAGEREF _Toc158900881 \h </w:instrText>
            </w:r>
            <w:r w:rsidR="00DB310C">
              <w:rPr>
                <w:noProof/>
                <w:webHidden/>
              </w:rPr>
            </w:r>
            <w:r w:rsidR="00DB310C">
              <w:rPr>
                <w:noProof/>
                <w:webHidden/>
              </w:rPr>
              <w:fldChar w:fldCharType="separate"/>
            </w:r>
            <w:r w:rsidR="00DB310C">
              <w:rPr>
                <w:noProof/>
                <w:webHidden/>
              </w:rPr>
              <w:t>26</w:t>
            </w:r>
            <w:r w:rsidR="00DB310C">
              <w:rPr>
                <w:noProof/>
                <w:webHidden/>
              </w:rPr>
              <w:fldChar w:fldCharType="end"/>
            </w:r>
          </w:hyperlink>
        </w:p>
        <w:p w14:paraId="7652E7B1" w14:textId="0115B3F3" w:rsidR="00DB310C" w:rsidRDefault="0086781B">
          <w:pPr>
            <w:pStyle w:val="TM2"/>
            <w:tabs>
              <w:tab w:val="right" w:leader="dot" w:pos="9062"/>
            </w:tabs>
            <w:rPr>
              <w:rFonts w:eastAsiaTheme="minorEastAsia"/>
              <w:noProof/>
              <w:lang w:eastAsia="fr-FR"/>
            </w:rPr>
          </w:pPr>
          <w:hyperlink w:anchor="_Toc158900882" w:history="1">
            <w:r w:rsidR="00DB310C" w:rsidRPr="002D5E90">
              <w:rPr>
                <w:rStyle w:val="Lienhypertexte"/>
                <w:rFonts w:ascii="Arial Narrow" w:hAnsi="Arial Narrow"/>
                <w:noProof/>
              </w:rPr>
              <w:t xml:space="preserve">ANNEXE 2 : Argumentaire et Références bibliographiques </w:t>
            </w:r>
            <w:r w:rsidR="00DB310C" w:rsidRPr="002D5E90">
              <w:rPr>
                <w:rStyle w:val="Lienhypertexte"/>
                <w:rFonts w:ascii="Arial Narrow" w:hAnsi="Arial Narrow"/>
                <w:bCs/>
                <w:noProof/>
              </w:rPr>
              <w:t>pour l’utilisation de BOTOX 50/100/200 UNITÉS ALLERGAN, poudre pour solution injectable dans les indications du CPC</w:t>
            </w:r>
            <w:r w:rsidR="00DB310C">
              <w:rPr>
                <w:noProof/>
                <w:webHidden/>
              </w:rPr>
              <w:tab/>
            </w:r>
            <w:r w:rsidR="00DB310C">
              <w:rPr>
                <w:noProof/>
                <w:webHidden/>
              </w:rPr>
              <w:fldChar w:fldCharType="begin"/>
            </w:r>
            <w:r w:rsidR="00DB310C">
              <w:rPr>
                <w:noProof/>
                <w:webHidden/>
              </w:rPr>
              <w:instrText xml:space="preserve"> PAGEREF _Toc158900882 \h </w:instrText>
            </w:r>
            <w:r w:rsidR="00DB310C">
              <w:rPr>
                <w:noProof/>
                <w:webHidden/>
              </w:rPr>
            </w:r>
            <w:r w:rsidR="00DB310C">
              <w:rPr>
                <w:noProof/>
                <w:webHidden/>
              </w:rPr>
              <w:fldChar w:fldCharType="separate"/>
            </w:r>
            <w:r w:rsidR="00DB310C">
              <w:rPr>
                <w:noProof/>
                <w:webHidden/>
              </w:rPr>
              <w:t>29</w:t>
            </w:r>
            <w:r w:rsidR="00DB310C">
              <w:rPr>
                <w:noProof/>
                <w:webHidden/>
              </w:rPr>
              <w:fldChar w:fldCharType="end"/>
            </w:r>
          </w:hyperlink>
        </w:p>
        <w:p w14:paraId="658F655D" w14:textId="77777777" w:rsidR="00DB310C" w:rsidRDefault="0086781B">
          <w:pPr>
            <w:pStyle w:val="TM2"/>
            <w:tabs>
              <w:tab w:val="right" w:leader="dot" w:pos="9062"/>
            </w:tabs>
            <w:rPr>
              <w:rFonts w:eastAsiaTheme="minorEastAsia"/>
              <w:noProof/>
              <w:lang w:eastAsia="fr-FR"/>
            </w:rPr>
          </w:pPr>
          <w:hyperlink w:anchor="_Toc158900883" w:history="1">
            <w:r w:rsidR="00DB310C" w:rsidRPr="002D5E90">
              <w:rPr>
                <w:rStyle w:val="Lienhypertexte"/>
                <w:rFonts w:ascii="Arial Narrow" w:hAnsi="Arial Narrow"/>
                <w:noProof/>
              </w:rPr>
              <w:t>ANNEXE 3 :</w:t>
            </w:r>
            <w:r w:rsidR="00DB310C" w:rsidRPr="002D5E90">
              <w:rPr>
                <w:rStyle w:val="Lienhypertexte"/>
                <w:rFonts w:ascii="Arial Narrow" w:hAnsi="Arial Narrow"/>
                <w:b/>
                <w:noProof/>
              </w:rPr>
              <w:t xml:space="preserve"> </w:t>
            </w:r>
            <w:r w:rsidR="00DB310C" w:rsidRPr="002D5E90">
              <w:rPr>
                <w:rStyle w:val="Lienhypertexte"/>
                <w:rFonts w:ascii="Arial Narrow" w:hAnsi="Arial Narrow"/>
                <w:noProof/>
              </w:rPr>
              <w:t>Note d’information destinée aux patients bénéficiant d’un médicament dans un cadre de prescription compassionnelle</w:t>
            </w:r>
            <w:r w:rsidR="00DB310C">
              <w:rPr>
                <w:noProof/>
                <w:webHidden/>
              </w:rPr>
              <w:tab/>
            </w:r>
            <w:r w:rsidR="00DB310C">
              <w:rPr>
                <w:noProof/>
                <w:webHidden/>
              </w:rPr>
              <w:fldChar w:fldCharType="begin"/>
            </w:r>
            <w:r w:rsidR="00DB310C">
              <w:rPr>
                <w:noProof/>
                <w:webHidden/>
              </w:rPr>
              <w:instrText xml:space="preserve"> PAGEREF _Toc158900883 \h </w:instrText>
            </w:r>
            <w:r w:rsidR="00DB310C">
              <w:rPr>
                <w:noProof/>
                <w:webHidden/>
              </w:rPr>
            </w:r>
            <w:r w:rsidR="00DB310C">
              <w:rPr>
                <w:noProof/>
                <w:webHidden/>
              </w:rPr>
              <w:fldChar w:fldCharType="separate"/>
            </w:r>
            <w:r w:rsidR="00DB310C">
              <w:rPr>
                <w:noProof/>
                <w:webHidden/>
              </w:rPr>
              <w:t>37</w:t>
            </w:r>
            <w:r w:rsidR="00DB310C">
              <w:rPr>
                <w:noProof/>
                <w:webHidden/>
              </w:rPr>
              <w:fldChar w:fldCharType="end"/>
            </w:r>
          </w:hyperlink>
        </w:p>
        <w:p w14:paraId="49308890" w14:textId="77777777" w:rsidR="00DB310C" w:rsidRDefault="0086781B">
          <w:pPr>
            <w:pStyle w:val="TM2"/>
            <w:tabs>
              <w:tab w:val="right" w:leader="dot" w:pos="9062"/>
            </w:tabs>
            <w:rPr>
              <w:rFonts w:eastAsiaTheme="minorEastAsia"/>
              <w:noProof/>
              <w:lang w:eastAsia="fr-FR"/>
            </w:rPr>
          </w:pPr>
          <w:hyperlink w:anchor="_Toc158900884" w:history="1">
            <w:r w:rsidR="00DB310C" w:rsidRPr="002D5E90">
              <w:rPr>
                <w:rStyle w:val="Lienhypertexte"/>
                <w:rFonts w:ascii="Arial Narrow" w:hAnsi="Arial Narrow"/>
                <w:noProof/>
              </w:rPr>
              <w:t>ANNEXE 4.1 :</w:t>
            </w:r>
            <w:r w:rsidR="00DB310C" w:rsidRPr="002D5E90">
              <w:rPr>
                <w:rStyle w:val="Lienhypertexte"/>
                <w:rFonts w:ascii="Arial Narrow" w:hAnsi="Arial Narrow"/>
                <w:b/>
                <w:noProof/>
              </w:rPr>
              <w:t xml:space="preserve"> </w:t>
            </w:r>
            <w:r w:rsidR="00DB310C" w:rsidRPr="002D5E90">
              <w:rPr>
                <w:rStyle w:val="Lienhypertexte"/>
                <w:rFonts w:ascii="Arial Narrow" w:hAnsi="Arial Narrow"/>
                <w:noProof/>
              </w:rPr>
              <w:t>Note d’information sur le traitement des données personnelles à destination des patients</w:t>
            </w:r>
            <w:r w:rsidR="00DB310C">
              <w:rPr>
                <w:noProof/>
                <w:webHidden/>
              </w:rPr>
              <w:tab/>
            </w:r>
            <w:r w:rsidR="00DB310C">
              <w:rPr>
                <w:noProof/>
                <w:webHidden/>
              </w:rPr>
              <w:fldChar w:fldCharType="begin"/>
            </w:r>
            <w:r w:rsidR="00DB310C">
              <w:rPr>
                <w:noProof/>
                <w:webHidden/>
              </w:rPr>
              <w:instrText xml:space="preserve"> PAGEREF _Toc158900884 \h </w:instrText>
            </w:r>
            <w:r w:rsidR="00DB310C">
              <w:rPr>
                <w:noProof/>
                <w:webHidden/>
              </w:rPr>
            </w:r>
            <w:r w:rsidR="00DB310C">
              <w:rPr>
                <w:noProof/>
                <w:webHidden/>
              </w:rPr>
              <w:fldChar w:fldCharType="separate"/>
            </w:r>
            <w:r w:rsidR="00DB310C">
              <w:rPr>
                <w:noProof/>
                <w:webHidden/>
              </w:rPr>
              <w:t>40</w:t>
            </w:r>
            <w:r w:rsidR="00DB310C">
              <w:rPr>
                <w:noProof/>
                <w:webHidden/>
              </w:rPr>
              <w:fldChar w:fldCharType="end"/>
            </w:r>
          </w:hyperlink>
        </w:p>
        <w:p w14:paraId="65F3C5BE" w14:textId="77777777" w:rsidR="00DB310C" w:rsidRDefault="0086781B">
          <w:pPr>
            <w:pStyle w:val="TM2"/>
            <w:tabs>
              <w:tab w:val="right" w:leader="dot" w:pos="9062"/>
            </w:tabs>
            <w:rPr>
              <w:rFonts w:eastAsiaTheme="minorEastAsia"/>
              <w:noProof/>
              <w:lang w:eastAsia="fr-FR"/>
            </w:rPr>
          </w:pPr>
          <w:hyperlink w:anchor="_Toc158900885" w:history="1">
            <w:r w:rsidR="00DB310C" w:rsidRPr="002D5E90">
              <w:rPr>
                <w:rStyle w:val="Lienhypertexte"/>
                <w:rFonts w:ascii="Arial Narrow" w:eastAsiaTheme="majorEastAsia" w:hAnsi="Arial Narrow" w:cstheme="majorBidi"/>
                <w:noProof/>
              </w:rPr>
              <w:t>ANNEXE 4.2 : Note d’information à destination des professionnels de santé sur le traitement des données personnelles</w:t>
            </w:r>
            <w:r w:rsidR="00DB310C">
              <w:rPr>
                <w:noProof/>
                <w:webHidden/>
              </w:rPr>
              <w:tab/>
            </w:r>
            <w:r w:rsidR="00DB310C">
              <w:rPr>
                <w:noProof/>
                <w:webHidden/>
              </w:rPr>
              <w:fldChar w:fldCharType="begin"/>
            </w:r>
            <w:r w:rsidR="00DB310C">
              <w:rPr>
                <w:noProof/>
                <w:webHidden/>
              </w:rPr>
              <w:instrText xml:space="preserve"> PAGEREF _Toc158900885 \h </w:instrText>
            </w:r>
            <w:r w:rsidR="00DB310C">
              <w:rPr>
                <w:noProof/>
                <w:webHidden/>
              </w:rPr>
            </w:r>
            <w:r w:rsidR="00DB310C">
              <w:rPr>
                <w:noProof/>
                <w:webHidden/>
              </w:rPr>
              <w:fldChar w:fldCharType="separate"/>
            </w:r>
            <w:r w:rsidR="00DB310C">
              <w:rPr>
                <w:noProof/>
                <w:webHidden/>
              </w:rPr>
              <w:t>43</w:t>
            </w:r>
            <w:r w:rsidR="00DB310C">
              <w:rPr>
                <w:noProof/>
                <w:webHidden/>
              </w:rPr>
              <w:fldChar w:fldCharType="end"/>
            </w:r>
          </w:hyperlink>
        </w:p>
        <w:p w14:paraId="53F5E429" w14:textId="77777777" w:rsidR="00DB310C" w:rsidRDefault="0086781B">
          <w:pPr>
            <w:pStyle w:val="TM2"/>
            <w:tabs>
              <w:tab w:val="right" w:leader="dot" w:pos="9062"/>
            </w:tabs>
            <w:rPr>
              <w:rFonts w:eastAsiaTheme="minorEastAsia"/>
              <w:noProof/>
              <w:lang w:eastAsia="fr-FR"/>
            </w:rPr>
          </w:pPr>
          <w:hyperlink w:anchor="_Toc158900886" w:history="1">
            <w:r w:rsidR="00DB310C" w:rsidRPr="002D5E90">
              <w:rPr>
                <w:rStyle w:val="Lienhypertexte"/>
                <w:rFonts w:ascii="Arial Narrow" w:hAnsi="Arial Narrow"/>
                <w:noProof/>
              </w:rPr>
              <w:t>ANNEXE 5 : Rappel des modalités de déclaration des effets indésirables</w:t>
            </w:r>
            <w:r w:rsidR="00DB310C">
              <w:rPr>
                <w:noProof/>
                <w:webHidden/>
              </w:rPr>
              <w:tab/>
            </w:r>
            <w:r w:rsidR="00DB310C">
              <w:rPr>
                <w:noProof/>
                <w:webHidden/>
              </w:rPr>
              <w:fldChar w:fldCharType="begin"/>
            </w:r>
            <w:r w:rsidR="00DB310C">
              <w:rPr>
                <w:noProof/>
                <w:webHidden/>
              </w:rPr>
              <w:instrText xml:space="preserve"> PAGEREF _Toc158900886 \h </w:instrText>
            </w:r>
            <w:r w:rsidR="00DB310C">
              <w:rPr>
                <w:noProof/>
                <w:webHidden/>
              </w:rPr>
            </w:r>
            <w:r w:rsidR="00DB310C">
              <w:rPr>
                <w:noProof/>
                <w:webHidden/>
              </w:rPr>
              <w:fldChar w:fldCharType="separate"/>
            </w:r>
            <w:r w:rsidR="00DB310C">
              <w:rPr>
                <w:noProof/>
                <w:webHidden/>
              </w:rPr>
              <w:t>45</w:t>
            </w:r>
            <w:r w:rsidR="00DB310C">
              <w:rPr>
                <w:noProof/>
                <w:webHidden/>
              </w:rPr>
              <w:fldChar w:fldCharType="end"/>
            </w:r>
          </w:hyperlink>
        </w:p>
        <w:p w14:paraId="1B3EE671" w14:textId="77777777" w:rsidR="00DB310C" w:rsidRDefault="0086781B">
          <w:pPr>
            <w:pStyle w:val="TM2"/>
            <w:tabs>
              <w:tab w:val="right" w:leader="dot" w:pos="9062"/>
            </w:tabs>
            <w:rPr>
              <w:rFonts w:eastAsiaTheme="minorEastAsia"/>
              <w:noProof/>
              <w:lang w:eastAsia="fr-FR"/>
            </w:rPr>
          </w:pPr>
          <w:hyperlink w:anchor="_Toc158900887" w:history="1">
            <w:r w:rsidR="00DB310C" w:rsidRPr="002D5E90">
              <w:rPr>
                <w:rStyle w:val="Lienhypertexte"/>
                <w:rFonts w:ascii="Arial Narrow" w:hAnsi="Arial Narrow"/>
                <w:noProof/>
              </w:rPr>
              <w:t>ANNEXE 6 : Disposition législatives et réglementaires relatives au CPC</w:t>
            </w:r>
            <w:r w:rsidR="00DB310C">
              <w:rPr>
                <w:noProof/>
                <w:webHidden/>
              </w:rPr>
              <w:tab/>
            </w:r>
            <w:r w:rsidR="00DB310C">
              <w:rPr>
                <w:noProof/>
                <w:webHidden/>
              </w:rPr>
              <w:fldChar w:fldCharType="begin"/>
            </w:r>
            <w:r w:rsidR="00DB310C">
              <w:rPr>
                <w:noProof/>
                <w:webHidden/>
              </w:rPr>
              <w:instrText xml:space="preserve"> PAGEREF _Toc158900887 \h </w:instrText>
            </w:r>
            <w:r w:rsidR="00DB310C">
              <w:rPr>
                <w:noProof/>
                <w:webHidden/>
              </w:rPr>
            </w:r>
            <w:r w:rsidR="00DB310C">
              <w:rPr>
                <w:noProof/>
                <w:webHidden/>
              </w:rPr>
              <w:fldChar w:fldCharType="separate"/>
            </w:r>
            <w:r w:rsidR="00DB310C">
              <w:rPr>
                <w:noProof/>
                <w:webHidden/>
              </w:rPr>
              <w:t>47</w:t>
            </w:r>
            <w:r w:rsidR="00DB310C">
              <w:rPr>
                <w:noProof/>
                <w:webHidden/>
              </w:rPr>
              <w:fldChar w:fldCharType="end"/>
            </w:r>
          </w:hyperlink>
        </w:p>
        <w:p w14:paraId="7F566743" w14:textId="77777777" w:rsidR="00CD60F8" w:rsidRPr="00970766" w:rsidRDefault="00CD60F8">
          <w:pPr>
            <w:rPr>
              <w:rFonts w:ascii="Arial Narrow" w:hAnsi="Arial Narrow"/>
            </w:rPr>
          </w:pPr>
          <w:r w:rsidRPr="00970766">
            <w:rPr>
              <w:rFonts w:ascii="Arial Narrow" w:hAnsi="Arial Narrow"/>
              <w:b/>
              <w:bCs/>
            </w:rPr>
            <w:fldChar w:fldCharType="end"/>
          </w:r>
        </w:p>
      </w:sdtContent>
    </w:sdt>
    <w:p w14:paraId="30C47924" w14:textId="77777777" w:rsidR="00CD60F8" w:rsidRPr="00970766" w:rsidRDefault="00CD60F8">
      <w:pPr>
        <w:rPr>
          <w:rFonts w:ascii="Arial" w:eastAsia="Calibri" w:hAnsi="Arial" w:cs="Arial"/>
          <w:b/>
          <w:bCs/>
          <w:caps/>
          <w:noProof/>
          <w:sz w:val="20"/>
          <w:szCs w:val="20"/>
          <w:u w:val="single"/>
        </w:rPr>
      </w:pPr>
    </w:p>
    <w:p w14:paraId="7C682108" w14:textId="77777777" w:rsidR="00CD60F8" w:rsidRPr="00970766" w:rsidRDefault="00CD60F8">
      <w:pPr>
        <w:rPr>
          <w:rFonts w:ascii="Arial" w:eastAsia="Calibri" w:hAnsi="Arial" w:cs="Arial"/>
          <w:b/>
          <w:bCs/>
          <w:caps/>
          <w:noProof/>
          <w:sz w:val="20"/>
          <w:szCs w:val="20"/>
          <w:u w:val="single"/>
        </w:rPr>
      </w:pPr>
      <w:r w:rsidRPr="00970766">
        <w:rPr>
          <w:rFonts w:ascii="Arial" w:eastAsia="Calibri" w:hAnsi="Arial" w:cs="Arial"/>
          <w:b/>
          <w:bCs/>
          <w:caps/>
          <w:noProof/>
          <w:sz w:val="20"/>
          <w:szCs w:val="20"/>
          <w:u w:val="single"/>
        </w:rPr>
        <w:br w:type="page"/>
      </w:r>
    </w:p>
    <w:p w14:paraId="41C830A2" w14:textId="77777777" w:rsidR="00AE31FA" w:rsidRPr="00970766" w:rsidRDefault="00AE31FA" w:rsidP="00AE31FA">
      <w:pPr>
        <w:rPr>
          <w:rFonts w:ascii="Arial" w:eastAsia="Calibri" w:hAnsi="Arial" w:cs="Arial"/>
          <w:b/>
          <w:bCs/>
          <w:caps/>
          <w:noProof/>
          <w:sz w:val="20"/>
          <w:szCs w:val="20"/>
          <w:u w:val="single"/>
        </w:rPr>
      </w:pPr>
      <w:r w:rsidRPr="00970766">
        <w:rPr>
          <w:rFonts w:ascii="Arial" w:eastAsia="Calibri" w:hAnsi="Arial" w:cs="Arial"/>
          <w:b/>
          <w:bCs/>
          <w:caps/>
          <w:noProof/>
          <w:sz w:val="20"/>
          <w:szCs w:val="20"/>
          <w:u w:val="single"/>
        </w:rPr>
        <w:lastRenderedPageBreak/>
        <w:t>ABREVIATIONS</w:t>
      </w:r>
    </w:p>
    <w:tbl>
      <w:tblPr>
        <w:tblStyle w:val="Grilledutableau"/>
        <w:tblW w:w="0" w:type="auto"/>
        <w:tblLook w:val="04A0" w:firstRow="1" w:lastRow="0" w:firstColumn="1" w:lastColumn="0" w:noHBand="0" w:noVBand="1"/>
      </w:tblPr>
      <w:tblGrid>
        <w:gridCol w:w="4492"/>
        <w:gridCol w:w="4570"/>
      </w:tblGrid>
      <w:tr w:rsidR="0063665D" w:rsidRPr="00970766" w14:paraId="6F631158" w14:textId="77777777" w:rsidTr="002169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2" w:type="dxa"/>
          </w:tcPr>
          <w:p w14:paraId="37FE9317" w14:textId="77777777" w:rsidR="0063665D" w:rsidRPr="00970766" w:rsidRDefault="0063665D" w:rsidP="00DF5991">
            <w:pPr>
              <w:spacing w:after="160" w:line="259" w:lineRule="auto"/>
              <w:rPr>
                <w:rFonts w:cs="Arial"/>
                <w:b w:val="0"/>
                <w:bCs/>
                <w:color w:val="000000"/>
                <w:sz w:val="20"/>
                <w:szCs w:val="20"/>
                <w:lang w:eastAsia="zh-CN"/>
              </w:rPr>
            </w:pPr>
            <w:r w:rsidRPr="00970766">
              <w:rPr>
                <w:rFonts w:cs="Arial"/>
                <w:bCs/>
                <w:color w:val="000000"/>
                <w:sz w:val="20"/>
                <w:szCs w:val="20"/>
                <w:lang w:eastAsia="zh-CN"/>
              </w:rPr>
              <w:t>AAC</w:t>
            </w:r>
          </w:p>
        </w:tc>
        <w:tc>
          <w:tcPr>
            <w:tcW w:w="4570" w:type="dxa"/>
            <w:shd w:val="clear" w:color="auto" w:fill="auto"/>
          </w:tcPr>
          <w:p w14:paraId="3C5DA3D6" w14:textId="77777777" w:rsidR="0063665D" w:rsidRPr="002169B7" w:rsidRDefault="0063665D" w:rsidP="00DF5991">
            <w:pPr>
              <w:adjustRightInd w:val="0"/>
              <w:cnfStyle w:val="100000000000" w:firstRow="1" w:lastRow="0" w:firstColumn="0" w:lastColumn="0" w:oddVBand="0" w:evenVBand="0" w:oddHBand="0" w:evenHBand="0" w:firstRowFirstColumn="0" w:firstRowLastColumn="0" w:lastRowFirstColumn="0" w:lastRowLastColumn="0"/>
              <w:rPr>
                <w:rFonts w:cs="Arial"/>
                <w:b w:val="0"/>
                <w:color w:val="000000"/>
                <w:sz w:val="20"/>
                <w:szCs w:val="20"/>
                <w:lang w:eastAsia="zh-CN"/>
              </w:rPr>
            </w:pPr>
            <w:r w:rsidRPr="004E3C7E">
              <w:rPr>
                <w:rFonts w:cs="Arial"/>
                <w:color w:val="000000"/>
                <w:sz w:val="20"/>
                <w:szCs w:val="20"/>
                <w:lang w:eastAsia="zh-CN"/>
              </w:rPr>
              <w:t>Autorisation d’accès compassionnel</w:t>
            </w:r>
          </w:p>
        </w:tc>
      </w:tr>
      <w:tr w:rsidR="0063665D" w:rsidRPr="00970766" w14:paraId="7C6041DF" w14:textId="77777777" w:rsidTr="002169B7">
        <w:tc>
          <w:tcPr>
            <w:cnfStyle w:val="001000000000" w:firstRow="0" w:lastRow="0" w:firstColumn="1" w:lastColumn="0" w:oddVBand="0" w:evenVBand="0" w:oddHBand="0" w:evenHBand="0" w:firstRowFirstColumn="0" w:firstRowLastColumn="0" w:lastRowFirstColumn="0" w:lastRowLastColumn="0"/>
            <w:tcW w:w="4492" w:type="dxa"/>
          </w:tcPr>
          <w:p w14:paraId="469D5D8C" w14:textId="77777777" w:rsidR="0063665D" w:rsidRPr="00970766" w:rsidRDefault="0063665D" w:rsidP="00DF5991">
            <w:pPr>
              <w:spacing w:after="160" w:line="259" w:lineRule="auto"/>
              <w:rPr>
                <w:rFonts w:cs="Arial"/>
                <w:b w:val="0"/>
                <w:bCs/>
                <w:color w:val="000000"/>
                <w:sz w:val="20"/>
                <w:szCs w:val="20"/>
                <w:lang w:eastAsia="zh-CN"/>
              </w:rPr>
            </w:pPr>
            <w:r w:rsidRPr="00970766">
              <w:rPr>
                <w:rFonts w:cs="Arial"/>
                <w:bCs/>
                <w:color w:val="000000"/>
                <w:sz w:val="20"/>
                <w:szCs w:val="20"/>
                <w:lang w:eastAsia="zh-CN"/>
              </w:rPr>
              <w:t>AAP</w:t>
            </w:r>
          </w:p>
        </w:tc>
        <w:tc>
          <w:tcPr>
            <w:tcW w:w="4570" w:type="dxa"/>
          </w:tcPr>
          <w:p w14:paraId="1E1A9203" w14:textId="77777777" w:rsidR="0063665D" w:rsidRPr="00970766" w:rsidRDefault="0063665D" w:rsidP="00DF5991">
            <w:pPr>
              <w:adjustRightInd w:val="0"/>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zh-CN"/>
              </w:rPr>
            </w:pPr>
            <w:r w:rsidRPr="00970766">
              <w:rPr>
                <w:rFonts w:cs="Arial"/>
                <w:color w:val="000000"/>
                <w:sz w:val="20"/>
                <w:szCs w:val="20"/>
                <w:lang w:eastAsia="zh-CN"/>
              </w:rPr>
              <w:t>Autorisation d’accès précoce</w:t>
            </w:r>
          </w:p>
        </w:tc>
      </w:tr>
      <w:tr w:rsidR="0063665D" w:rsidRPr="00970766" w14:paraId="3761B525" w14:textId="77777777" w:rsidTr="002169B7">
        <w:tc>
          <w:tcPr>
            <w:cnfStyle w:val="001000000000" w:firstRow="0" w:lastRow="0" w:firstColumn="1" w:lastColumn="0" w:oddVBand="0" w:evenVBand="0" w:oddHBand="0" w:evenHBand="0" w:firstRowFirstColumn="0" w:firstRowLastColumn="0" w:lastRowFirstColumn="0" w:lastRowLastColumn="0"/>
            <w:tcW w:w="4492" w:type="dxa"/>
          </w:tcPr>
          <w:p w14:paraId="13CBFE7A" w14:textId="77777777" w:rsidR="0063665D" w:rsidRPr="00970766" w:rsidRDefault="0063665D" w:rsidP="00DF5991">
            <w:pPr>
              <w:spacing w:after="160" w:line="259" w:lineRule="auto"/>
              <w:rPr>
                <w:rFonts w:cs="Arial"/>
                <w:sz w:val="20"/>
                <w:szCs w:val="20"/>
              </w:rPr>
            </w:pPr>
            <w:r w:rsidRPr="00970766">
              <w:rPr>
                <w:rFonts w:cs="Arial"/>
                <w:bCs/>
                <w:color w:val="000000"/>
                <w:sz w:val="20"/>
                <w:szCs w:val="20"/>
                <w:lang w:eastAsia="zh-CN"/>
              </w:rPr>
              <w:t>AMM</w:t>
            </w:r>
          </w:p>
        </w:tc>
        <w:tc>
          <w:tcPr>
            <w:tcW w:w="4570" w:type="dxa"/>
          </w:tcPr>
          <w:p w14:paraId="13EE488B" w14:textId="77777777" w:rsidR="0063665D" w:rsidRPr="00970766" w:rsidRDefault="0063665D" w:rsidP="00DF5991">
            <w:pPr>
              <w:adjustRightInd w:val="0"/>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zh-CN"/>
              </w:rPr>
            </w:pPr>
            <w:r w:rsidRPr="00970766">
              <w:rPr>
                <w:rFonts w:cs="Arial"/>
                <w:color w:val="000000"/>
                <w:sz w:val="20"/>
                <w:szCs w:val="20"/>
                <w:lang w:eastAsia="zh-CN"/>
              </w:rPr>
              <w:t xml:space="preserve">Autorisation de Mise sur le Marché </w:t>
            </w:r>
          </w:p>
        </w:tc>
      </w:tr>
      <w:tr w:rsidR="0063665D" w:rsidRPr="00970766" w14:paraId="565CD174" w14:textId="77777777" w:rsidTr="002169B7">
        <w:tc>
          <w:tcPr>
            <w:cnfStyle w:val="001000000000" w:firstRow="0" w:lastRow="0" w:firstColumn="1" w:lastColumn="0" w:oddVBand="0" w:evenVBand="0" w:oddHBand="0" w:evenHBand="0" w:firstRowFirstColumn="0" w:firstRowLastColumn="0" w:lastRowFirstColumn="0" w:lastRowLastColumn="0"/>
            <w:tcW w:w="4492" w:type="dxa"/>
          </w:tcPr>
          <w:p w14:paraId="3A6F0C35" w14:textId="77777777" w:rsidR="0063665D" w:rsidRPr="00970766" w:rsidRDefault="0063665D" w:rsidP="00DF5991">
            <w:pPr>
              <w:adjustRightInd w:val="0"/>
              <w:rPr>
                <w:rFonts w:cs="Arial"/>
                <w:b w:val="0"/>
                <w:bCs/>
                <w:color w:val="000000"/>
                <w:sz w:val="20"/>
                <w:szCs w:val="20"/>
                <w:lang w:eastAsia="zh-CN"/>
              </w:rPr>
            </w:pPr>
            <w:r w:rsidRPr="00970766">
              <w:rPr>
                <w:rFonts w:cs="Arial"/>
                <w:bCs/>
                <w:color w:val="000000"/>
                <w:sz w:val="20"/>
                <w:szCs w:val="20"/>
                <w:lang w:eastAsia="zh-CN"/>
              </w:rPr>
              <w:t xml:space="preserve">ANSM </w:t>
            </w:r>
          </w:p>
        </w:tc>
        <w:tc>
          <w:tcPr>
            <w:tcW w:w="4570" w:type="dxa"/>
          </w:tcPr>
          <w:p w14:paraId="513416D5" w14:textId="77777777" w:rsidR="0063665D" w:rsidRPr="00970766" w:rsidRDefault="0063665D" w:rsidP="00DF5991">
            <w:pPr>
              <w:adjustRightInd w:val="0"/>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zh-CN"/>
              </w:rPr>
            </w:pPr>
            <w:r w:rsidRPr="00970766">
              <w:rPr>
                <w:rFonts w:cs="Arial"/>
                <w:color w:val="000000"/>
                <w:sz w:val="20"/>
                <w:szCs w:val="20"/>
                <w:lang w:eastAsia="zh-CN"/>
              </w:rPr>
              <w:t>Agence Nationale de Sécurité du Médicament et des produits de santé</w:t>
            </w:r>
          </w:p>
        </w:tc>
      </w:tr>
      <w:tr w:rsidR="0063665D" w:rsidRPr="00970766" w14:paraId="784C5237" w14:textId="77777777" w:rsidTr="002169B7">
        <w:tc>
          <w:tcPr>
            <w:cnfStyle w:val="001000000000" w:firstRow="0" w:lastRow="0" w:firstColumn="1" w:lastColumn="0" w:oddVBand="0" w:evenVBand="0" w:oddHBand="0" w:evenHBand="0" w:firstRowFirstColumn="0" w:firstRowLastColumn="0" w:lastRowFirstColumn="0" w:lastRowLastColumn="0"/>
            <w:tcW w:w="4492" w:type="dxa"/>
          </w:tcPr>
          <w:p w14:paraId="41DC3472" w14:textId="77777777" w:rsidR="0063665D" w:rsidRPr="00970766" w:rsidRDefault="0063665D" w:rsidP="00DF5991">
            <w:pPr>
              <w:adjustRightInd w:val="0"/>
              <w:rPr>
                <w:rFonts w:cs="Arial"/>
                <w:b w:val="0"/>
                <w:bCs/>
                <w:color w:val="000000"/>
                <w:sz w:val="20"/>
                <w:szCs w:val="20"/>
                <w:lang w:eastAsia="zh-CN"/>
              </w:rPr>
            </w:pPr>
            <w:r w:rsidRPr="00970766">
              <w:rPr>
                <w:rFonts w:cs="Arial"/>
                <w:bCs/>
                <w:color w:val="000000"/>
                <w:sz w:val="20"/>
                <w:szCs w:val="20"/>
                <w:lang w:eastAsia="zh-CN"/>
              </w:rPr>
              <w:t>BoNT/A</w:t>
            </w:r>
          </w:p>
        </w:tc>
        <w:tc>
          <w:tcPr>
            <w:tcW w:w="4570" w:type="dxa"/>
          </w:tcPr>
          <w:p w14:paraId="37D4C312" w14:textId="77777777" w:rsidR="0063665D" w:rsidRPr="00970766" w:rsidRDefault="0063665D" w:rsidP="00DF5991">
            <w:pPr>
              <w:adjustRightInd w:val="0"/>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zh-CN"/>
              </w:rPr>
            </w:pPr>
            <w:r w:rsidRPr="00970766">
              <w:rPr>
                <w:rFonts w:cs="Arial"/>
                <w:color w:val="000000"/>
                <w:sz w:val="20"/>
                <w:szCs w:val="20"/>
                <w:lang w:eastAsia="zh-CN"/>
              </w:rPr>
              <w:t>Toxine botulinique de type A</w:t>
            </w:r>
          </w:p>
        </w:tc>
      </w:tr>
      <w:tr w:rsidR="0063665D" w:rsidRPr="00970766" w14:paraId="5F0115EE" w14:textId="77777777" w:rsidTr="002169B7">
        <w:tc>
          <w:tcPr>
            <w:cnfStyle w:val="001000000000" w:firstRow="0" w:lastRow="0" w:firstColumn="1" w:lastColumn="0" w:oddVBand="0" w:evenVBand="0" w:oddHBand="0" w:evenHBand="0" w:firstRowFirstColumn="0" w:firstRowLastColumn="0" w:lastRowFirstColumn="0" w:lastRowLastColumn="0"/>
            <w:tcW w:w="4492" w:type="dxa"/>
          </w:tcPr>
          <w:p w14:paraId="22FB0F87" w14:textId="77777777" w:rsidR="0063665D" w:rsidRPr="00970766" w:rsidRDefault="0063665D" w:rsidP="00DF5991">
            <w:pPr>
              <w:adjustRightInd w:val="0"/>
              <w:rPr>
                <w:rFonts w:cs="Arial"/>
                <w:b w:val="0"/>
                <w:bCs/>
                <w:color w:val="000000"/>
                <w:sz w:val="20"/>
                <w:szCs w:val="20"/>
                <w:lang w:eastAsia="zh-CN"/>
              </w:rPr>
            </w:pPr>
            <w:r w:rsidRPr="00970766">
              <w:rPr>
                <w:rFonts w:cs="Arial"/>
                <w:bCs/>
                <w:color w:val="000000"/>
                <w:sz w:val="20"/>
                <w:szCs w:val="20"/>
                <w:lang w:eastAsia="zh-CN"/>
              </w:rPr>
              <w:t xml:space="preserve">CPC </w:t>
            </w:r>
          </w:p>
        </w:tc>
        <w:tc>
          <w:tcPr>
            <w:tcW w:w="4570" w:type="dxa"/>
          </w:tcPr>
          <w:p w14:paraId="148F7826" w14:textId="77777777" w:rsidR="0063665D" w:rsidRPr="00970766" w:rsidRDefault="0063665D" w:rsidP="00DF5991">
            <w:pPr>
              <w:adjustRightInd w:val="0"/>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zh-CN"/>
              </w:rPr>
            </w:pPr>
            <w:r w:rsidRPr="00970766">
              <w:rPr>
                <w:rFonts w:cs="Arial"/>
                <w:sz w:val="20"/>
                <w:szCs w:val="20"/>
              </w:rPr>
              <w:t>Cadre de Prescription Compassionnelle</w:t>
            </w:r>
          </w:p>
        </w:tc>
      </w:tr>
      <w:tr w:rsidR="0063665D" w:rsidRPr="00970766" w14:paraId="567D80B7" w14:textId="77777777" w:rsidTr="002169B7">
        <w:tc>
          <w:tcPr>
            <w:cnfStyle w:val="001000000000" w:firstRow="0" w:lastRow="0" w:firstColumn="1" w:lastColumn="0" w:oddVBand="0" w:evenVBand="0" w:oddHBand="0" w:evenHBand="0" w:firstRowFirstColumn="0" w:firstRowLastColumn="0" w:lastRowFirstColumn="0" w:lastRowLastColumn="0"/>
            <w:tcW w:w="4492" w:type="dxa"/>
          </w:tcPr>
          <w:p w14:paraId="47B33A48" w14:textId="77777777" w:rsidR="0063665D" w:rsidRPr="00970766" w:rsidRDefault="0063665D" w:rsidP="00DF5991">
            <w:pPr>
              <w:adjustRightInd w:val="0"/>
              <w:rPr>
                <w:rFonts w:cs="Arial"/>
                <w:b w:val="0"/>
                <w:bCs/>
                <w:color w:val="000000"/>
                <w:sz w:val="20"/>
                <w:szCs w:val="20"/>
                <w:lang w:eastAsia="zh-CN"/>
              </w:rPr>
            </w:pPr>
            <w:r w:rsidRPr="00970766">
              <w:rPr>
                <w:rFonts w:cs="Arial"/>
                <w:bCs/>
                <w:color w:val="000000"/>
                <w:sz w:val="20"/>
                <w:szCs w:val="20"/>
                <w:lang w:eastAsia="zh-CN"/>
              </w:rPr>
              <w:t xml:space="preserve">CRPV </w:t>
            </w:r>
          </w:p>
        </w:tc>
        <w:tc>
          <w:tcPr>
            <w:tcW w:w="4570" w:type="dxa"/>
          </w:tcPr>
          <w:p w14:paraId="41CFA86F" w14:textId="77777777" w:rsidR="0063665D" w:rsidRPr="00970766" w:rsidRDefault="0063665D" w:rsidP="00DF5991">
            <w:pPr>
              <w:adjustRightInd w:val="0"/>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zh-CN"/>
              </w:rPr>
            </w:pPr>
            <w:r w:rsidRPr="00970766">
              <w:rPr>
                <w:rFonts w:cs="Arial"/>
                <w:color w:val="000000"/>
                <w:sz w:val="20"/>
                <w:szCs w:val="20"/>
                <w:lang w:eastAsia="zh-CN"/>
              </w:rPr>
              <w:t xml:space="preserve">Centre Régional de Pharmacovigilance </w:t>
            </w:r>
          </w:p>
        </w:tc>
      </w:tr>
      <w:tr w:rsidR="004E3C7E" w:rsidRPr="00970766" w14:paraId="64C93717" w14:textId="77777777" w:rsidTr="002169B7">
        <w:tc>
          <w:tcPr>
            <w:cnfStyle w:val="001000000000" w:firstRow="0" w:lastRow="0" w:firstColumn="1" w:lastColumn="0" w:oddVBand="0" w:evenVBand="0" w:oddHBand="0" w:evenHBand="0" w:firstRowFirstColumn="0" w:firstRowLastColumn="0" w:lastRowFirstColumn="0" w:lastRowLastColumn="0"/>
            <w:tcW w:w="4492" w:type="dxa"/>
          </w:tcPr>
          <w:p w14:paraId="27BFD6E1" w14:textId="77777777" w:rsidR="004E3C7E" w:rsidRPr="00970766" w:rsidRDefault="004E3C7E" w:rsidP="00DF5991">
            <w:pPr>
              <w:adjustRightInd w:val="0"/>
              <w:rPr>
                <w:rFonts w:cs="Arial"/>
                <w:color w:val="000000"/>
                <w:sz w:val="20"/>
                <w:szCs w:val="20"/>
                <w:lang w:eastAsia="zh-CN"/>
              </w:rPr>
            </w:pPr>
            <w:r w:rsidRPr="00970766">
              <w:rPr>
                <w:rFonts w:cs="Arial"/>
                <w:sz w:val="20"/>
                <w:szCs w:val="20"/>
              </w:rPr>
              <w:t>DN4</w:t>
            </w:r>
          </w:p>
        </w:tc>
        <w:tc>
          <w:tcPr>
            <w:tcW w:w="4570" w:type="dxa"/>
            <w:shd w:val="clear" w:color="auto" w:fill="auto"/>
          </w:tcPr>
          <w:p w14:paraId="05A34CE2" w14:textId="77777777" w:rsidR="004E3C7E" w:rsidRPr="00970766" w:rsidRDefault="004E3C7E" w:rsidP="00DF5991">
            <w:pPr>
              <w:adjustRightInd w:val="0"/>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zh-CN"/>
              </w:rPr>
            </w:pPr>
            <w:r w:rsidRPr="00970766">
              <w:rPr>
                <w:rFonts w:cs="Arial"/>
                <w:sz w:val="20"/>
                <w:szCs w:val="20"/>
              </w:rPr>
              <w:t>Questionnaire Douleur Neuropathique 4</w:t>
            </w:r>
          </w:p>
        </w:tc>
      </w:tr>
      <w:tr w:rsidR="0063665D" w:rsidRPr="00970766" w14:paraId="1D8E893F" w14:textId="77777777" w:rsidTr="002169B7">
        <w:tc>
          <w:tcPr>
            <w:cnfStyle w:val="001000000000" w:firstRow="0" w:lastRow="0" w:firstColumn="1" w:lastColumn="0" w:oddVBand="0" w:evenVBand="0" w:oddHBand="0" w:evenHBand="0" w:firstRowFirstColumn="0" w:firstRowLastColumn="0" w:lastRowFirstColumn="0" w:lastRowLastColumn="0"/>
            <w:tcW w:w="4492" w:type="dxa"/>
          </w:tcPr>
          <w:p w14:paraId="16536804" w14:textId="77777777" w:rsidR="0063665D" w:rsidRPr="00970766" w:rsidRDefault="0063665D" w:rsidP="00DF5991">
            <w:pPr>
              <w:adjustRightInd w:val="0"/>
              <w:rPr>
                <w:rFonts w:cs="Arial"/>
                <w:b w:val="0"/>
                <w:color w:val="000000"/>
                <w:sz w:val="20"/>
                <w:szCs w:val="20"/>
                <w:lang w:eastAsia="zh-CN"/>
              </w:rPr>
            </w:pPr>
            <w:r w:rsidRPr="00970766">
              <w:rPr>
                <w:rFonts w:cs="Arial"/>
                <w:color w:val="000000"/>
                <w:sz w:val="20"/>
                <w:szCs w:val="20"/>
                <w:lang w:eastAsia="zh-CN"/>
              </w:rPr>
              <w:t xml:space="preserve">IC </w:t>
            </w:r>
          </w:p>
        </w:tc>
        <w:tc>
          <w:tcPr>
            <w:tcW w:w="4570" w:type="dxa"/>
          </w:tcPr>
          <w:p w14:paraId="18CA2232" w14:textId="77777777" w:rsidR="0063665D" w:rsidRPr="00970766" w:rsidRDefault="0063665D" w:rsidP="00DF5991">
            <w:pPr>
              <w:adjustRightInd w:val="0"/>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zh-CN"/>
              </w:rPr>
            </w:pPr>
            <w:r w:rsidRPr="00970766">
              <w:rPr>
                <w:rFonts w:cs="Arial"/>
                <w:color w:val="000000"/>
                <w:sz w:val="20"/>
                <w:szCs w:val="20"/>
                <w:lang w:eastAsia="zh-CN"/>
              </w:rPr>
              <w:t>Intervalle de confiance</w:t>
            </w:r>
          </w:p>
        </w:tc>
      </w:tr>
      <w:tr w:rsidR="0063665D" w:rsidRPr="00970766" w14:paraId="25B00F51" w14:textId="77777777" w:rsidTr="002169B7">
        <w:tc>
          <w:tcPr>
            <w:cnfStyle w:val="001000000000" w:firstRow="0" w:lastRow="0" w:firstColumn="1" w:lastColumn="0" w:oddVBand="0" w:evenVBand="0" w:oddHBand="0" w:evenHBand="0" w:firstRowFirstColumn="0" w:firstRowLastColumn="0" w:lastRowFirstColumn="0" w:lastRowLastColumn="0"/>
            <w:tcW w:w="4492" w:type="dxa"/>
          </w:tcPr>
          <w:p w14:paraId="0033E865" w14:textId="77777777" w:rsidR="0063665D" w:rsidRPr="00970766" w:rsidRDefault="0063665D" w:rsidP="00DF5991">
            <w:pPr>
              <w:adjustRightInd w:val="0"/>
              <w:rPr>
                <w:rFonts w:cs="Arial"/>
                <w:b w:val="0"/>
                <w:color w:val="000000"/>
                <w:sz w:val="20"/>
                <w:szCs w:val="20"/>
                <w:lang w:eastAsia="zh-CN"/>
              </w:rPr>
            </w:pPr>
            <w:r w:rsidRPr="00970766">
              <w:rPr>
                <w:rFonts w:cs="Arial"/>
                <w:color w:val="000000"/>
                <w:sz w:val="20"/>
                <w:szCs w:val="20"/>
                <w:lang w:eastAsia="zh-CN"/>
              </w:rPr>
              <w:t>IRSNA</w:t>
            </w:r>
          </w:p>
        </w:tc>
        <w:tc>
          <w:tcPr>
            <w:tcW w:w="4570" w:type="dxa"/>
          </w:tcPr>
          <w:p w14:paraId="62670823" w14:textId="77777777" w:rsidR="0063665D" w:rsidRPr="00970766" w:rsidRDefault="0063665D" w:rsidP="00DF5991">
            <w:pPr>
              <w:adjustRightInd w:val="0"/>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zh-CN"/>
              </w:rPr>
            </w:pPr>
            <w:r w:rsidRPr="00970766">
              <w:rPr>
                <w:rFonts w:cs="Arial"/>
                <w:color w:val="000000"/>
                <w:sz w:val="20"/>
                <w:szCs w:val="20"/>
                <w:lang w:eastAsia="zh-CN"/>
              </w:rPr>
              <w:t>Inhibiteurs de la recapture de la sérotonine et de la noradrénaline</w:t>
            </w:r>
          </w:p>
        </w:tc>
      </w:tr>
      <w:tr w:rsidR="0063665D" w:rsidRPr="00970766" w14:paraId="6E9F5179" w14:textId="77777777" w:rsidTr="002169B7">
        <w:tc>
          <w:tcPr>
            <w:cnfStyle w:val="001000000000" w:firstRow="0" w:lastRow="0" w:firstColumn="1" w:lastColumn="0" w:oddVBand="0" w:evenVBand="0" w:oddHBand="0" w:evenHBand="0" w:firstRowFirstColumn="0" w:firstRowLastColumn="0" w:lastRowFirstColumn="0" w:lastRowLastColumn="0"/>
            <w:tcW w:w="4492" w:type="dxa"/>
          </w:tcPr>
          <w:p w14:paraId="6E486E2A" w14:textId="77777777" w:rsidR="0063665D" w:rsidRPr="00970766" w:rsidRDefault="0063665D" w:rsidP="00DF5991">
            <w:pPr>
              <w:adjustRightInd w:val="0"/>
              <w:rPr>
                <w:rFonts w:cs="Arial"/>
                <w:b w:val="0"/>
                <w:color w:val="000000"/>
                <w:sz w:val="20"/>
                <w:szCs w:val="20"/>
                <w:lang w:eastAsia="zh-CN"/>
              </w:rPr>
            </w:pPr>
            <w:r w:rsidRPr="00970766">
              <w:rPr>
                <w:rFonts w:cs="Arial"/>
                <w:color w:val="000000"/>
                <w:sz w:val="20"/>
                <w:szCs w:val="20"/>
                <w:lang w:eastAsia="zh-CN"/>
              </w:rPr>
              <w:t>NNT</w:t>
            </w:r>
          </w:p>
        </w:tc>
        <w:tc>
          <w:tcPr>
            <w:tcW w:w="4570" w:type="dxa"/>
          </w:tcPr>
          <w:p w14:paraId="6BB735FE" w14:textId="77777777" w:rsidR="0063665D" w:rsidRPr="00970766" w:rsidRDefault="0063665D" w:rsidP="00DF5991">
            <w:pPr>
              <w:adjustRightInd w:val="0"/>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zh-CN"/>
              </w:rPr>
            </w:pPr>
            <w:r w:rsidRPr="00970766">
              <w:rPr>
                <w:rFonts w:cs="Arial"/>
                <w:color w:val="000000"/>
                <w:sz w:val="20"/>
                <w:szCs w:val="20"/>
                <w:lang w:eastAsia="zh-CN"/>
              </w:rPr>
              <w:t>Number Needed to Treat (nombre de sujets à traiter)</w:t>
            </w:r>
          </w:p>
        </w:tc>
      </w:tr>
      <w:tr w:rsidR="0063665D" w:rsidRPr="00970766" w14:paraId="44C86CD2" w14:textId="77777777" w:rsidTr="002169B7">
        <w:tc>
          <w:tcPr>
            <w:cnfStyle w:val="001000000000" w:firstRow="0" w:lastRow="0" w:firstColumn="1" w:lastColumn="0" w:oddVBand="0" w:evenVBand="0" w:oddHBand="0" w:evenHBand="0" w:firstRowFirstColumn="0" w:firstRowLastColumn="0" w:lastRowFirstColumn="0" w:lastRowLastColumn="0"/>
            <w:tcW w:w="4492" w:type="dxa"/>
          </w:tcPr>
          <w:p w14:paraId="71058710" w14:textId="77777777" w:rsidR="0063665D" w:rsidRPr="00970766" w:rsidRDefault="0063665D" w:rsidP="00DF5991">
            <w:pPr>
              <w:rPr>
                <w:rFonts w:cs="Arial"/>
                <w:b w:val="0"/>
                <w:sz w:val="20"/>
                <w:szCs w:val="20"/>
              </w:rPr>
            </w:pPr>
            <w:r w:rsidRPr="00970766">
              <w:rPr>
                <w:rFonts w:cs="Arial"/>
                <w:sz w:val="20"/>
                <w:szCs w:val="20"/>
              </w:rPr>
              <w:t>PUT-SP </w:t>
            </w:r>
          </w:p>
        </w:tc>
        <w:tc>
          <w:tcPr>
            <w:tcW w:w="4570" w:type="dxa"/>
          </w:tcPr>
          <w:p w14:paraId="7C1B779B" w14:textId="77777777" w:rsidR="0063665D" w:rsidRPr="00970766" w:rsidRDefault="0063665D" w:rsidP="00DF5991">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970766">
              <w:rPr>
                <w:rFonts w:cs="Arial"/>
                <w:sz w:val="20"/>
                <w:szCs w:val="20"/>
              </w:rPr>
              <w:t>Protocole d’utilisation thérapeutique et de suivi des patients</w:t>
            </w:r>
          </w:p>
        </w:tc>
      </w:tr>
      <w:tr w:rsidR="0063665D" w:rsidRPr="00970766" w14:paraId="3890F187" w14:textId="77777777" w:rsidTr="002169B7">
        <w:tc>
          <w:tcPr>
            <w:cnfStyle w:val="001000000000" w:firstRow="0" w:lastRow="0" w:firstColumn="1" w:lastColumn="0" w:oddVBand="0" w:evenVBand="0" w:oddHBand="0" w:evenHBand="0" w:firstRowFirstColumn="0" w:firstRowLastColumn="0" w:lastRowFirstColumn="0" w:lastRowLastColumn="0"/>
            <w:tcW w:w="4492" w:type="dxa"/>
          </w:tcPr>
          <w:p w14:paraId="58038356" w14:textId="77777777" w:rsidR="0063665D" w:rsidRPr="00970766" w:rsidRDefault="0063665D" w:rsidP="00DF5991">
            <w:pPr>
              <w:spacing w:after="160" w:line="259" w:lineRule="auto"/>
              <w:rPr>
                <w:rFonts w:cs="Arial"/>
                <w:sz w:val="20"/>
                <w:szCs w:val="20"/>
              </w:rPr>
            </w:pPr>
            <w:r w:rsidRPr="00970766">
              <w:rPr>
                <w:rFonts w:cs="Arial"/>
                <w:bCs/>
                <w:color w:val="000000"/>
                <w:sz w:val="20"/>
                <w:szCs w:val="20"/>
                <w:lang w:eastAsia="zh-CN"/>
              </w:rPr>
              <w:t>RCP</w:t>
            </w:r>
          </w:p>
        </w:tc>
        <w:tc>
          <w:tcPr>
            <w:tcW w:w="4570" w:type="dxa"/>
          </w:tcPr>
          <w:p w14:paraId="19D26C49" w14:textId="77777777" w:rsidR="0063665D" w:rsidRPr="00970766" w:rsidRDefault="0063665D" w:rsidP="00DF5991">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970766">
              <w:rPr>
                <w:rFonts w:cs="Arial"/>
                <w:color w:val="000000"/>
                <w:sz w:val="20"/>
                <w:szCs w:val="20"/>
                <w:lang w:eastAsia="zh-CN"/>
              </w:rPr>
              <w:t>Résumé des Caractéristiques du Produit</w:t>
            </w:r>
          </w:p>
        </w:tc>
      </w:tr>
      <w:tr w:rsidR="0063665D" w:rsidRPr="00970766" w14:paraId="36EF2307" w14:textId="77777777" w:rsidTr="002169B7">
        <w:tc>
          <w:tcPr>
            <w:cnfStyle w:val="001000000000" w:firstRow="0" w:lastRow="0" w:firstColumn="1" w:lastColumn="0" w:oddVBand="0" w:evenVBand="0" w:oddHBand="0" w:evenHBand="0" w:firstRowFirstColumn="0" w:firstRowLastColumn="0" w:lastRowFirstColumn="0" w:lastRowLastColumn="0"/>
            <w:tcW w:w="4492" w:type="dxa"/>
          </w:tcPr>
          <w:p w14:paraId="2B8EAD0C" w14:textId="77777777" w:rsidR="0063665D" w:rsidRPr="00970766" w:rsidRDefault="0063665D" w:rsidP="00DF5991">
            <w:pPr>
              <w:spacing w:after="160" w:line="259" w:lineRule="auto"/>
              <w:rPr>
                <w:rFonts w:cs="Arial"/>
                <w:b w:val="0"/>
                <w:bCs/>
                <w:color w:val="000000"/>
                <w:sz w:val="20"/>
                <w:szCs w:val="20"/>
                <w:lang w:eastAsia="zh-CN"/>
              </w:rPr>
            </w:pPr>
            <w:r w:rsidRPr="00970766">
              <w:rPr>
                <w:rFonts w:cs="Arial"/>
                <w:bCs/>
                <w:color w:val="000000"/>
                <w:sz w:val="20"/>
                <w:szCs w:val="20"/>
                <w:lang w:eastAsia="zh-CN"/>
              </w:rPr>
              <w:t>RGPD</w:t>
            </w:r>
          </w:p>
        </w:tc>
        <w:tc>
          <w:tcPr>
            <w:tcW w:w="4570" w:type="dxa"/>
          </w:tcPr>
          <w:p w14:paraId="1B917982" w14:textId="77777777" w:rsidR="0063665D" w:rsidRPr="00970766" w:rsidRDefault="0063665D" w:rsidP="00DF5991">
            <w:pPr>
              <w:spacing w:after="160" w:line="259" w:lineRule="auto"/>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zh-CN"/>
              </w:rPr>
            </w:pPr>
            <w:r w:rsidRPr="00970766">
              <w:rPr>
                <w:rFonts w:cs="Arial"/>
                <w:color w:val="000000"/>
                <w:sz w:val="20"/>
                <w:szCs w:val="20"/>
                <w:lang w:eastAsia="zh-CN"/>
              </w:rPr>
              <w:t>Règlement Général sur la Protection des Données</w:t>
            </w:r>
          </w:p>
        </w:tc>
      </w:tr>
      <w:tr w:rsidR="0063665D" w:rsidRPr="00970766" w14:paraId="7C6ABC4A" w14:textId="77777777" w:rsidTr="002169B7">
        <w:tc>
          <w:tcPr>
            <w:cnfStyle w:val="001000000000" w:firstRow="0" w:lastRow="0" w:firstColumn="1" w:lastColumn="0" w:oddVBand="0" w:evenVBand="0" w:oddHBand="0" w:evenHBand="0" w:firstRowFirstColumn="0" w:firstRowLastColumn="0" w:lastRowFirstColumn="0" w:lastRowLastColumn="0"/>
            <w:tcW w:w="4492" w:type="dxa"/>
          </w:tcPr>
          <w:p w14:paraId="0F1FA33B" w14:textId="77777777" w:rsidR="0063665D" w:rsidRPr="00970766" w:rsidRDefault="0063665D" w:rsidP="00DF5991">
            <w:pPr>
              <w:spacing w:after="160" w:line="259" w:lineRule="auto"/>
              <w:rPr>
                <w:rFonts w:cs="Arial"/>
                <w:b w:val="0"/>
                <w:sz w:val="20"/>
                <w:szCs w:val="20"/>
              </w:rPr>
            </w:pPr>
            <w:r w:rsidRPr="00970766">
              <w:rPr>
                <w:rFonts w:cs="Arial"/>
                <w:sz w:val="20"/>
                <w:szCs w:val="20"/>
              </w:rPr>
              <w:t>PSUR</w:t>
            </w:r>
          </w:p>
        </w:tc>
        <w:tc>
          <w:tcPr>
            <w:tcW w:w="4570" w:type="dxa"/>
          </w:tcPr>
          <w:p w14:paraId="4BC5C030" w14:textId="77777777" w:rsidR="0063665D" w:rsidRPr="00970766" w:rsidRDefault="0063665D" w:rsidP="00DF5991">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970766">
              <w:rPr>
                <w:rFonts w:cs="Arial"/>
                <w:sz w:val="20"/>
                <w:szCs w:val="20"/>
              </w:rPr>
              <w:t>Periodic safety update report (rapport périodique actualisé relatif à la sécurité)</w:t>
            </w:r>
          </w:p>
        </w:tc>
      </w:tr>
      <w:tr w:rsidR="0063665D" w:rsidRPr="00970766" w14:paraId="7EFEC32C" w14:textId="77777777" w:rsidTr="002169B7">
        <w:tc>
          <w:tcPr>
            <w:cnfStyle w:val="001000000000" w:firstRow="0" w:lastRow="0" w:firstColumn="1" w:lastColumn="0" w:oddVBand="0" w:evenVBand="0" w:oddHBand="0" w:evenHBand="0" w:firstRowFirstColumn="0" w:firstRowLastColumn="0" w:lastRowFirstColumn="0" w:lastRowLastColumn="0"/>
            <w:tcW w:w="4492" w:type="dxa"/>
          </w:tcPr>
          <w:p w14:paraId="25C64E55" w14:textId="77777777" w:rsidR="0063665D" w:rsidRPr="00970766" w:rsidRDefault="0063665D" w:rsidP="00DF5991">
            <w:pPr>
              <w:spacing w:after="160" w:line="259" w:lineRule="auto"/>
              <w:rPr>
                <w:rFonts w:cs="Arial"/>
                <w:b w:val="0"/>
                <w:sz w:val="20"/>
                <w:szCs w:val="20"/>
              </w:rPr>
            </w:pPr>
            <w:r w:rsidRPr="00970766">
              <w:rPr>
                <w:rFonts w:cs="Arial"/>
                <w:sz w:val="20"/>
                <w:szCs w:val="20"/>
              </w:rPr>
              <w:t>SNC</w:t>
            </w:r>
          </w:p>
        </w:tc>
        <w:tc>
          <w:tcPr>
            <w:tcW w:w="4570" w:type="dxa"/>
          </w:tcPr>
          <w:p w14:paraId="43B7D8A3" w14:textId="77777777" w:rsidR="0063665D" w:rsidRPr="00970766" w:rsidRDefault="0063665D" w:rsidP="00DF5991">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970766">
              <w:rPr>
                <w:rFonts w:cs="Arial"/>
                <w:sz w:val="20"/>
                <w:szCs w:val="20"/>
              </w:rPr>
              <w:t>Système nerveux central</w:t>
            </w:r>
          </w:p>
        </w:tc>
      </w:tr>
    </w:tbl>
    <w:p w14:paraId="0E9266A6" w14:textId="77777777" w:rsidR="00AE31FA" w:rsidRPr="00970766" w:rsidRDefault="00AE31FA">
      <w:pPr>
        <w:rPr>
          <w:rFonts w:ascii="Arial" w:hAnsi="Arial" w:cs="Arial"/>
          <w:sz w:val="20"/>
          <w:szCs w:val="20"/>
        </w:rPr>
      </w:pPr>
      <w:r w:rsidRPr="00970766">
        <w:rPr>
          <w:rFonts w:ascii="Arial" w:hAnsi="Arial" w:cs="Arial"/>
          <w:sz w:val="20"/>
          <w:szCs w:val="20"/>
        </w:rPr>
        <w:br w:type="page"/>
      </w:r>
    </w:p>
    <w:p w14:paraId="2178A4EE" w14:textId="77777777" w:rsidR="00AE31FA" w:rsidRPr="00970766" w:rsidRDefault="00AE31FA" w:rsidP="00AE31FA">
      <w:pPr>
        <w:jc w:val="center"/>
        <w:rPr>
          <w:rFonts w:ascii="Arial Narrow" w:hAnsi="Arial Narrow"/>
          <w:b/>
          <w:sz w:val="28"/>
          <w:szCs w:val="28"/>
        </w:rPr>
      </w:pPr>
      <w:r w:rsidRPr="00970766">
        <w:rPr>
          <w:rFonts w:ascii="Arial Narrow" w:hAnsi="Arial Narrow"/>
          <w:b/>
          <w:sz w:val="28"/>
          <w:szCs w:val="28"/>
        </w:rPr>
        <w:lastRenderedPageBreak/>
        <w:t>LE CADRE DE PRESCRIPTION COMPASSIONNELLE</w:t>
      </w:r>
    </w:p>
    <w:p w14:paraId="2C5C01E6" w14:textId="77777777" w:rsidR="00AE31FA" w:rsidRPr="00970766" w:rsidRDefault="00AE31FA" w:rsidP="00AE31FA">
      <w:pPr>
        <w:rPr>
          <w:b/>
        </w:rPr>
      </w:pPr>
    </w:p>
    <w:p w14:paraId="60C19A50" w14:textId="2B59FB52" w:rsidR="00AE31FA" w:rsidRPr="00970766" w:rsidRDefault="00AE31FA" w:rsidP="00DF5991">
      <w:pPr>
        <w:spacing w:after="0" w:line="240" w:lineRule="auto"/>
        <w:jc w:val="both"/>
        <w:rPr>
          <w:rStyle w:val="Mention1"/>
          <w:rFonts w:eastAsiaTheme="minorEastAsia"/>
          <w:color w:val="auto"/>
          <w:lang w:eastAsia="fr-FR"/>
        </w:rPr>
      </w:pPr>
      <w:r w:rsidRPr="00970766">
        <w:rPr>
          <w:rStyle w:val="Mention1"/>
          <w:rFonts w:eastAsiaTheme="minorEastAsia"/>
          <w:color w:val="auto"/>
          <w:lang w:eastAsia="fr-FR"/>
        </w:rPr>
        <w:t xml:space="preserve">Le cadre de prescription compassionnelle (CPC) est une procédure dérogatoire exceptionnelle prévue </w:t>
      </w:r>
      <w:r w:rsidR="00434D0F" w:rsidRPr="00970766">
        <w:rPr>
          <w:rStyle w:val="Mention1"/>
          <w:rFonts w:eastAsiaTheme="minorEastAsia"/>
          <w:color w:val="auto"/>
          <w:lang w:eastAsia="fr-FR"/>
        </w:rPr>
        <w:t xml:space="preserve"> </w:t>
      </w:r>
      <w:r w:rsidRPr="00970766">
        <w:rPr>
          <w:rStyle w:val="Mention1"/>
          <w:rFonts w:eastAsiaTheme="minorEastAsia"/>
          <w:color w:val="auto"/>
          <w:lang w:eastAsia="fr-FR"/>
        </w:rPr>
        <w:t xml:space="preserve">à l’article L. 5121-12-1 III du </w:t>
      </w:r>
      <w:r w:rsidR="00235149" w:rsidRPr="00970766">
        <w:rPr>
          <w:rStyle w:val="Mention1"/>
          <w:rFonts w:eastAsiaTheme="minorEastAsia"/>
          <w:color w:val="auto"/>
          <w:lang w:eastAsia="fr-FR"/>
        </w:rPr>
        <w:t xml:space="preserve">code </w:t>
      </w:r>
      <w:r w:rsidRPr="00970766">
        <w:rPr>
          <w:rStyle w:val="Mention1"/>
          <w:rFonts w:eastAsiaTheme="minorEastAsia"/>
          <w:color w:val="auto"/>
          <w:lang w:eastAsia="fr-FR"/>
        </w:rPr>
        <w:t xml:space="preserve">de la santé publique, qui permet de sécuriser une  prescription d’un médicament </w:t>
      </w:r>
      <w:r w:rsidR="00265EBF" w:rsidRPr="00970766">
        <w:rPr>
          <w:rStyle w:val="Mention1"/>
          <w:rFonts w:eastAsiaTheme="minorEastAsia"/>
          <w:color w:val="auto"/>
          <w:lang w:eastAsia="fr-FR"/>
        </w:rPr>
        <w:t xml:space="preserve">dans une indication thérapeutique </w:t>
      </w:r>
      <w:r w:rsidRPr="00970766">
        <w:rPr>
          <w:rStyle w:val="Mention1"/>
          <w:rFonts w:eastAsiaTheme="minorEastAsia"/>
          <w:color w:val="auto"/>
          <w:lang w:eastAsia="fr-FR"/>
        </w:rPr>
        <w:t xml:space="preserve">non conforme à son autorisation de mise sur le marché (AMM),  afin de répondre à un besoin thérapeutique </w:t>
      </w:r>
      <w:r w:rsidR="0085421E" w:rsidRPr="00970766">
        <w:rPr>
          <w:rStyle w:val="Mention1"/>
          <w:rFonts w:eastAsiaTheme="minorEastAsia"/>
          <w:color w:val="auto"/>
          <w:lang w:eastAsia="fr-FR"/>
        </w:rPr>
        <w:t>non couvert</w:t>
      </w:r>
      <w:r w:rsidRPr="00970766">
        <w:rPr>
          <w:rStyle w:val="Mention1"/>
          <w:rFonts w:eastAsiaTheme="minorEastAsia"/>
          <w:color w:val="auto"/>
          <w:lang w:eastAsia="fr-FR"/>
        </w:rPr>
        <w:t xml:space="preserve">, dès lors que le rapport bénéfice/risque de ce médicament </w:t>
      </w:r>
      <w:r w:rsidR="000A23A2" w:rsidRPr="00970766">
        <w:rPr>
          <w:rStyle w:val="Mention1"/>
          <w:rFonts w:eastAsiaTheme="minorEastAsia"/>
          <w:color w:val="auto"/>
          <w:lang w:eastAsia="fr-FR"/>
        </w:rPr>
        <w:t xml:space="preserve">dans cette indication </w:t>
      </w:r>
      <w:r w:rsidRPr="00970766">
        <w:rPr>
          <w:rStyle w:val="Mention1"/>
          <w:rFonts w:eastAsiaTheme="minorEastAsia"/>
          <w:color w:val="auto"/>
          <w:lang w:eastAsia="fr-FR"/>
        </w:rPr>
        <w:t xml:space="preserve">est présumé favorable par l’ANSM (cf. </w:t>
      </w:r>
      <w:r w:rsidR="00DC4530">
        <w:rPr>
          <w:rStyle w:val="Mention1"/>
          <w:rFonts w:eastAsiaTheme="minorEastAsia"/>
          <w:color w:val="auto"/>
          <w:lang w:eastAsia="fr-FR"/>
        </w:rPr>
        <w:t>A</w:t>
      </w:r>
      <w:r w:rsidRPr="00970766">
        <w:rPr>
          <w:rStyle w:val="Mention1"/>
          <w:rFonts w:eastAsiaTheme="minorEastAsia"/>
          <w:color w:val="auto"/>
          <w:lang w:eastAsia="fr-FR"/>
        </w:rPr>
        <w:t xml:space="preserve">nnexe </w:t>
      </w:r>
      <w:r w:rsidR="00733EC1" w:rsidRPr="00970766">
        <w:rPr>
          <w:rStyle w:val="Mention1"/>
          <w:rFonts w:eastAsiaTheme="minorEastAsia"/>
          <w:color w:val="auto"/>
          <w:lang w:eastAsia="fr-FR"/>
        </w:rPr>
        <w:t xml:space="preserve">6 </w:t>
      </w:r>
      <w:r w:rsidRPr="00970766">
        <w:rPr>
          <w:rStyle w:val="Mention1"/>
          <w:rFonts w:eastAsiaTheme="minorEastAsia"/>
          <w:color w:val="auto"/>
          <w:lang w:eastAsia="fr-FR"/>
        </w:rPr>
        <w:t>: Dispositions législatives et réglementaires</w:t>
      </w:r>
      <w:r w:rsidR="00235149" w:rsidRPr="00970766">
        <w:rPr>
          <w:rStyle w:val="Mention1"/>
          <w:rFonts w:eastAsiaTheme="minorEastAsia"/>
          <w:color w:val="auto"/>
          <w:lang w:eastAsia="fr-FR"/>
        </w:rPr>
        <w:t xml:space="preserve"> relatives au</w:t>
      </w:r>
      <w:r w:rsidRPr="00970766">
        <w:rPr>
          <w:rStyle w:val="Mention1"/>
          <w:rFonts w:eastAsiaTheme="minorEastAsia"/>
          <w:color w:val="auto"/>
          <w:lang w:eastAsia="fr-FR"/>
        </w:rPr>
        <w:t xml:space="preserve"> CPC).</w:t>
      </w:r>
    </w:p>
    <w:p w14:paraId="7E49CD05" w14:textId="77777777" w:rsidR="00AE31FA" w:rsidRPr="00970766" w:rsidRDefault="00AE31FA" w:rsidP="00AE31FA">
      <w:pPr>
        <w:jc w:val="both"/>
        <w:rPr>
          <w:rFonts w:ascii="Arial" w:hAnsi="Arial" w:cs="Arial"/>
          <w:sz w:val="20"/>
          <w:szCs w:val="20"/>
        </w:rPr>
      </w:pPr>
    </w:p>
    <w:p w14:paraId="704B3079" w14:textId="77777777" w:rsidR="00AE31FA" w:rsidRPr="00970766" w:rsidRDefault="00AE31FA" w:rsidP="000A79B9">
      <w:pPr>
        <w:pStyle w:val="Titre2"/>
        <w:numPr>
          <w:ilvl w:val="0"/>
          <w:numId w:val="11"/>
        </w:numPr>
        <w:rPr>
          <w:rFonts w:ascii="Arial Narrow" w:hAnsi="Arial Narrow"/>
          <w:b/>
          <w:sz w:val="28"/>
          <w:szCs w:val="28"/>
        </w:rPr>
      </w:pPr>
      <w:bookmarkStart w:id="1" w:name="_Toc158900869"/>
      <w:r w:rsidRPr="00970766">
        <w:rPr>
          <w:rStyle w:val="lev"/>
          <w:rFonts w:ascii="Arial Narrow" w:hAnsi="Arial Narrow"/>
          <w:bCs w:val="0"/>
          <w:sz w:val="28"/>
          <w:szCs w:val="28"/>
        </w:rPr>
        <w:t>LE</w:t>
      </w:r>
      <w:r w:rsidR="00F211DB" w:rsidRPr="00970766">
        <w:rPr>
          <w:rStyle w:val="lev"/>
          <w:rFonts w:ascii="Arial Narrow" w:hAnsi="Arial Narrow"/>
          <w:bCs w:val="0"/>
          <w:sz w:val="28"/>
          <w:szCs w:val="28"/>
        </w:rPr>
        <w:t>(S)</w:t>
      </w:r>
      <w:r w:rsidR="00542DD9" w:rsidRPr="00970766">
        <w:rPr>
          <w:rStyle w:val="lev"/>
          <w:rFonts w:ascii="Arial Narrow" w:hAnsi="Arial Narrow"/>
          <w:bCs w:val="0"/>
          <w:sz w:val="28"/>
          <w:szCs w:val="28"/>
        </w:rPr>
        <w:t xml:space="preserve"> </w:t>
      </w:r>
      <w:r w:rsidRPr="00970766">
        <w:rPr>
          <w:rStyle w:val="lev"/>
          <w:rFonts w:ascii="Arial Narrow" w:hAnsi="Arial Narrow"/>
          <w:bCs w:val="0"/>
          <w:sz w:val="28"/>
          <w:szCs w:val="28"/>
        </w:rPr>
        <w:t>MEDICAMENT</w:t>
      </w:r>
      <w:r w:rsidR="00F211DB" w:rsidRPr="00970766">
        <w:rPr>
          <w:rStyle w:val="lev"/>
          <w:rFonts w:ascii="Arial Narrow" w:hAnsi="Arial Narrow"/>
          <w:bCs w:val="0"/>
          <w:sz w:val="28"/>
          <w:szCs w:val="28"/>
        </w:rPr>
        <w:t>(S</w:t>
      </w:r>
      <w:r w:rsidR="00962D5D" w:rsidRPr="00970766">
        <w:rPr>
          <w:rStyle w:val="lev"/>
          <w:rFonts w:ascii="Arial Narrow" w:hAnsi="Arial Narrow"/>
          <w:bCs w:val="0"/>
          <w:sz w:val="28"/>
          <w:szCs w:val="28"/>
        </w:rPr>
        <w:t>)</w:t>
      </w:r>
      <w:r w:rsidR="00AF7A68">
        <w:rPr>
          <w:rStyle w:val="lev"/>
          <w:rFonts w:ascii="Arial Narrow" w:hAnsi="Arial Narrow"/>
          <w:bCs w:val="0"/>
          <w:sz w:val="28"/>
          <w:szCs w:val="28"/>
        </w:rPr>
        <w:t xml:space="preserve"> concernés par le CPC</w:t>
      </w:r>
      <w:bookmarkEnd w:id="1"/>
    </w:p>
    <w:p w14:paraId="0F8F954F" w14:textId="77777777" w:rsidR="00D92560" w:rsidRPr="00970766" w:rsidRDefault="00D92560" w:rsidP="00D92560">
      <w:pPr>
        <w:pStyle w:val="Intertitre"/>
      </w:pPr>
    </w:p>
    <w:tbl>
      <w:tblPr>
        <w:tblStyle w:val="Grilledetableauclaire"/>
        <w:tblW w:w="0" w:type="auto"/>
        <w:tblLook w:val="0600" w:firstRow="0" w:lastRow="0" w:firstColumn="0" w:lastColumn="0" w:noHBand="1" w:noVBand="1"/>
      </w:tblPr>
      <w:tblGrid>
        <w:gridCol w:w="9042"/>
      </w:tblGrid>
      <w:tr w:rsidR="00CB5D82" w:rsidRPr="009040E4" w14:paraId="5AFAD188" w14:textId="77777777" w:rsidTr="00D92560">
        <w:tc>
          <w:tcPr>
            <w:tcW w:w="9609" w:type="dxa"/>
          </w:tcPr>
          <w:p w14:paraId="125FBB36" w14:textId="77777777" w:rsidR="00042958" w:rsidRPr="009040E4" w:rsidRDefault="00042958" w:rsidP="00042958">
            <w:pPr>
              <w:rPr>
                <w:rStyle w:val="Mention1"/>
                <w:color w:val="auto"/>
              </w:rPr>
            </w:pPr>
            <w:r w:rsidRPr="009040E4">
              <w:rPr>
                <w:rStyle w:val="Mention1"/>
                <w:color w:val="auto"/>
              </w:rPr>
              <w:t>Les médicaments concernés par ce CPC sont :</w:t>
            </w:r>
          </w:p>
          <w:p w14:paraId="7D9DD357" w14:textId="77777777" w:rsidR="00042958" w:rsidRPr="009040E4" w:rsidRDefault="00042958" w:rsidP="00042958">
            <w:pPr>
              <w:rPr>
                <w:rStyle w:val="Mention1"/>
                <w:color w:val="auto"/>
              </w:rPr>
            </w:pPr>
          </w:p>
          <w:p w14:paraId="2AC1B0CF" w14:textId="77777777" w:rsidR="00042958" w:rsidRPr="009040E4" w:rsidRDefault="00042958" w:rsidP="00042958">
            <w:pPr>
              <w:jc w:val="both"/>
              <w:rPr>
                <w:rStyle w:val="Mention1"/>
                <w:color w:val="auto"/>
              </w:rPr>
            </w:pPr>
            <w:r w:rsidRPr="009040E4">
              <w:rPr>
                <w:rStyle w:val="Mention1"/>
                <w:color w:val="auto"/>
              </w:rPr>
              <w:t>BOTOX 50 UNITÉS ALLERGAN, poudre pour solution injectable</w:t>
            </w:r>
          </w:p>
          <w:p w14:paraId="63A8C6F2" w14:textId="77777777" w:rsidR="00042958" w:rsidRPr="009040E4" w:rsidRDefault="00042958" w:rsidP="00042958">
            <w:pPr>
              <w:jc w:val="both"/>
              <w:rPr>
                <w:rStyle w:val="Mention1"/>
                <w:color w:val="auto"/>
              </w:rPr>
            </w:pPr>
            <w:r w:rsidRPr="009040E4">
              <w:rPr>
                <w:rStyle w:val="Mention1"/>
                <w:color w:val="auto"/>
              </w:rPr>
              <w:t>BOTOX 100 UNITÉS ALLERGAN, poudre pour solution injectable</w:t>
            </w:r>
          </w:p>
          <w:p w14:paraId="5CE51245" w14:textId="77777777" w:rsidR="00CB5D82" w:rsidRPr="009040E4" w:rsidRDefault="00042958" w:rsidP="00594494">
            <w:pPr>
              <w:jc w:val="both"/>
            </w:pPr>
            <w:r w:rsidRPr="009040E4">
              <w:rPr>
                <w:rStyle w:val="Mention1"/>
                <w:color w:val="auto"/>
              </w:rPr>
              <w:t>BOTOX 200 UNITÉS ALLERGAN, poudre pour solution injectable</w:t>
            </w:r>
          </w:p>
        </w:tc>
      </w:tr>
    </w:tbl>
    <w:p w14:paraId="634540E5" w14:textId="77777777" w:rsidR="00D92560" w:rsidRPr="009040E4" w:rsidRDefault="00D92560" w:rsidP="00D92560"/>
    <w:p w14:paraId="72D78002" w14:textId="77777777" w:rsidR="00D92560" w:rsidRPr="009040E4" w:rsidRDefault="00D92560" w:rsidP="001F58AB">
      <w:pPr>
        <w:pStyle w:val="Intertitre"/>
      </w:pPr>
      <w:r w:rsidRPr="009040E4">
        <w:t>Caractéristiques du médicament</w:t>
      </w:r>
    </w:p>
    <w:tbl>
      <w:tblPr>
        <w:tblStyle w:val="Grilledetableauclaire"/>
        <w:tblW w:w="0" w:type="auto"/>
        <w:tblLook w:val="0600" w:firstRow="0" w:lastRow="0" w:firstColumn="0" w:lastColumn="0" w:noHBand="1" w:noVBand="1"/>
      </w:tblPr>
      <w:tblGrid>
        <w:gridCol w:w="9042"/>
      </w:tblGrid>
      <w:tr w:rsidR="00CB5D82" w:rsidRPr="009040E4" w14:paraId="44AAA4CD" w14:textId="77777777" w:rsidTr="00D92560">
        <w:tc>
          <w:tcPr>
            <w:tcW w:w="9629" w:type="dxa"/>
          </w:tcPr>
          <w:p w14:paraId="5056BF5E" w14:textId="77777777" w:rsidR="00042958" w:rsidRPr="009040E4" w:rsidRDefault="00042958" w:rsidP="00042958">
            <w:pPr>
              <w:jc w:val="both"/>
              <w:rPr>
                <w:rStyle w:val="Mention1"/>
                <w:color w:val="auto"/>
              </w:rPr>
            </w:pPr>
            <w:r w:rsidRPr="009040E4">
              <w:rPr>
                <w:rStyle w:val="Mention1"/>
                <w:color w:val="auto"/>
              </w:rPr>
              <w:t>Les spécialités BOTOX contiennent de la toxine botulinique de type A. Cette neurotoxine bloque la libération périphérique d’acétylcholine au niveau des terminaisons nerveuses cholinergiques présynaptiques, en clivant la SNAP-25, une protéine impliquée dans le stockage et la libération de l’acétylcholine à partir des vésicules situées dans les terminaisons nerveuses.</w:t>
            </w:r>
          </w:p>
          <w:p w14:paraId="2AF84FB1" w14:textId="77777777" w:rsidR="00042958" w:rsidRPr="009040E4" w:rsidRDefault="00042958" w:rsidP="00042958">
            <w:pPr>
              <w:jc w:val="both"/>
              <w:rPr>
                <w:rStyle w:val="Mention1"/>
                <w:color w:val="auto"/>
              </w:rPr>
            </w:pPr>
            <w:r w:rsidRPr="009040E4">
              <w:rPr>
                <w:rStyle w:val="Mention1"/>
                <w:color w:val="auto"/>
              </w:rPr>
              <w:t>Après un certain temps, de nouvelles terminaisons nerveuses se forment et les connexions se rétablissent.</w:t>
            </w:r>
          </w:p>
          <w:p w14:paraId="13160B47" w14:textId="77777777" w:rsidR="00042958" w:rsidRPr="009040E4" w:rsidRDefault="00042958" w:rsidP="00042958">
            <w:pPr>
              <w:jc w:val="both"/>
              <w:rPr>
                <w:rStyle w:val="Mention1"/>
                <w:color w:val="auto"/>
              </w:rPr>
            </w:pPr>
            <w:r w:rsidRPr="009040E4">
              <w:rPr>
                <w:rStyle w:val="Mention1"/>
                <w:color w:val="auto"/>
              </w:rPr>
              <w:t>Des preuves cliniques suggèrent que BOTOX réduit les seuils de douleur, d’inflammation neurogène et de douleur cutanée liée à la chaleur dans un modèle de sensibilisation du trijumeau induite par capsaïcine.</w:t>
            </w:r>
          </w:p>
          <w:p w14:paraId="4FBB4B54" w14:textId="77777777" w:rsidR="00EB38A7" w:rsidRDefault="00042958" w:rsidP="00042958">
            <w:pPr>
              <w:jc w:val="both"/>
              <w:rPr>
                <w:rStyle w:val="Mention1"/>
                <w:color w:val="auto"/>
              </w:rPr>
            </w:pPr>
            <w:r w:rsidRPr="009040E4">
              <w:rPr>
                <w:rStyle w:val="Mention1"/>
                <w:color w:val="auto"/>
              </w:rPr>
              <w:t>Dans les modèles précliniques, au niveau des neurones sensoriels, BOTOX inhibe la libération des neurotransmetteurs sensoriels (exemple : Substance P, CGRP) et diminue l’expression des récepteurs cellulaires de surface (exemple : TRPV1). De plus, BOTOX prévient et inverse la sensibilisation des neurones sensoriels nociceptifs dans ces modèles précliniques, ce qui pourrait également inhiber la sensibilisation centrale.</w:t>
            </w:r>
            <w:r w:rsidR="005122A7">
              <w:rPr>
                <w:rStyle w:val="Mention1"/>
                <w:color w:val="auto"/>
              </w:rPr>
              <w:t xml:space="preserve"> </w:t>
            </w:r>
          </w:p>
          <w:p w14:paraId="5F45B99E" w14:textId="77777777" w:rsidR="001F58AB" w:rsidRDefault="001F58AB" w:rsidP="00042958">
            <w:pPr>
              <w:jc w:val="both"/>
              <w:rPr>
                <w:rStyle w:val="Mention1"/>
                <w:color w:val="auto"/>
              </w:rPr>
            </w:pPr>
          </w:p>
          <w:p w14:paraId="10EED604" w14:textId="77777777" w:rsidR="00042958" w:rsidRPr="009040E4" w:rsidRDefault="00042958" w:rsidP="00042958">
            <w:pPr>
              <w:jc w:val="both"/>
              <w:rPr>
                <w:rStyle w:val="Mention1"/>
                <w:color w:val="auto"/>
              </w:rPr>
            </w:pPr>
            <w:r w:rsidRPr="009040E4">
              <w:rPr>
                <w:rStyle w:val="Mention1"/>
                <w:color w:val="auto"/>
              </w:rPr>
              <w:t xml:space="preserve">Les indications thérapeutiques approuvées </w:t>
            </w:r>
            <w:r w:rsidR="00EB38A7">
              <w:rPr>
                <w:rStyle w:val="Mention1"/>
                <w:color w:val="auto"/>
              </w:rPr>
              <w:t>par</w:t>
            </w:r>
            <w:r w:rsidR="00EB38A7" w:rsidRPr="009040E4">
              <w:rPr>
                <w:rStyle w:val="Mention1"/>
                <w:color w:val="auto"/>
              </w:rPr>
              <w:t xml:space="preserve"> </w:t>
            </w:r>
            <w:r w:rsidRPr="009040E4">
              <w:rPr>
                <w:rStyle w:val="Mention1"/>
                <w:color w:val="auto"/>
              </w:rPr>
              <w:t>les AMM de</w:t>
            </w:r>
            <w:r w:rsidR="00EB38A7">
              <w:rPr>
                <w:rStyle w:val="Mention1"/>
                <w:color w:val="auto"/>
              </w:rPr>
              <w:t xml:space="preserve"> ce</w:t>
            </w:r>
            <w:r w:rsidRPr="009040E4">
              <w:rPr>
                <w:rStyle w:val="Mention1"/>
                <w:color w:val="auto"/>
              </w:rPr>
              <w:t>s spécialités sont les suivantes :</w:t>
            </w:r>
          </w:p>
          <w:p w14:paraId="35951558" w14:textId="77777777" w:rsidR="00042958" w:rsidRPr="009040E4" w:rsidRDefault="00042958" w:rsidP="00042958">
            <w:pPr>
              <w:jc w:val="both"/>
              <w:rPr>
                <w:rStyle w:val="Mention1"/>
                <w:color w:val="auto"/>
              </w:rPr>
            </w:pPr>
          </w:p>
          <w:p w14:paraId="3360AC28" w14:textId="77777777" w:rsidR="00042958" w:rsidRPr="009040E4" w:rsidRDefault="00042958" w:rsidP="00042958">
            <w:pPr>
              <w:jc w:val="both"/>
              <w:rPr>
                <w:rStyle w:val="Mention1"/>
                <w:b/>
                <w:color w:val="auto"/>
                <w:u w:val="single"/>
              </w:rPr>
            </w:pPr>
            <w:r w:rsidRPr="009040E4">
              <w:rPr>
                <w:rStyle w:val="Mention1"/>
                <w:b/>
                <w:color w:val="auto"/>
                <w:u w:val="single"/>
              </w:rPr>
              <w:t>Adultes</w:t>
            </w:r>
          </w:p>
          <w:p w14:paraId="1EB9568C" w14:textId="77777777" w:rsidR="00042958" w:rsidRPr="009040E4" w:rsidRDefault="00042958" w:rsidP="00042958">
            <w:pPr>
              <w:jc w:val="both"/>
              <w:rPr>
                <w:rStyle w:val="Mention1"/>
                <w:color w:val="auto"/>
                <w:u w:val="single"/>
              </w:rPr>
            </w:pPr>
            <w:r w:rsidRPr="009040E4">
              <w:rPr>
                <w:rStyle w:val="Mention1"/>
                <w:color w:val="auto"/>
                <w:u w:val="single"/>
              </w:rPr>
              <w:t>Dysfonctions vésicales</w:t>
            </w:r>
          </w:p>
          <w:p w14:paraId="4739EE6F" w14:textId="77777777" w:rsidR="00042958" w:rsidRPr="009040E4" w:rsidRDefault="00042958" w:rsidP="00042958">
            <w:pPr>
              <w:jc w:val="both"/>
              <w:rPr>
                <w:rStyle w:val="Mention1"/>
                <w:color w:val="auto"/>
              </w:rPr>
            </w:pPr>
            <w:r w:rsidRPr="009040E4">
              <w:rPr>
                <w:rStyle w:val="Mention1"/>
                <w:color w:val="auto"/>
              </w:rPr>
              <w:t>Traitement de l’hyperactivité vésicale idiopathique associée à des symptômes incluant :</w:t>
            </w:r>
          </w:p>
          <w:p w14:paraId="147CED4C" w14:textId="77777777" w:rsidR="00042958" w:rsidRPr="009040E4" w:rsidRDefault="00042958" w:rsidP="00042958">
            <w:pPr>
              <w:jc w:val="both"/>
              <w:rPr>
                <w:rStyle w:val="Mention1"/>
                <w:color w:val="auto"/>
              </w:rPr>
            </w:pPr>
            <w:r w:rsidRPr="009040E4">
              <w:rPr>
                <w:rStyle w:val="Mention1"/>
                <w:color w:val="auto"/>
              </w:rPr>
              <w:t>•</w:t>
            </w:r>
            <w:r w:rsidR="005122A7">
              <w:rPr>
                <w:rStyle w:val="Mention1"/>
                <w:color w:val="auto"/>
              </w:rPr>
              <w:t xml:space="preserve"> </w:t>
            </w:r>
            <w:r w:rsidRPr="009040E4">
              <w:rPr>
                <w:rStyle w:val="Mention1"/>
                <w:color w:val="auto"/>
              </w:rPr>
              <w:t>3 épisodes d’incontinence urinaire avec urgenturie sur 3 jours,</w:t>
            </w:r>
          </w:p>
          <w:p w14:paraId="17A82F57" w14:textId="77777777" w:rsidR="00042958" w:rsidRPr="009040E4" w:rsidRDefault="00042958" w:rsidP="00042958">
            <w:pPr>
              <w:jc w:val="both"/>
              <w:rPr>
                <w:rStyle w:val="Mention1"/>
                <w:color w:val="auto"/>
              </w:rPr>
            </w:pPr>
            <w:r w:rsidRPr="009040E4">
              <w:rPr>
                <w:rStyle w:val="Mention1"/>
                <w:color w:val="auto"/>
              </w:rPr>
              <w:t>et</w:t>
            </w:r>
          </w:p>
          <w:p w14:paraId="2A2CCEF5" w14:textId="77777777" w:rsidR="00042958" w:rsidRPr="009040E4" w:rsidRDefault="00042958" w:rsidP="00042958">
            <w:pPr>
              <w:jc w:val="both"/>
              <w:rPr>
                <w:rStyle w:val="Mention1"/>
                <w:color w:val="auto"/>
              </w:rPr>
            </w:pPr>
            <w:r w:rsidRPr="009040E4">
              <w:rPr>
                <w:rStyle w:val="Mention1"/>
                <w:color w:val="auto"/>
              </w:rPr>
              <w:t>•</w:t>
            </w:r>
            <w:r w:rsidR="005122A7">
              <w:rPr>
                <w:rStyle w:val="Mention1"/>
                <w:color w:val="auto"/>
              </w:rPr>
              <w:t xml:space="preserve"> </w:t>
            </w:r>
            <w:r w:rsidRPr="009040E4">
              <w:rPr>
                <w:rStyle w:val="Mention1"/>
                <w:color w:val="auto"/>
              </w:rPr>
              <w:t>fréquence urinaire définie par un nombre de mictions ≥ 8 par jour et ne répondant pas de manière adéquate aux anticholinergiques (après 3 mois de traitement) ou intolérants au traitement anticholinergique et ne répondant pas à une kinésithérapie bien conduite.</w:t>
            </w:r>
          </w:p>
          <w:p w14:paraId="140C693E" w14:textId="77777777" w:rsidR="00042958" w:rsidRPr="009040E4" w:rsidRDefault="00042958" w:rsidP="00042958">
            <w:pPr>
              <w:jc w:val="both"/>
              <w:rPr>
                <w:rStyle w:val="Mention1"/>
                <w:color w:val="auto"/>
              </w:rPr>
            </w:pPr>
          </w:p>
          <w:p w14:paraId="3B2E3A01" w14:textId="77777777" w:rsidR="00042958" w:rsidRPr="009040E4" w:rsidRDefault="00042958" w:rsidP="00042958">
            <w:pPr>
              <w:jc w:val="both"/>
              <w:rPr>
                <w:rStyle w:val="Mention1"/>
                <w:color w:val="auto"/>
              </w:rPr>
            </w:pPr>
            <w:r w:rsidRPr="009040E4">
              <w:rPr>
                <w:rStyle w:val="Mention1"/>
                <w:color w:val="auto"/>
              </w:rPr>
              <w:t>Traitement de l’hyperactivité détrusorienne neurologique conduisant à une incontinence urinaire non contrôlée par un traitement anticholinergique chez :</w:t>
            </w:r>
          </w:p>
          <w:p w14:paraId="777400F7" w14:textId="77777777" w:rsidR="00042958" w:rsidRPr="009040E4" w:rsidRDefault="00042958" w:rsidP="00042958">
            <w:pPr>
              <w:jc w:val="both"/>
              <w:rPr>
                <w:rStyle w:val="Mention1"/>
                <w:color w:val="auto"/>
              </w:rPr>
            </w:pPr>
            <w:r w:rsidRPr="009040E4">
              <w:rPr>
                <w:rStyle w:val="Mention1"/>
                <w:color w:val="auto"/>
              </w:rPr>
              <w:lastRenderedPageBreak/>
              <w:t>•</w:t>
            </w:r>
            <w:r w:rsidR="005122A7">
              <w:rPr>
                <w:rStyle w:val="Mention1"/>
                <w:color w:val="auto"/>
              </w:rPr>
              <w:t xml:space="preserve"> </w:t>
            </w:r>
            <w:r w:rsidRPr="009040E4">
              <w:rPr>
                <w:rStyle w:val="Mention1"/>
                <w:color w:val="auto"/>
              </w:rPr>
              <w:t>les patients blessés médullaires,</w:t>
            </w:r>
          </w:p>
          <w:p w14:paraId="3856044F" w14:textId="77777777" w:rsidR="00042958" w:rsidRPr="009040E4" w:rsidRDefault="00042958" w:rsidP="00042958">
            <w:pPr>
              <w:jc w:val="both"/>
              <w:rPr>
                <w:rStyle w:val="Mention1"/>
                <w:color w:val="auto"/>
              </w:rPr>
            </w:pPr>
            <w:r w:rsidRPr="009040E4">
              <w:rPr>
                <w:rStyle w:val="Mention1"/>
                <w:color w:val="auto"/>
              </w:rPr>
              <w:t>•</w:t>
            </w:r>
            <w:r w:rsidR="005122A7">
              <w:rPr>
                <w:rStyle w:val="Mention1"/>
                <w:color w:val="auto"/>
              </w:rPr>
              <w:t xml:space="preserve"> </w:t>
            </w:r>
            <w:r w:rsidRPr="009040E4">
              <w:rPr>
                <w:rStyle w:val="Mention1"/>
                <w:color w:val="auto"/>
              </w:rPr>
              <w:t>les patients atteints de sclérose en plaques.</w:t>
            </w:r>
          </w:p>
          <w:p w14:paraId="56F018D9" w14:textId="77777777" w:rsidR="00042958" w:rsidRPr="009040E4" w:rsidRDefault="00042958" w:rsidP="00042958">
            <w:pPr>
              <w:jc w:val="both"/>
              <w:rPr>
                <w:rStyle w:val="Mention1"/>
                <w:color w:val="auto"/>
              </w:rPr>
            </w:pPr>
          </w:p>
          <w:p w14:paraId="53F627FB" w14:textId="77777777" w:rsidR="00042958" w:rsidRPr="009040E4" w:rsidRDefault="00042958" w:rsidP="00042958">
            <w:pPr>
              <w:jc w:val="both"/>
              <w:rPr>
                <w:rStyle w:val="Mention1"/>
                <w:color w:val="auto"/>
                <w:u w:val="single"/>
              </w:rPr>
            </w:pPr>
            <w:r w:rsidRPr="009040E4">
              <w:rPr>
                <w:rStyle w:val="Mention1"/>
                <w:color w:val="auto"/>
                <w:u w:val="single"/>
              </w:rPr>
              <w:t xml:space="preserve">Troubles neurologiques </w:t>
            </w:r>
          </w:p>
          <w:p w14:paraId="25689849" w14:textId="77777777" w:rsidR="00042958" w:rsidRPr="009040E4" w:rsidRDefault="00042958" w:rsidP="00042958">
            <w:pPr>
              <w:jc w:val="both"/>
              <w:rPr>
                <w:rStyle w:val="Mention1"/>
                <w:color w:val="auto"/>
              </w:rPr>
            </w:pPr>
            <w:r w:rsidRPr="009040E4">
              <w:rPr>
                <w:rStyle w:val="Mention1"/>
                <w:color w:val="auto"/>
              </w:rPr>
              <w:t xml:space="preserve">Traitement prophylactique de la migraine chronique (présence de céphalées au moins 15 jours par mois dont au moins 8 jours de migraine par mois) chez des patients adultes qui n’ont pas répondu ou sont intolérants aux autres traitements prophylactiques de la migraine. </w:t>
            </w:r>
          </w:p>
          <w:p w14:paraId="38A6E2AA" w14:textId="77777777" w:rsidR="00042958" w:rsidRPr="009040E4" w:rsidRDefault="00042958" w:rsidP="00042958">
            <w:pPr>
              <w:jc w:val="both"/>
              <w:rPr>
                <w:rStyle w:val="Mention1"/>
                <w:color w:val="auto"/>
              </w:rPr>
            </w:pPr>
          </w:p>
          <w:p w14:paraId="75526BCC" w14:textId="77777777" w:rsidR="00042958" w:rsidRPr="009040E4" w:rsidRDefault="00042958" w:rsidP="00042958">
            <w:pPr>
              <w:jc w:val="both"/>
              <w:rPr>
                <w:rStyle w:val="Mention1"/>
                <w:b/>
                <w:color w:val="auto"/>
                <w:u w:val="single"/>
              </w:rPr>
            </w:pPr>
            <w:r w:rsidRPr="009040E4">
              <w:rPr>
                <w:rStyle w:val="Mention1"/>
                <w:b/>
                <w:color w:val="auto"/>
                <w:u w:val="single"/>
              </w:rPr>
              <w:t>Adultes et enfants de plus de 12 ans</w:t>
            </w:r>
          </w:p>
          <w:p w14:paraId="75FE5B5B" w14:textId="77777777" w:rsidR="00042958" w:rsidRPr="009040E4" w:rsidRDefault="00042958" w:rsidP="00042958">
            <w:pPr>
              <w:jc w:val="both"/>
              <w:rPr>
                <w:rStyle w:val="Mention1"/>
                <w:color w:val="auto"/>
              </w:rPr>
            </w:pPr>
            <w:r w:rsidRPr="009040E4">
              <w:rPr>
                <w:rStyle w:val="Mention1"/>
                <w:color w:val="auto"/>
              </w:rPr>
              <w:t>•</w:t>
            </w:r>
            <w:r w:rsidR="005122A7">
              <w:rPr>
                <w:rStyle w:val="Mention1"/>
                <w:color w:val="auto"/>
              </w:rPr>
              <w:t xml:space="preserve"> </w:t>
            </w:r>
            <w:r w:rsidRPr="009040E4">
              <w:rPr>
                <w:rStyle w:val="Mention1"/>
                <w:color w:val="auto"/>
              </w:rPr>
              <w:t>Troubles de l'oculomotricité : strabisme, paralysies oculomotrices récentes, myopathie thyroïdienne récente.</w:t>
            </w:r>
          </w:p>
          <w:p w14:paraId="3A03A1C7" w14:textId="77777777" w:rsidR="00042958" w:rsidRPr="009040E4" w:rsidRDefault="00042958" w:rsidP="00042958">
            <w:pPr>
              <w:jc w:val="both"/>
              <w:rPr>
                <w:rStyle w:val="Mention1"/>
                <w:color w:val="auto"/>
              </w:rPr>
            </w:pPr>
            <w:r w:rsidRPr="009040E4">
              <w:rPr>
                <w:rStyle w:val="Mention1"/>
                <w:color w:val="auto"/>
              </w:rPr>
              <w:t>•</w:t>
            </w:r>
            <w:r w:rsidR="005122A7">
              <w:rPr>
                <w:rStyle w:val="Mention1"/>
                <w:color w:val="auto"/>
              </w:rPr>
              <w:t xml:space="preserve"> </w:t>
            </w:r>
            <w:r w:rsidRPr="009040E4">
              <w:rPr>
                <w:rStyle w:val="Mention1"/>
                <w:color w:val="auto"/>
              </w:rPr>
              <w:t>Blépharospasme.</w:t>
            </w:r>
          </w:p>
          <w:p w14:paraId="3862228A" w14:textId="77777777" w:rsidR="00042958" w:rsidRPr="009040E4" w:rsidRDefault="00042958" w:rsidP="00042958">
            <w:pPr>
              <w:jc w:val="both"/>
              <w:rPr>
                <w:rStyle w:val="Mention1"/>
                <w:color w:val="auto"/>
              </w:rPr>
            </w:pPr>
            <w:r w:rsidRPr="009040E4">
              <w:rPr>
                <w:rStyle w:val="Mention1"/>
                <w:color w:val="auto"/>
              </w:rPr>
              <w:t>•</w:t>
            </w:r>
            <w:r w:rsidR="005122A7">
              <w:rPr>
                <w:rStyle w:val="Mention1"/>
                <w:color w:val="auto"/>
              </w:rPr>
              <w:t xml:space="preserve"> </w:t>
            </w:r>
            <w:r w:rsidRPr="009040E4">
              <w:rPr>
                <w:rStyle w:val="Mention1"/>
                <w:color w:val="auto"/>
              </w:rPr>
              <w:t>Spasme hémifacial.</w:t>
            </w:r>
          </w:p>
          <w:p w14:paraId="27D3DA68" w14:textId="77777777" w:rsidR="00042958" w:rsidRPr="009040E4" w:rsidRDefault="00042958" w:rsidP="00042958">
            <w:pPr>
              <w:jc w:val="both"/>
              <w:rPr>
                <w:rStyle w:val="Mention1"/>
                <w:color w:val="auto"/>
              </w:rPr>
            </w:pPr>
            <w:r w:rsidRPr="009040E4">
              <w:rPr>
                <w:rStyle w:val="Mention1"/>
                <w:color w:val="auto"/>
              </w:rPr>
              <w:t>•</w:t>
            </w:r>
            <w:r w:rsidR="005122A7">
              <w:rPr>
                <w:rStyle w:val="Mention1"/>
                <w:color w:val="auto"/>
              </w:rPr>
              <w:t xml:space="preserve"> </w:t>
            </w:r>
            <w:r w:rsidRPr="009040E4">
              <w:rPr>
                <w:rStyle w:val="Mention1"/>
                <w:color w:val="auto"/>
              </w:rPr>
              <w:t>Torticolis spasmodique.</w:t>
            </w:r>
          </w:p>
          <w:p w14:paraId="056E8C32" w14:textId="77777777" w:rsidR="00042958" w:rsidRPr="009040E4" w:rsidRDefault="00042958" w:rsidP="00042958">
            <w:pPr>
              <w:jc w:val="both"/>
              <w:rPr>
                <w:rStyle w:val="Mention1"/>
                <w:color w:val="auto"/>
              </w:rPr>
            </w:pPr>
            <w:r w:rsidRPr="009040E4">
              <w:rPr>
                <w:rStyle w:val="Mention1"/>
                <w:color w:val="auto"/>
              </w:rPr>
              <w:t>•</w:t>
            </w:r>
            <w:r w:rsidR="005122A7">
              <w:rPr>
                <w:rStyle w:val="Mention1"/>
                <w:color w:val="auto"/>
              </w:rPr>
              <w:t xml:space="preserve"> </w:t>
            </w:r>
            <w:r w:rsidRPr="009040E4">
              <w:rPr>
                <w:rStyle w:val="Mention1"/>
                <w:color w:val="auto"/>
              </w:rPr>
              <w:t>Hyperhidrose axillaire sévère ayant résisté aux traitements locaux et entraînants un retentissement psychologique et social important.</w:t>
            </w:r>
          </w:p>
          <w:p w14:paraId="7D05076B" w14:textId="77777777" w:rsidR="00042958" w:rsidRPr="009040E4" w:rsidRDefault="00042958" w:rsidP="00042958">
            <w:pPr>
              <w:jc w:val="both"/>
              <w:rPr>
                <w:rStyle w:val="Mention1"/>
                <w:color w:val="auto"/>
              </w:rPr>
            </w:pPr>
          </w:p>
          <w:p w14:paraId="44FA88FC" w14:textId="77777777" w:rsidR="00042958" w:rsidRPr="009040E4" w:rsidRDefault="00042958" w:rsidP="00042958">
            <w:pPr>
              <w:jc w:val="both"/>
              <w:rPr>
                <w:rStyle w:val="Mention1"/>
                <w:b/>
                <w:color w:val="auto"/>
                <w:u w:val="single"/>
              </w:rPr>
            </w:pPr>
            <w:r w:rsidRPr="009040E4">
              <w:rPr>
                <w:rStyle w:val="Mention1"/>
                <w:b/>
                <w:color w:val="auto"/>
                <w:u w:val="single"/>
              </w:rPr>
              <w:t>Adultes et enfants de 2 ans et plus</w:t>
            </w:r>
          </w:p>
          <w:p w14:paraId="5A6601CA" w14:textId="77777777" w:rsidR="00042958" w:rsidRPr="009040E4" w:rsidRDefault="00042958" w:rsidP="00042958">
            <w:pPr>
              <w:jc w:val="both"/>
              <w:rPr>
                <w:rStyle w:val="Mention1"/>
                <w:color w:val="auto"/>
              </w:rPr>
            </w:pPr>
            <w:r w:rsidRPr="009040E4">
              <w:rPr>
                <w:rStyle w:val="Mention1"/>
                <w:color w:val="auto"/>
              </w:rPr>
              <w:t>•</w:t>
            </w:r>
            <w:r w:rsidR="005122A7">
              <w:rPr>
                <w:rStyle w:val="Mention1"/>
                <w:color w:val="auto"/>
              </w:rPr>
              <w:t xml:space="preserve"> </w:t>
            </w:r>
            <w:r w:rsidRPr="009040E4">
              <w:rPr>
                <w:rStyle w:val="Mention1"/>
                <w:color w:val="auto"/>
              </w:rPr>
              <w:t>Traitement symptomatique local de la spasticité (hyperactivité musculaire) des membres supérieurs et/ou inférieurs.</w:t>
            </w:r>
          </w:p>
          <w:p w14:paraId="165F7ED9" w14:textId="77777777" w:rsidR="00042958" w:rsidRPr="009040E4" w:rsidRDefault="00042958" w:rsidP="00042958">
            <w:pPr>
              <w:jc w:val="both"/>
              <w:rPr>
                <w:rStyle w:val="Mention1"/>
                <w:color w:val="auto"/>
              </w:rPr>
            </w:pPr>
          </w:p>
          <w:p w14:paraId="689203DA" w14:textId="77777777" w:rsidR="00CB5D82" w:rsidRPr="009040E4" w:rsidRDefault="00AF7A68" w:rsidP="00AF7A68">
            <w:pPr>
              <w:jc w:val="both"/>
              <w:rPr>
                <w:rStyle w:val="Mention1"/>
                <w:rFonts w:ascii="Arial" w:hAnsi="Arial" w:cs="Arial"/>
              </w:rPr>
            </w:pPr>
            <w:r>
              <w:rPr>
                <w:rStyle w:val="Mention1"/>
                <w:color w:val="auto"/>
              </w:rPr>
              <w:t>Dans le cadre de leurs AMM, c</w:t>
            </w:r>
            <w:r w:rsidR="00042958" w:rsidRPr="009040E4">
              <w:rPr>
                <w:rStyle w:val="Mention1"/>
                <w:color w:val="auto"/>
              </w:rPr>
              <w:t>es médicaments sont inscrits sur liste I des substances vénéneuses et sont réservés à l’usage hospitalier.</w:t>
            </w:r>
          </w:p>
        </w:tc>
      </w:tr>
    </w:tbl>
    <w:p w14:paraId="618127CF" w14:textId="77777777" w:rsidR="00D92560" w:rsidRPr="009040E4" w:rsidRDefault="00D92560" w:rsidP="00D92560">
      <w:pPr>
        <w:rPr>
          <w:rFonts w:ascii="Arial" w:hAnsi="Arial" w:cs="Arial"/>
        </w:rPr>
      </w:pPr>
    </w:p>
    <w:p w14:paraId="32E11A26" w14:textId="77777777" w:rsidR="00D92560" w:rsidRPr="009040E4" w:rsidRDefault="00D92560" w:rsidP="001F58AB">
      <w:pPr>
        <w:pStyle w:val="Intertitre"/>
      </w:pPr>
      <w:r w:rsidRPr="009040E4">
        <w:t>Indication</w:t>
      </w:r>
      <w:r w:rsidR="003649B0" w:rsidRPr="009040E4">
        <w:t xml:space="preserve"> et conditions d’utilisation dans le CPC</w:t>
      </w:r>
    </w:p>
    <w:p w14:paraId="00B4F781" w14:textId="77777777" w:rsidR="00042958" w:rsidRPr="009040E4" w:rsidRDefault="008E06EA" w:rsidP="008E06EA">
      <w:pPr>
        <w:jc w:val="both"/>
        <w:rPr>
          <w:rStyle w:val="markedcontent"/>
          <w:rFonts w:ascii="Arial" w:hAnsi="Arial" w:cs="Arial"/>
        </w:rPr>
      </w:pPr>
      <w:r w:rsidRPr="009040E4">
        <w:rPr>
          <w:rStyle w:val="markedcontent"/>
          <w:rFonts w:ascii="Arial" w:hAnsi="Arial" w:cs="Arial"/>
        </w:rPr>
        <w:t>L</w:t>
      </w:r>
      <w:r w:rsidR="002D3DA2">
        <w:rPr>
          <w:rStyle w:val="markedcontent"/>
          <w:rFonts w:ascii="Arial" w:hAnsi="Arial" w:cs="Arial"/>
        </w:rPr>
        <w:t>e présent CPC vise à sécuriser</w:t>
      </w:r>
      <w:r w:rsidRPr="009040E4">
        <w:rPr>
          <w:rStyle w:val="markedcontent"/>
          <w:rFonts w:ascii="Arial" w:hAnsi="Arial" w:cs="Arial"/>
        </w:rPr>
        <w:t xml:space="preserve"> l’utilisation de </w:t>
      </w:r>
      <w:r w:rsidR="00042958" w:rsidRPr="009040E4">
        <w:rPr>
          <w:rStyle w:val="markedcontent"/>
          <w:rFonts w:ascii="Arial" w:hAnsi="Arial" w:cs="Arial"/>
        </w:rPr>
        <w:t>BOTOX 50 UNITÉS ALLERGAN, BOTOX 100 UNITÉS ALLERGAN et BOTOX 200 UNITÉS ALLERGAN, poudre pour solution</w:t>
      </w:r>
      <w:r w:rsidR="002169B7">
        <w:rPr>
          <w:rStyle w:val="markedcontent"/>
          <w:rFonts w:ascii="Arial" w:hAnsi="Arial" w:cs="Arial"/>
        </w:rPr>
        <w:t>s</w:t>
      </w:r>
      <w:r w:rsidR="00042958" w:rsidRPr="009040E4">
        <w:rPr>
          <w:rStyle w:val="markedcontent"/>
          <w:rFonts w:ascii="Arial" w:hAnsi="Arial" w:cs="Arial"/>
        </w:rPr>
        <w:t xml:space="preserve"> injectables</w:t>
      </w:r>
      <w:r w:rsidRPr="009040E4">
        <w:rPr>
          <w:rStyle w:val="markedcontent"/>
          <w:rFonts w:ascii="Arial" w:hAnsi="Arial" w:cs="Arial"/>
        </w:rPr>
        <w:t xml:space="preserve">, dans le traitement </w:t>
      </w:r>
      <w:r w:rsidR="00042958" w:rsidRPr="009040E4">
        <w:rPr>
          <w:rStyle w:val="markedcontent"/>
          <w:rFonts w:ascii="Arial" w:hAnsi="Arial" w:cs="Arial"/>
        </w:rPr>
        <w:t>de la douleur neuropathique chronique périphérique bien localisée (surface ≤ 240 cm²) en tant que traitement adjuvant chez les patients adultes insuffisamment soulagés ou réfractaires aux autres traitements.</w:t>
      </w:r>
      <w:r w:rsidRPr="009040E4">
        <w:rPr>
          <w:rStyle w:val="markedcontent"/>
          <w:rFonts w:ascii="Arial" w:hAnsi="Arial" w:cs="Arial"/>
        </w:rPr>
        <w:t xml:space="preserve"> </w:t>
      </w:r>
    </w:p>
    <w:p w14:paraId="3987BF38" w14:textId="6FB11B0A" w:rsidR="008E06EA" w:rsidRPr="009040E4" w:rsidRDefault="008E06EA" w:rsidP="008E06EA">
      <w:pPr>
        <w:jc w:val="both"/>
        <w:rPr>
          <w:rStyle w:val="markedcontent"/>
          <w:rFonts w:ascii="Arial" w:hAnsi="Arial" w:cs="Arial"/>
        </w:rPr>
      </w:pPr>
      <w:r w:rsidRPr="009040E4">
        <w:rPr>
          <w:rStyle w:val="markedcontent"/>
          <w:rFonts w:ascii="Arial" w:hAnsi="Arial" w:cs="Arial"/>
        </w:rPr>
        <w:t xml:space="preserve">En effet, </w:t>
      </w:r>
      <w:r w:rsidR="003E16A5" w:rsidRPr="009040E4">
        <w:rPr>
          <w:rStyle w:val="markedcontent"/>
          <w:rFonts w:ascii="Arial" w:hAnsi="Arial" w:cs="Arial"/>
        </w:rPr>
        <w:t xml:space="preserve">dans cette </w:t>
      </w:r>
      <w:r w:rsidR="002D3DA2">
        <w:rPr>
          <w:rStyle w:val="markedcontent"/>
          <w:rFonts w:ascii="Arial" w:hAnsi="Arial" w:cs="Arial"/>
        </w:rPr>
        <w:t>indication</w:t>
      </w:r>
      <w:r w:rsidR="003E16A5" w:rsidRPr="009040E4">
        <w:rPr>
          <w:rStyle w:val="markedcontent"/>
          <w:rFonts w:ascii="Arial" w:hAnsi="Arial" w:cs="Arial"/>
        </w:rPr>
        <w:t xml:space="preserve"> non couverte par l’AMM et pour laquelle </w:t>
      </w:r>
      <w:r w:rsidRPr="009040E4">
        <w:rPr>
          <w:rStyle w:val="markedcontent"/>
          <w:rFonts w:ascii="Arial" w:hAnsi="Arial" w:cs="Arial"/>
        </w:rPr>
        <w:t>il existe un besoin thérapeutique</w:t>
      </w:r>
      <w:r w:rsidR="00A767D6" w:rsidRPr="009040E4">
        <w:rPr>
          <w:rStyle w:val="markedcontent"/>
          <w:rFonts w:ascii="Arial" w:hAnsi="Arial" w:cs="Arial"/>
        </w:rPr>
        <w:t xml:space="preserve">, </w:t>
      </w:r>
      <w:r w:rsidR="00E0226B" w:rsidRPr="009040E4">
        <w:rPr>
          <w:rStyle w:val="markedcontent"/>
          <w:rFonts w:ascii="Arial" w:hAnsi="Arial" w:cs="Arial"/>
        </w:rPr>
        <w:t xml:space="preserve">l’efficacité </w:t>
      </w:r>
      <w:r w:rsidR="00A767D6" w:rsidRPr="009040E4">
        <w:rPr>
          <w:rStyle w:val="markedcontent"/>
          <w:rFonts w:ascii="Arial" w:hAnsi="Arial" w:cs="Arial"/>
        </w:rPr>
        <w:t>et la sécurité</w:t>
      </w:r>
      <w:r w:rsidR="00042958" w:rsidRPr="009040E4">
        <w:rPr>
          <w:rStyle w:val="markedcontent"/>
          <w:rFonts w:ascii="Arial" w:hAnsi="Arial" w:cs="Arial"/>
        </w:rPr>
        <w:t xml:space="preserve"> des spécialités </w:t>
      </w:r>
      <w:r w:rsidR="00EB38A7">
        <w:rPr>
          <w:rStyle w:val="markedcontent"/>
          <w:rFonts w:ascii="Arial" w:hAnsi="Arial" w:cs="Arial"/>
        </w:rPr>
        <w:t>précitées</w:t>
      </w:r>
      <w:r w:rsidRPr="009040E4">
        <w:rPr>
          <w:rStyle w:val="markedcontent"/>
          <w:rFonts w:ascii="Arial" w:hAnsi="Arial" w:cs="Arial"/>
        </w:rPr>
        <w:t xml:space="preserve"> </w:t>
      </w:r>
      <w:r w:rsidR="00A767D6" w:rsidRPr="009040E4">
        <w:rPr>
          <w:rStyle w:val="markedcontent"/>
          <w:rFonts w:ascii="Arial" w:hAnsi="Arial" w:cs="Arial"/>
        </w:rPr>
        <w:t xml:space="preserve">sont </w:t>
      </w:r>
      <w:r w:rsidRPr="009040E4">
        <w:rPr>
          <w:rStyle w:val="markedcontent"/>
          <w:rFonts w:ascii="Arial" w:hAnsi="Arial" w:cs="Arial"/>
        </w:rPr>
        <w:t>présumé</w:t>
      </w:r>
      <w:r w:rsidR="00A767D6" w:rsidRPr="009040E4">
        <w:rPr>
          <w:rStyle w:val="markedcontent"/>
          <w:rFonts w:ascii="Arial" w:hAnsi="Arial" w:cs="Arial"/>
        </w:rPr>
        <w:t>es</w:t>
      </w:r>
      <w:r w:rsidRPr="009040E4">
        <w:rPr>
          <w:rStyle w:val="markedcontent"/>
          <w:rFonts w:ascii="Arial" w:hAnsi="Arial" w:cs="Arial"/>
        </w:rPr>
        <w:t xml:space="preserve"> </w:t>
      </w:r>
      <w:r w:rsidR="00A767D6" w:rsidRPr="009040E4">
        <w:rPr>
          <w:rStyle w:val="markedcontent"/>
          <w:rFonts w:ascii="Arial" w:hAnsi="Arial" w:cs="Arial"/>
        </w:rPr>
        <w:t>au regard</w:t>
      </w:r>
      <w:r w:rsidRPr="009040E4">
        <w:rPr>
          <w:rStyle w:val="markedcontent"/>
          <w:rFonts w:ascii="Arial" w:hAnsi="Arial" w:cs="Arial"/>
        </w:rPr>
        <w:t xml:space="preserve"> des données disponibles </w:t>
      </w:r>
      <w:r w:rsidR="00E0226B" w:rsidRPr="009040E4">
        <w:rPr>
          <w:rStyle w:val="markedcontent"/>
          <w:rFonts w:ascii="Arial" w:hAnsi="Arial" w:cs="Arial"/>
        </w:rPr>
        <w:t xml:space="preserve">à ce jour </w:t>
      </w:r>
      <w:r w:rsidRPr="009040E4">
        <w:rPr>
          <w:rStyle w:val="markedcontent"/>
          <w:rFonts w:ascii="Arial" w:hAnsi="Arial" w:cs="Arial"/>
        </w:rPr>
        <w:t xml:space="preserve">(cf. </w:t>
      </w:r>
      <w:r w:rsidR="00065517" w:rsidRPr="009040E4">
        <w:rPr>
          <w:rStyle w:val="markedcontent"/>
          <w:rFonts w:ascii="Arial" w:hAnsi="Arial" w:cs="Arial"/>
        </w:rPr>
        <w:t xml:space="preserve">argumentaire en </w:t>
      </w:r>
      <w:r w:rsidR="00DC4530">
        <w:rPr>
          <w:rStyle w:val="markedcontent"/>
          <w:rFonts w:ascii="Arial" w:hAnsi="Arial" w:cs="Arial"/>
        </w:rPr>
        <w:t>A</w:t>
      </w:r>
      <w:r w:rsidRPr="009040E4">
        <w:rPr>
          <w:rStyle w:val="markedcontent"/>
          <w:rFonts w:ascii="Arial" w:hAnsi="Arial" w:cs="Arial"/>
        </w:rPr>
        <w:t>nnexe</w:t>
      </w:r>
      <w:r w:rsidR="00EC0960" w:rsidRPr="009040E4">
        <w:rPr>
          <w:rStyle w:val="markedcontent"/>
          <w:rFonts w:ascii="Arial" w:hAnsi="Arial" w:cs="Arial"/>
        </w:rPr>
        <w:t xml:space="preserve"> 2</w:t>
      </w:r>
      <w:r w:rsidRPr="009040E4">
        <w:rPr>
          <w:rStyle w:val="markedcontent"/>
          <w:rFonts w:ascii="Arial" w:hAnsi="Arial" w:cs="Arial"/>
        </w:rPr>
        <w:t>)</w:t>
      </w:r>
    </w:p>
    <w:p w14:paraId="27BF9965" w14:textId="77777777" w:rsidR="008E06EA" w:rsidRPr="009040E4" w:rsidRDefault="00F168D3" w:rsidP="008E06EA">
      <w:pPr>
        <w:jc w:val="both"/>
        <w:rPr>
          <w:rFonts w:ascii="Arial" w:hAnsi="Arial" w:cs="Arial"/>
          <w:color w:val="0563C1" w:themeColor="hyperlink"/>
          <w:u w:val="single"/>
        </w:rPr>
      </w:pPr>
      <w:r w:rsidRPr="009040E4">
        <w:rPr>
          <w:rStyle w:val="markedcontent"/>
          <w:rFonts w:ascii="Arial" w:hAnsi="Arial" w:cs="Arial"/>
        </w:rPr>
        <w:t>Outre le présent protocole</w:t>
      </w:r>
      <w:r w:rsidR="00211116" w:rsidRPr="009040E4">
        <w:rPr>
          <w:rStyle w:val="markedcontent"/>
          <w:rFonts w:ascii="Arial" w:hAnsi="Arial" w:cs="Arial"/>
        </w:rPr>
        <w:t xml:space="preserve"> d’utilisation thérapeutique et de suiv</w:t>
      </w:r>
      <w:r w:rsidR="00E01F99" w:rsidRPr="009040E4">
        <w:rPr>
          <w:rStyle w:val="markedcontent"/>
          <w:rFonts w:ascii="Arial" w:hAnsi="Arial" w:cs="Arial"/>
        </w:rPr>
        <w:t>i</w:t>
      </w:r>
      <w:r w:rsidRPr="009040E4">
        <w:rPr>
          <w:rStyle w:val="markedcontent"/>
          <w:rFonts w:ascii="Arial" w:hAnsi="Arial" w:cs="Arial"/>
        </w:rPr>
        <w:t xml:space="preserve">, il est impératif que le médecin prescrivant </w:t>
      </w:r>
      <w:r w:rsidR="00EB38A7">
        <w:rPr>
          <w:rStyle w:val="markedcontent"/>
          <w:rFonts w:ascii="Arial" w:hAnsi="Arial" w:cs="Arial"/>
        </w:rPr>
        <w:t>c</w:t>
      </w:r>
      <w:r w:rsidR="00B42406" w:rsidRPr="009040E4">
        <w:rPr>
          <w:rStyle w:val="markedcontent"/>
          <w:rFonts w:ascii="Arial" w:hAnsi="Arial" w:cs="Arial"/>
        </w:rPr>
        <w:t xml:space="preserve">es spécialités </w:t>
      </w:r>
      <w:r w:rsidRPr="009040E4">
        <w:rPr>
          <w:rStyle w:val="markedcontent"/>
          <w:rFonts w:ascii="Arial" w:hAnsi="Arial" w:cs="Arial"/>
        </w:rPr>
        <w:t xml:space="preserve">dans le </w:t>
      </w:r>
      <w:r w:rsidR="00EB38A7">
        <w:rPr>
          <w:rStyle w:val="markedcontent"/>
          <w:rFonts w:ascii="Arial" w:hAnsi="Arial" w:cs="Arial"/>
        </w:rPr>
        <w:t xml:space="preserve">cadre du </w:t>
      </w:r>
      <w:r w:rsidRPr="009040E4">
        <w:rPr>
          <w:rStyle w:val="markedcontent"/>
          <w:rFonts w:ascii="Arial" w:hAnsi="Arial" w:cs="Arial"/>
        </w:rPr>
        <w:t>CPC prenne connaissance du résumé des caractéristiques du produit (RCP) annexé à l’AMM</w:t>
      </w:r>
      <w:r w:rsidR="00211116" w:rsidRPr="009040E4">
        <w:rPr>
          <w:rStyle w:val="markedcontent"/>
          <w:rFonts w:ascii="Arial" w:hAnsi="Arial" w:cs="Arial"/>
        </w:rPr>
        <w:t xml:space="preserve"> </w:t>
      </w:r>
      <w:r w:rsidRPr="009040E4">
        <w:rPr>
          <w:rStyle w:val="markedcontent"/>
          <w:rFonts w:ascii="Arial" w:hAnsi="Arial" w:cs="Arial"/>
        </w:rPr>
        <w:t>(</w:t>
      </w:r>
      <w:r w:rsidR="00C40A2A" w:rsidRPr="009040E4">
        <w:rPr>
          <w:rStyle w:val="markedcontent"/>
          <w:rFonts w:ascii="Arial" w:hAnsi="Arial" w:cs="Arial"/>
        </w:rPr>
        <w:t xml:space="preserve">cf. </w:t>
      </w:r>
      <w:hyperlink r:id="rId10" w:history="1">
        <w:r w:rsidR="00C40A2A" w:rsidRPr="009040E4">
          <w:rPr>
            <w:rStyle w:val="Lienhypertexte"/>
            <w:rFonts w:ascii="Arial" w:hAnsi="Arial" w:cs="Arial"/>
          </w:rPr>
          <w:t>http://base-donnees-publique.medicaments.gouv.fr</w:t>
        </w:r>
      </w:hyperlink>
      <w:r w:rsidRPr="009040E4">
        <w:rPr>
          <w:rStyle w:val="markedcontent"/>
          <w:rFonts w:ascii="Arial" w:hAnsi="Arial" w:cs="Arial"/>
        </w:rPr>
        <w:t>)</w:t>
      </w:r>
      <w:r w:rsidR="00891E34" w:rsidRPr="009040E4">
        <w:rPr>
          <w:rStyle w:val="markedcontent"/>
          <w:rFonts w:ascii="Arial" w:hAnsi="Arial" w:cs="Arial"/>
        </w:rPr>
        <w:t>.</w:t>
      </w:r>
    </w:p>
    <w:tbl>
      <w:tblPr>
        <w:tblStyle w:val="Grilledetableauclaire"/>
        <w:tblW w:w="9609" w:type="dxa"/>
        <w:tblLook w:val="0600" w:firstRow="0" w:lastRow="0" w:firstColumn="0" w:lastColumn="0" w:noHBand="1" w:noVBand="1"/>
      </w:tblPr>
      <w:tblGrid>
        <w:gridCol w:w="9609"/>
      </w:tblGrid>
      <w:tr w:rsidR="00D92560" w:rsidRPr="009040E4" w14:paraId="186620B2" w14:textId="77777777" w:rsidTr="00D92560">
        <w:tc>
          <w:tcPr>
            <w:tcW w:w="9609" w:type="dxa"/>
          </w:tcPr>
          <w:p w14:paraId="7C6C72A8" w14:textId="77777777" w:rsidR="00B42406" w:rsidRPr="002169B7" w:rsidRDefault="00B42406" w:rsidP="00B42406">
            <w:pPr>
              <w:jc w:val="both"/>
              <w:rPr>
                <w:rStyle w:val="Mention1"/>
                <w:b/>
                <w:color w:val="auto"/>
                <w:u w:val="single"/>
              </w:rPr>
            </w:pPr>
            <w:r w:rsidRPr="002169B7">
              <w:rPr>
                <w:rStyle w:val="Mention1"/>
                <w:b/>
                <w:color w:val="auto"/>
                <w:u w:val="single"/>
              </w:rPr>
              <w:t>Indications et conditions d’utilisation du CPC :</w:t>
            </w:r>
          </w:p>
          <w:p w14:paraId="6777955C" w14:textId="77777777" w:rsidR="00B42406" w:rsidRPr="002169B7" w:rsidRDefault="00B42406" w:rsidP="00B42406">
            <w:pPr>
              <w:jc w:val="both"/>
              <w:rPr>
                <w:rStyle w:val="Mention1"/>
                <w:b/>
                <w:color w:val="auto"/>
              </w:rPr>
            </w:pPr>
          </w:p>
          <w:p w14:paraId="71A9CDD9" w14:textId="77777777" w:rsidR="00B42406" w:rsidRPr="002169B7" w:rsidRDefault="00B42406" w:rsidP="00B42406">
            <w:pPr>
              <w:jc w:val="both"/>
              <w:rPr>
                <w:rStyle w:val="Mention1"/>
                <w:b/>
                <w:color w:val="auto"/>
              </w:rPr>
            </w:pPr>
            <w:r w:rsidRPr="002169B7">
              <w:rPr>
                <w:rStyle w:val="Mention1"/>
                <w:b/>
                <w:color w:val="auto"/>
              </w:rPr>
              <w:t>Traitement de la douleur neuropathique chronique (depuis au moins 6 mois) périphérique bien localisée (surface ≤ 240 cm²) en tant que traitement adjuvant chez les patients adultes insuffisamment soulagés ou réfractaires aux autres traitements.</w:t>
            </w:r>
          </w:p>
          <w:p w14:paraId="1A4AFF76" w14:textId="77777777" w:rsidR="00B42406" w:rsidRPr="002169B7" w:rsidRDefault="00B42406" w:rsidP="00B42406">
            <w:pPr>
              <w:jc w:val="both"/>
              <w:rPr>
                <w:rStyle w:val="Mention1"/>
                <w:b/>
                <w:color w:val="auto"/>
              </w:rPr>
            </w:pPr>
          </w:p>
          <w:p w14:paraId="4A370EA2" w14:textId="77777777" w:rsidR="00B42406" w:rsidRPr="002169B7" w:rsidRDefault="00B42406" w:rsidP="00B42406">
            <w:pPr>
              <w:jc w:val="both"/>
              <w:rPr>
                <w:rStyle w:val="Mention1"/>
                <w:b/>
                <w:color w:val="auto"/>
              </w:rPr>
            </w:pPr>
            <w:r w:rsidRPr="002169B7">
              <w:rPr>
                <w:rStyle w:val="Mention1"/>
                <w:b/>
                <w:color w:val="auto"/>
              </w:rPr>
              <w:t>Les patients doivent présenter les 3 conditions suivantes :</w:t>
            </w:r>
          </w:p>
          <w:p w14:paraId="3D39429B" w14:textId="77777777" w:rsidR="00B42406" w:rsidRPr="002169B7" w:rsidRDefault="00B42406" w:rsidP="00B42406">
            <w:pPr>
              <w:jc w:val="both"/>
              <w:rPr>
                <w:rStyle w:val="Mention1"/>
                <w:b/>
                <w:color w:val="auto"/>
              </w:rPr>
            </w:pPr>
            <w:r w:rsidRPr="002169B7">
              <w:rPr>
                <w:rStyle w:val="Mention1"/>
                <w:b/>
                <w:color w:val="auto"/>
              </w:rPr>
              <w:t>-</w:t>
            </w:r>
            <w:r w:rsidR="00191054" w:rsidRPr="002169B7">
              <w:rPr>
                <w:rStyle w:val="Mention1"/>
                <w:b/>
                <w:color w:val="auto"/>
              </w:rPr>
              <w:t xml:space="preserve"> </w:t>
            </w:r>
            <w:r w:rsidRPr="002169B7">
              <w:rPr>
                <w:rStyle w:val="Mention1"/>
                <w:b/>
                <w:color w:val="auto"/>
              </w:rPr>
              <w:t>des douleurs attribuées à une lésion nerveuse périphérique depuis au moins 6 mois</w:t>
            </w:r>
            <w:r w:rsidR="00EB38A7" w:rsidRPr="002169B7">
              <w:rPr>
                <w:rStyle w:val="Mention1"/>
                <w:b/>
                <w:color w:val="auto"/>
              </w:rPr>
              <w:t>,</w:t>
            </w:r>
          </w:p>
          <w:p w14:paraId="58BD0169" w14:textId="77777777" w:rsidR="00B42406" w:rsidRPr="002169B7" w:rsidRDefault="00B42406" w:rsidP="00B42406">
            <w:pPr>
              <w:jc w:val="both"/>
              <w:rPr>
                <w:rStyle w:val="Mention1"/>
                <w:b/>
                <w:color w:val="auto"/>
              </w:rPr>
            </w:pPr>
            <w:r w:rsidRPr="002169B7">
              <w:rPr>
                <w:rStyle w:val="Mention1"/>
                <w:b/>
                <w:color w:val="auto"/>
              </w:rPr>
              <w:t>-</w:t>
            </w:r>
            <w:r w:rsidR="00191054" w:rsidRPr="002169B7">
              <w:rPr>
                <w:rStyle w:val="Mention1"/>
                <w:b/>
                <w:color w:val="auto"/>
              </w:rPr>
              <w:t xml:space="preserve"> </w:t>
            </w:r>
            <w:r w:rsidRPr="002169B7">
              <w:rPr>
                <w:rStyle w:val="Mention1"/>
                <w:b/>
                <w:color w:val="auto"/>
              </w:rPr>
              <w:t>des douleurs quotidiennes avec un score d’au moins 4/10 sur l’échelle numérique</w:t>
            </w:r>
          </w:p>
          <w:p w14:paraId="65EBEF76" w14:textId="77777777" w:rsidR="00B42406" w:rsidRPr="002169B7" w:rsidRDefault="00B42406" w:rsidP="00B42406">
            <w:pPr>
              <w:jc w:val="both"/>
              <w:rPr>
                <w:rStyle w:val="Mention1"/>
                <w:b/>
                <w:color w:val="auto"/>
              </w:rPr>
            </w:pPr>
            <w:r w:rsidRPr="002169B7">
              <w:rPr>
                <w:rStyle w:val="Mention1"/>
                <w:b/>
                <w:color w:val="auto"/>
              </w:rPr>
              <w:t>-</w:t>
            </w:r>
            <w:r w:rsidR="00191054" w:rsidRPr="002169B7">
              <w:rPr>
                <w:rStyle w:val="Mention1"/>
                <w:b/>
                <w:color w:val="auto"/>
              </w:rPr>
              <w:t xml:space="preserve"> </w:t>
            </w:r>
            <w:r w:rsidR="00EB38A7" w:rsidRPr="002169B7">
              <w:rPr>
                <w:rStyle w:val="Mention1"/>
                <w:b/>
                <w:color w:val="auto"/>
              </w:rPr>
              <w:t xml:space="preserve">et </w:t>
            </w:r>
            <w:r w:rsidRPr="002169B7">
              <w:rPr>
                <w:rStyle w:val="Mention1"/>
                <w:b/>
                <w:color w:val="auto"/>
              </w:rPr>
              <w:t xml:space="preserve">un score d’au moins 4/10 sur le DN4 </w:t>
            </w:r>
          </w:p>
          <w:p w14:paraId="274E654D" w14:textId="77777777" w:rsidR="00B42406" w:rsidRPr="009040E4" w:rsidRDefault="00B42406" w:rsidP="00B42406">
            <w:pPr>
              <w:jc w:val="both"/>
              <w:rPr>
                <w:rStyle w:val="Mention1"/>
                <w:color w:val="auto"/>
              </w:rPr>
            </w:pPr>
          </w:p>
          <w:p w14:paraId="0590EFE0" w14:textId="77777777" w:rsidR="00B42406" w:rsidRPr="009040E4" w:rsidRDefault="00B42406" w:rsidP="00B42406">
            <w:pPr>
              <w:jc w:val="both"/>
              <w:rPr>
                <w:rStyle w:val="Mention1"/>
                <w:color w:val="auto"/>
              </w:rPr>
            </w:pPr>
            <w:r w:rsidRPr="009040E4">
              <w:rPr>
                <w:rStyle w:val="Mention1"/>
                <w:color w:val="auto"/>
              </w:rPr>
              <w:lastRenderedPageBreak/>
              <w:t xml:space="preserve">L’échelle numérique est une échelle d’auto-évaluation de l’intensité de la douleur. Le patient évalue de 0 à 10 sa douleur moyenne des 8 derniers jours. La note 0 correspond à « pas de douleur » et la note 10 correspond à la « douleur maximale imaginable ». </w:t>
            </w:r>
          </w:p>
          <w:p w14:paraId="244F20FE" w14:textId="77777777" w:rsidR="00B42406" w:rsidRPr="009040E4" w:rsidRDefault="00B42406" w:rsidP="00B42406">
            <w:pPr>
              <w:jc w:val="both"/>
              <w:rPr>
                <w:rStyle w:val="Mention1"/>
                <w:color w:val="auto"/>
              </w:rPr>
            </w:pPr>
          </w:p>
          <w:p w14:paraId="0AB18818" w14:textId="77777777" w:rsidR="00B42406" w:rsidRDefault="00B42406" w:rsidP="00B42406">
            <w:pPr>
              <w:jc w:val="both"/>
              <w:rPr>
                <w:rStyle w:val="Mention1"/>
                <w:color w:val="auto"/>
              </w:rPr>
            </w:pPr>
            <w:r w:rsidRPr="009040E4">
              <w:rPr>
                <w:rStyle w:val="Mention1"/>
                <w:color w:val="auto"/>
              </w:rPr>
              <w:t xml:space="preserve">Le questionnaire DN4 est un outil d’aide au diagnostic de la douleur neuropathique qui se répartit en 4 questions représentant 10 items à cocher. Le praticien interroge lui-même le patient et remplit le questionnaire, à chaque item, il doit apporter une réponse « oui » ou « non ». Chaque « oui » représente 1 point et chaque « non » 0 point. La somme obtenue donne le Score du Patient, noté sur 10. Si le score du patient est égal ou supérieur à 4/10, le test est positif.  </w:t>
            </w:r>
          </w:p>
          <w:p w14:paraId="57BEAFB3" w14:textId="77777777" w:rsidR="00877CDC" w:rsidRPr="009040E4" w:rsidRDefault="00877CDC" w:rsidP="00B42406">
            <w:pPr>
              <w:jc w:val="both"/>
              <w:rPr>
                <w:rStyle w:val="Mention1"/>
                <w:color w:val="auto"/>
              </w:rPr>
            </w:pPr>
          </w:p>
          <w:p w14:paraId="49673B98" w14:textId="5074435E" w:rsidR="00D92560" w:rsidRPr="009040E4" w:rsidRDefault="00B42406" w:rsidP="00DC4530">
            <w:pPr>
              <w:jc w:val="both"/>
            </w:pPr>
            <w:r w:rsidRPr="009040E4">
              <w:rPr>
                <w:rStyle w:val="Mention1"/>
                <w:color w:val="auto"/>
              </w:rPr>
              <w:t>Le bénéfice du traitement doit être réévalué au bout de 2 administrations soit 24 semaines de traitement. En l’absence d’obtention d’un soulagement d’au moins 30% de la douleur (mesurée sur l’échelle numérique) par rapport à l’évaluation initiale, la poursuite du traitement n’est pas justifiée et celui-ci</w:t>
            </w:r>
            <w:r w:rsidR="00DC4530">
              <w:rPr>
                <w:rStyle w:val="Mention1"/>
                <w:color w:val="auto"/>
              </w:rPr>
              <w:t xml:space="preserve"> doit être interrompu (Annexe 1.2 </w:t>
            </w:r>
            <w:r w:rsidR="00DC4530" w:rsidRPr="00DC4530">
              <w:rPr>
                <w:rFonts w:ascii="Arial Nova Cond" w:hAnsi="Arial Nova Cond"/>
                <w:shd w:val="clear" w:color="auto" w:fill="F2F2F2" w:themeFill="background1" w:themeFillShade="F2"/>
              </w:rPr>
              <w:t>fiche de suivi pour les visites initiales V1 et V2</w:t>
            </w:r>
            <w:r w:rsidRPr="009040E4">
              <w:rPr>
                <w:rStyle w:val="Mention1"/>
                <w:color w:val="auto"/>
              </w:rPr>
              <w:t>).</w:t>
            </w:r>
          </w:p>
        </w:tc>
      </w:tr>
    </w:tbl>
    <w:p w14:paraId="2101046A" w14:textId="77777777" w:rsidR="00D92560" w:rsidRPr="009040E4" w:rsidRDefault="00D92560" w:rsidP="00D92560"/>
    <w:p w14:paraId="3F130F61" w14:textId="77777777" w:rsidR="00D92560" w:rsidRPr="009040E4" w:rsidRDefault="00D92560" w:rsidP="00023D38">
      <w:pPr>
        <w:pStyle w:val="Intertitre"/>
        <w:ind w:firstLine="709"/>
      </w:pPr>
      <w:r w:rsidRPr="009040E4">
        <w:t>Posologie</w:t>
      </w:r>
      <w:r w:rsidR="004F777A" w:rsidRPr="009040E4">
        <w:t xml:space="preserve"> et mode d’administration</w:t>
      </w:r>
    </w:p>
    <w:tbl>
      <w:tblPr>
        <w:tblStyle w:val="Grilledutableau"/>
        <w:tblW w:w="0" w:type="auto"/>
        <w:tblLook w:val="04A0" w:firstRow="1" w:lastRow="0" w:firstColumn="1" w:lastColumn="0" w:noHBand="0" w:noVBand="1"/>
      </w:tblPr>
      <w:tblGrid>
        <w:gridCol w:w="9062"/>
      </w:tblGrid>
      <w:tr w:rsidR="007D79E5" w:rsidRPr="009040E4" w14:paraId="02A06C01" w14:textId="77777777" w:rsidTr="00DF5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7" w:type="dxa"/>
          </w:tcPr>
          <w:p w14:paraId="5941D0E8" w14:textId="77777777" w:rsidR="007D79E5" w:rsidRPr="009040E4" w:rsidRDefault="007D79E5" w:rsidP="00DF5991">
            <w:pPr>
              <w:jc w:val="both"/>
              <w:rPr>
                <w:rStyle w:val="Mention1"/>
                <w:color w:val="auto"/>
              </w:rPr>
            </w:pPr>
            <w:r w:rsidRPr="009040E4">
              <w:rPr>
                <w:rStyle w:val="Mention1"/>
                <w:color w:val="auto"/>
              </w:rPr>
              <w:t>ATTENTION</w:t>
            </w:r>
          </w:p>
          <w:p w14:paraId="4CF837DC" w14:textId="77777777" w:rsidR="007D79E5" w:rsidRPr="009040E4" w:rsidRDefault="007D79E5" w:rsidP="00DF5991">
            <w:pPr>
              <w:jc w:val="both"/>
              <w:rPr>
                <w:rStyle w:val="Mention1"/>
                <w:color w:val="auto"/>
              </w:rPr>
            </w:pPr>
          </w:p>
          <w:p w14:paraId="6983DC1E" w14:textId="164D62B4" w:rsidR="007D79E5" w:rsidRPr="009040E4" w:rsidRDefault="007D79E5" w:rsidP="005A40FF">
            <w:pPr>
              <w:jc w:val="both"/>
              <w:rPr>
                <w:rStyle w:val="Mention1"/>
                <w:color w:val="auto"/>
              </w:rPr>
            </w:pPr>
            <w:r w:rsidRPr="009040E4">
              <w:rPr>
                <w:rStyle w:val="Mention1"/>
                <w:color w:val="auto"/>
              </w:rPr>
              <w:t>L'INJECTION DOIT ÊTRE REALISÉE</w:t>
            </w:r>
            <w:r w:rsidR="005A40FF">
              <w:rPr>
                <w:rStyle w:val="Mention1"/>
                <w:color w:val="auto"/>
              </w:rPr>
              <w:t xml:space="preserve"> EN MILIEU HOSPITALIER</w:t>
            </w:r>
            <w:r w:rsidRPr="009040E4">
              <w:rPr>
                <w:rStyle w:val="Mention1"/>
                <w:color w:val="auto"/>
              </w:rPr>
              <w:t xml:space="preserve"> PAR UN MÉDECIN </w:t>
            </w:r>
            <w:r w:rsidR="005A40FF">
              <w:rPr>
                <w:rStyle w:val="Mention1"/>
                <w:color w:val="auto"/>
              </w:rPr>
              <w:t>EXPERIMENTE DANS LE TRAITEMENT DE LA DOULEUR</w:t>
            </w:r>
            <w:r w:rsidRPr="009040E4">
              <w:rPr>
                <w:rStyle w:val="Mention1"/>
                <w:color w:val="auto"/>
              </w:rPr>
              <w:t xml:space="preserve"> AYANT UNE BONNE EXPÉRIENCE DE L'UTILISATION DE LA TOXINE BOTULINIQUE DANS L’INDICATION DU CPC ET DISPOSANT D’UN PLATEAU TECHNIQUE ADAPTÉ.</w:t>
            </w:r>
          </w:p>
        </w:tc>
      </w:tr>
    </w:tbl>
    <w:p w14:paraId="5F5C1490" w14:textId="77777777" w:rsidR="007D79E5" w:rsidRPr="009040E4" w:rsidRDefault="007D79E5" w:rsidP="00DF5991">
      <w:pPr>
        <w:spacing w:after="0" w:line="240" w:lineRule="auto"/>
        <w:jc w:val="both"/>
        <w:rPr>
          <w:rStyle w:val="Mention1"/>
          <w:rFonts w:eastAsiaTheme="minorEastAsia"/>
          <w:color w:val="auto"/>
          <w:lang w:eastAsia="fr-FR"/>
        </w:rPr>
      </w:pPr>
    </w:p>
    <w:p w14:paraId="6A8DCCFA" w14:textId="77777777" w:rsidR="007D79E5" w:rsidRPr="009040E4" w:rsidRDefault="007D79E5" w:rsidP="00DF5991">
      <w:pPr>
        <w:spacing w:after="0" w:line="240" w:lineRule="auto"/>
        <w:jc w:val="both"/>
        <w:rPr>
          <w:rStyle w:val="Mention1"/>
          <w:rFonts w:eastAsiaTheme="minorEastAsia"/>
          <w:color w:val="auto"/>
          <w:lang w:eastAsia="fr-FR"/>
        </w:rPr>
      </w:pPr>
    </w:p>
    <w:tbl>
      <w:tblPr>
        <w:tblStyle w:val="Grilledutableau"/>
        <w:tblW w:w="0" w:type="auto"/>
        <w:tblLook w:val="04A0" w:firstRow="1" w:lastRow="0" w:firstColumn="1" w:lastColumn="0" w:noHBand="0" w:noVBand="1"/>
      </w:tblPr>
      <w:tblGrid>
        <w:gridCol w:w="9062"/>
      </w:tblGrid>
      <w:tr w:rsidR="007D79E5" w:rsidRPr="009040E4" w14:paraId="5A81CDE3" w14:textId="77777777" w:rsidTr="00DF5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7" w:type="dxa"/>
          </w:tcPr>
          <w:p w14:paraId="5CFD7C8B" w14:textId="0BB7410F" w:rsidR="007D79E5" w:rsidRPr="009040E4" w:rsidRDefault="007D79E5" w:rsidP="00DF5991">
            <w:pPr>
              <w:jc w:val="both"/>
              <w:rPr>
                <w:rStyle w:val="Mention1"/>
                <w:color w:val="auto"/>
              </w:rPr>
            </w:pPr>
            <w:r w:rsidRPr="009040E4">
              <w:rPr>
                <w:rStyle w:val="Mention1"/>
                <w:color w:val="auto"/>
              </w:rPr>
              <w:t>ATTENTION</w:t>
            </w:r>
          </w:p>
          <w:p w14:paraId="039FC5A7" w14:textId="77777777" w:rsidR="007D79E5" w:rsidRDefault="007D79E5" w:rsidP="00DF5991">
            <w:pPr>
              <w:jc w:val="both"/>
              <w:rPr>
                <w:rStyle w:val="Mention1"/>
                <w:color w:val="auto"/>
              </w:rPr>
            </w:pPr>
          </w:p>
          <w:p w14:paraId="31D04B10" w14:textId="77777777" w:rsidR="005A40FF" w:rsidRDefault="005A40FF" w:rsidP="00DF5991">
            <w:pPr>
              <w:jc w:val="both"/>
              <w:rPr>
                <w:rStyle w:val="Mention1"/>
                <w:color w:val="auto"/>
              </w:rPr>
            </w:pPr>
            <w:r>
              <w:rPr>
                <w:rStyle w:val="Mention1"/>
                <w:color w:val="auto"/>
              </w:rPr>
              <w:t>SEULES LES SPECIALITES BOTOX PEUVENT ETRE UTILISEE DANS LE CADRE DE CE CPC.</w:t>
            </w:r>
          </w:p>
          <w:p w14:paraId="1E525350" w14:textId="77777777" w:rsidR="005A40FF" w:rsidRDefault="005A40FF" w:rsidP="00DF5991">
            <w:pPr>
              <w:jc w:val="both"/>
              <w:rPr>
                <w:rStyle w:val="Mention1"/>
                <w:color w:val="auto"/>
              </w:rPr>
            </w:pPr>
          </w:p>
          <w:p w14:paraId="236E5363" w14:textId="7B65BFCF" w:rsidR="007D79E5" w:rsidRPr="009040E4" w:rsidRDefault="005A40FF" w:rsidP="00A94F8E">
            <w:pPr>
              <w:jc w:val="both"/>
              <w:rPr>
                <w:rStyle w:val="Mention1"/>
                <w:color w:val="auto"/>
              </w:rPr>
            </w:pPr>
            <w:r>
              <w:rPr>
                <w:rStyle w:val="Mention1"/>
                <w:color w:val="auto"/>
              </w:rPr>
              <w:t>ELLES NE PEUVENT PAS ETRE REMPLACEES PAR D’AUTRES SPECIALITES A BASE DE TOXINE BOTULINIQUE DE TYPE A CAR LEURS DOSES NE SONT PAS INTERCHANGEABLES.</w:t>
            </w:r>
          </w:p>
        </w:tc>
      </w:tr>
    </w:tbl>
    <w:p w14:paraId="40C45DE6" w14:textId="77777777" w:rsidR="007D79E5" w:rsidRPr="009040E4" w:rsidRDefault="007D79E5" w:rsidP="00DF5991">
      <w:pPr>
        <w:spacing w:after="0" w:line="240" w:lineRule="auto"/>
        <w:jc w:val="both"/>
        <w:rPr>
          <w:rStyle w:val="Mention1"/>
          <w:rFonts w:eastAsiaTheme="minorEastAsia"/>
          <w:color w:val="auto"/>
          <w:lang w:eastAsia="fr-FR"/>
        </w:rPr>
      </w:pPr>
    </w:p>
    <w:p w14:paraId="485311A0" w14:textId="77777777" w:rsidR="007D79E5" w:rsidRPr="009040E4" w:rsidRDefault="007D79E5" w:rsidP="00DF5991">
      <w:pPr>
        <w:spacing w:after="0" w:line="240" w:lineRule="auto"/>
        <w:jc w:val="both"/>
        <w:rPr>
          <w:rStyle w:val="Mention1"/>
          <w:rFonts w:eastAsiaTheme="minorEastAsia"/>
          <w:color w:val="auto"/>
          <w:lang w:eastAsia="fr-FR"/>
        </w:rPr>
      </w:pPr>
    </w:p>
    <w:p w14:paraId="35D8157F" w14:textId="77777777" w:rsidR="007D79E5" w:rsidRPr="009040E4" w:rsidRDefault="007D79E5" w:rsidP="00DF5991">
      <w:pPr>
        <w:spacing w:after="0" w:line="240" w:lineRule="auto"/>
        <w:jc w:val="both"/>
        <w:rPr>
          <w:rStyle w:val="Mention1"/>
          <w:rFonts w:eastAsiaTheme="minorEastAsia"/>
          <w:color w:val="auto"/>
          <w:lang w:eastAsia="fr-FR"/>
        </w:rPr>
      </w:pPr>
      <w:r w:rsidRPr="009040E4">
        <w:rPr>
          <w:rStyle w:val="Mention1"/>
          <w:rFonts w:eastAsiaTheme="minorEastAsia"/>
          <w:color w:val="auto"/>
          <w:lang w:eastAsia="fr-FR"/>
        </w:rPr>
        <w:t>La posologie préconisée dans le contexte du CPC chez les patients adultes est :</w:t>
      </w:r>
    </w:p>
    <w:p w14:paraId="3DBD71F8" w14:textId="77777777" w:rsidR="007D79E5" w:rsidRPr="009040E4" w:rsidRDefault="007D79E5" w:rsidP="00DF5991">
      <w:pPr>
        <w:spacing w:after="0" w:line="240" w:lineRule="auto"/>
        <w:jc w:val="both"/>
        <w:rPr>
          <w:rStyle w:val="Mention1"/>
          <w:rFonts w:eastAsiaTheme="minorEastAsia"/>
          <w:color w:val="auto"/>
          <w:lang w:eastAsia="fr-FR"/>
        </w:rPr>
      </w:pPr>
    </w:p>
    <w:p w14:paraId="27C9FFDA" w14:textId="2F2C54DA" w:rsidR="007D79E5" w:rsidRPr="00A87BE6" w:rsidRDefault="007D79E5" w:rsidP="00DF5991">
      <w:pPr>
        <w:spacing w:after="0" w:line="240" w:lineRule="auto"/>
        <w:jc w:val="both"/>
        <w:rPr>
          <w:rStyle w:val="Mention1"/>
          <w:rFonts w:eastAsiaTheme="minorEastAsia"/>
          <w:b/>
          <w:color w:val="auto"/>
          <w:lang w:eastAsia="fr-FR"/>
        </w:rPr>
      </w:pPr>
      <w:r w:rsidRPr="00A87BE6">
        <w:rPr>
          <w:rStyle w:val="Mention1"/>
          <w:rFonts w:eastAsiaTheme="minorEastAsia"/>
          <w:b/>
          <w:color w:val="auto"/>
          <w:lang w:eastAsia="fr-FR"/>
        </w:rPr>
        <w:t>Une injection sous-cutanée d’un volume de 0,2 mL soit 5 unités de toxine botulinique de type A (BoNT/A) par site</w:t>
      </w:r>
      <w:r w:rsidR="00F05A8F">
        <w:rPr>
          <w:rStyle w:val="Mention1"/>
          <w:rFonts w:eastAsiaTheme="minorEastAsia"/>
          <w:b/>
          <w:color w:val="auto"/>
          <w:lang w:eastAsia="fr-FR"/>
        </w:rPr>
        <w:t xml:space="preserve"> d’injection</w:t>
      </w:r>
      <w:r w:rsidRPr="00A87BE6">
        <w:rPr>
          <w:rStyle w:val="Mention1"/>
          <w:rFonts w:eastAsiaTheme="minorEastAsia"/>
          <w:b/>
          <w:color w:val="auto"/>
          <w:lang w:eastAsia="fr-FR"/>
        </w:rPr>
        <w:t>.</w:t>
      </w:r>
    </w:p>
    <w:p w14:paraId="0B690FFC" w14:textId="77777777" w:rsidR="007D79E5" w:rsidRPr="00A87BE6" w:rsidRDefault="007D79E5" w:rsidP="00DF5991">
      <w:pPr>
        <w:spacing w:after="0" w:line="240" w:lineRule="auto"/>
        <w:jc w:val="both"/>
        <w:rPr>
          <w:rStyle w:val="Mention1"/>
          <w:rFonts w:eastAsiaTheme="minorEastAsia"/>
          <w:b/>
          <w:color w:val="auto"/>
          <w:lang w:eastAsia="fr-FR"/>
        </w:rPr>
      </w:pPr>
    </w:p>
    <w:p w14:paraId="5896FC74" w14:textId="32E963B1" w:rsidR="007D79E5" w:rsidRPr="00A87BE6" w:rsidRDefault="007D79E5" w:rsidP="00DF5991">
      <w:pPr>
        <w:spacing w:after="0" w:line="240" w:lineRule="auto"/>
        <w:jc w:val="both"/>
        <w:rPr>
          <w:rStyle w:val="Mention1"/>
          <w:rFonts w:eastAsiaTheme="minorEastAsia"/>
          <w:b/>
          <w:color w:val="auto"/>
          <w:lang w:eastAsia="fr-FR"/>
        </w:rPr>
      </w:pPr>
      <w:r w:rsidRPr="00A87BE6">
        <w:rPr>
          <w:rStyle w:val="Mention1"/>
          <w:rFonts w:eastAsiaTheme="minorEastAsia"/>
          <w:b/>
          <w:color w:val="auto"/>
          <w:lang w:eastAsia="fr-FR"/>
        </w:rPr>
        <w:t>Les</w:t>
      </w:r>
      <w:r w:rsidR="009354FA">
        <w:rPr>
          <w:rStyle w:val="Mention1"/>
          <w:rFonts w:eastAsiaTheme="minorEastAsia"/>
          <w:b/>
          <w:color w:val="auto"/>
          <w:lang w:eastAsia="fr-FR"/>
        </w:rPr>
        <w:t xml:space="preserve"> sites</w:t>
      </w:r>
      <w:r w:rsidRPr="00A87BE6">
        <w:rPr>
          <w:rStyle w:val="Mention1"/>
          <w:rFonts w:eastAsiaTheme="minorEastAsia"/>
          <w:b/>
          <w:color w:val="auto"/>
          <w:lang w:eastAsia="fr-FR"/>
        </w:rPr>
        <w:t xml:space="preserve"> </w:t>
      </w:r>
      <w:r w:rsidR="009354FA">
        <w:rPr>
          <w:rStyle w:val="Mention1"/>
          <w:rFonts w:eastAsiaTheme="minorEastAsia"/>
          <w:b/>
          <w:color w:val="auto"/>
          <w:lang w:eastAsia="fr-FR"/>
        </w:rPr>
        <w:t>d’</w:t>
      </w:r>
      <w:r w:rsidRPr="00A87BE6">
        <w:rPr>
          <w:rStyle w:val="Mention1"/>
          <w:rFonts w:eastAsiaTheme="minorEastAsia"/>
          <w:b/>
          <w:color w:val="auto"/>
          <w:lang w:eastAsia="fr-FR"/>
        </w:rPr>
        <w:t>injections so</w:t>
      </w:r>
      <w:r w:rsidR="009354FA">
        <w:rPr>
          <w:rStyle w:val="Mention1"/>
          <w:rFonts w:eastAsiaTheme="minorEastAsia"/>
          <w:b/>
          <w:color w:val="auto"/>
          <w:lang w:eastAsia="fr-FR"/>
        </w:rPr>
        <w:t>us-cutanées doivent être espacé</w:t>
      </w:r>
      <w:r w:rsidRPr="00A87BE6">
        <w:rPr>
          <w:rStyle w:val="Mention1"/>
          <w:rFonts w:eastAsiaTheme="minorEastAsia"/>
          <w:b/>
          <w:color w:val="auto"/>
          <w:lang w:eastAsia="fr-FR"/>
        </w:rPr>
        <w:t xml:space="preserve">s de </w:t>
      </w:r>
      <w:r w:rsidR="009354FA">
        <w:rPr>
          <w:rStyle w:val="Mention1"/>
          <w:rFonts w:eastAsiaTheme="minorEastAsia"/>
          <w:b/>
          <w:color w:val="auto"/>
          <w:lang w:eastAsia="fr-FR"/>
        </w:rPr>
        <w:t xml:space="preserve">1,5 à 2 cm </w:t>
      </w:r>
      <w:r w:rsidRPr="00A87BE6">
        <w:rPr>
          <w:rStyle w:val="Mention1"/>
          <w:rFonts w:eastAsiaTheme="minorEastAsia"/>
          <w:b/>
          <w:color w:val="auto"/>
          <w:lang w:eastAsia="fr-FR"/>
        </w:rPr>
        <w:t>pour couvrir la zone douloureuse (selon la topographie de la douleur).</w:t>
      </w:r>
    </w:p>
    <w:p w14:paraId="335FDA0A" w14:textId="77777777" w:rsidR="007D79E5" w:rsidRPr="00A87BE6" w:rsidRDefault="007D79E5" w:rsidP="00DF5991">
      <w:pPr>
        <w:spacing w:after="0" w:line="240" w:lineRule="auto"/>
        <w:jc w:val="both"/>
        <w:rPr>
          <w:rStyle w:val="Mention1"/>
          <w:rFonts w:eastAsiaTheme="minorEastAsia"/>
          <w:b/>
          <w:color w:val="auto"/>
          <w:lang w:eastAsia="fr-FR"/>
        </w:rPr>
      </w:pPr>
    </w:p>
    <w:p w14:paraId="7F3C7AAF" w14:textId="77777777" w:rsidR="007D79E5" w:rsidRPr="00A87BE6" w:rsidRDefault="007D79E5" w:rsidP="00DF5991">
      <w:pPr>
        <w:spacing w:after="0" w:line="240" w:lineRule="auto"/>
        <w:jc w:val="both"/>
        <w:rPr>
          <w:rStyle w:val="Mention1"/>
          <w:rFonts w:eastAsiaTheme="minorEastAsia"/>
          <w:b/>
          <w:color w:val="auto"/>
          <w:lang w:eastAsia="fr-FR"/>
        </w:rPr>
      </w:pPr>
      <w:r w:rsidRPr="00A87BE6">
        <w:rPr>
          <w:rStyle w:val="Mention1"/>
          <w:rFonts w:eastAsiaTheme="minorEastAsia"/>
          <w:b/>
          <w:color w:val="auto"/>
          <w:lang w:eastAsia="fr-FR"/>
        </w:rPr>
        <w:t>La dose totale ne doit pas excéder 60 sites d’injection correspondant à un volume de 12 mL soit une dose maximale totale par administration de 300 unités de BoNT/A.</w:t>
      </w:r>
    </w:p>
    <w:p w14:paraId="4E3B8F99" w14:textId="77777777" w:rsidR="007D79E5" w:rsidRPr="00A87BE6" w:rsidRDefault="007D79E5" w:rsidP="00DF5991">
      <w:pPr>
        <w:spacing w:after="0" w:line="240" w:lineRule="auto"/>
        <w:jc w:val="both"/>
        <w:rPr>
          <w:rStyle w:val="Mention1"/>
          <w:rFonts w:eastAsiaTheme="minorEastAsia"/>
          <w:b/>
          <w:color w:val="auto"/>
          <w:lang w:eastAsia="fr-FR"/>
        </w:rPr>
      </w:pPr>
    </w:p>
    <w:p w14:paraId="5E00BC84" w14:textId="77777777" w:rsidR="007D79E5" w:rsidRPr="009040E4" w:rsidRDefault="002D3DA2" w:rsidP="00DF5991">
      <w:pPr>
        <w:spacing w:after="0" w:line="240" w:lineRule="auto"/>
        <w:jc w:val="both"/>
        <w:rPr>
          <w:rStyle w:val="Mention1"/>
          <w:rFonts w:eastAsiaTheme="minorEastAsia"/>
          <w:color w:val="auto"/>
          <w:lang w:eastAsia="fr-FR"/>
        </w:rPr>
      </w:pPr>
      <w:r w:rsidRPr="00A87BE6">
        <w:rPr>
          <w:rStyle w:val="Mention1"/>
          <w:rFonts w:eastAsiaTheme="minorEastAsia"/>
          <w:b/>
          <w:color w:val="auto"/>
          <w:lang w:eastAsia="fr-FR"/>
        </w:rPr>
        <w:t>L’i</w:t>
      </w:r>
      <w:r w:rsidR="007D79E5" w:rsidRPr="00A87BE6">
        <w:rPr>
          <w:rStyle w:val="Mention1"/>
          <w:rFonts w:eastAsiaTheme="minorEastAsia"/>
          <w:b/>
          <w:color w:val="auto"/>
          <w:lang w:eastAsia="fr-FR"/>
        </w:rPr>
        <w:t>ntervalle e</w:t>
      </w:r>
      <w:r w:rsidRPr="00A87BE6">
        <w:rPr>
          <w:rStyle w:val="Mention1"/>
          <w:rFonts w:eastAsiaTheme="minorEastAsia"/>
          <w:b/>
          <w:color w:val="auto"/>
          <w:lang w:eastAsia="fr-FR"/>
        </w:rPr>
        <w:t xml:space="preserve">ntre deux séances d’injections est de </w:t>
      </w:r>
      <w:r w:rsidR="007D79E5" w:rsidRPr="00A87BE6">
        <w:rPr>
          <w:rStyle w:val="Mention1"/>
          <w:rFonts w:eastAsiaTheme="minorEastAsia"/>
          <w:b/>
          <w:color w:val="auto"/>
          <w:lang w:eastAsia="fr-FR"/>
        </w:rPr>
        <w:t>12 semaines.</w:t>
      </w:r>
      <w:r w:rsidR="007D79E5" w:rsidRPr="009040E4">
        <w:rPr>
          <w:rStyle w:val="Mention1"/>
          <w:rFonts w:eastAsiaTheme="minorEastAsia"/>
          <w:color w:val="auto"/>
          <w:lang w:eastAsia="fr-FR"/>
        </w:rPr>
        <w:t xml:space="preserve"> </w:t>
      </w:r>
    </w:p>
    <w:p w14:paraId="5D4D0F49" w14:textId="77777777" w:rsidR="007D79E5" w:rsidRPr="009040E4" w:rsidRDefault="007D79E5" w:rsidP="00DF5991">
      <w:pPr>
        <w:spacing w:after="0" w:line="240" w:lineRule="auto"/>
        <w:jc w:val="both"/>
        <w:rPr>
          <w:rStyle w:val="Mention1"/>
          <w:rFonts w:eastAsiaTheme="minorEastAsia"/>
          <w:color w:val="auto"/>
          <w:lang w:eastAsia="fr-FR"/>
        </w:rPr>
      </w:pPr>
      <w:r w:rsidRPr="009040E4">
        <w:rPr>
          <w:rStyle w:val="Mention1"/>
          <w:rFonts w:eastAsiaTheme="minorEastAsia"/>
          <w:color w:val="auto"/>
          <w:lang w:eastAsia="fr-FR"/>
        </w:rPr>
        <w:t>La présence d’anticorps dirigés contre la toxine botulinique de type A peut réd</w:t>
      </w:r>
      <w:r w:rsidR="002169B7">
        <w:rPr>
          <w:rStyle w:val="Mention1"/>
          <w:rFonts w:eastAsiaTheme="minorEastAsia"/>
          <w:color w:val="auto"/>
          <w:lang w:eastAsia="fr-FR"/>
        </w:rPr>
        <w:t>uire l’efficacité du traitement</w:t>
      </w:r>
      <w:r w:rsidRPr="009040E4">
        <w:rPr>
          <w:rStyle w:val="Mention1"/>
          <w:rFonts w:eastAsiaTheme="minorEastAsia"/>
          <w:color w:val="auto"/>
          <w:lang w:eastAsia="fr-FR"/>
        </w:rPr>
        <w:t>. En conséquence, l’intervalle minimum entre 2 séances d'injection doit être respecté.</w:t>
      </w:r>
    </w:p>
    <w:p w14:paraId="70503C9B" w14:textId="77777777" w:rsidR="007D79E5" w:rsidRPr="009040E4" w:rsidRDefault="007D79E5" w:rsidP="00DF5991">
      <w:pPr>
        <w:spacing w:after="0" w:line="240" w:lineRule="auto"/>
        <w:jc w:val="both"/>
        <w:rPr>
          <w:rStyle w:val="Mention1"/>
          <w:rFonts w:eastAsiaTheme="minorEastAsia"/>
          <w:color w:val="auto"/>
          <w:lang w:eastAsia="fr-FR"/>
        </w:rPr>
      </w:pPr>
    </w:p>
    <w:p w14:paraId="51320563" w14:textId="6BEEBDCE" w:rsidR="007D79E5" w:rsidRPr="009040E4" w:rsidRDefault="007D79E5" w:rsidP="00DF5991">
      <w:pPr>
        <w:spacing w:after="0" w:line="240" w:lineRule="auto"/>
        <w:jc w:val="both"/>
        <w:rPr>
          <w:rStyle w:val="Mention1"/>
          <w:rFonts w:eastAsiaTheme="minorEastAsia"/>
          <w:color w:val="auto"/>
          <w:lang w:eastAsia="fr-FR"/>
        </w:rPr>
      </w:pPr>
      <w:r w:rsidRPr="009040E4">
        <w:rPr>
          <w:rStyle w:val="Mention1"/>
          <w:rFonts w:eastAsiaTheme="minorEastAsia"/>
          <w:color w:val="auto"/>
          <w:lang w:eastAsia="fr-FR"/>
        </w:rPr>
        <w:t xml:space="preserve">La préparation du produit pour reconstitution d’une solution injectable à 2,5 unités Allergan/0,1 mL </w:t>
      </w:r>
      <w:r w:rsidRPr="009040E4">
        <w:rPr>
          <w:rStyle w:val="Mention1"/>
          <w:rFonts w:eastAsiaTheme="minorEastAsia"/>
          <w:noProof/>
          <w:color w:val="auto"/>
          <w:lang w:eastAsia="fr-FR"/>
        </w:rPr>
        <mc:AlternateContent>
          <mc:Choice Requires="wpi">
            <w:drawing>
              <wp:anchor distT="0" distB="0" distL="114300" distR="114300" simplePos="0" relativeHeight="251658240" behindDoc="0" locked="0" layoutInCell="1" allowOverlap="1" wp14:anchorId="749C59E5" wp14:editId="2D319C21">
                <wp:simplePos x="0" y="0"/>
                <wp:positionH relativeFrom="column">
                  <wp:posOffset>-1187650</wp:posOffset>
                </wp:positionH>
                <wp:positionV relativeFrom="paragraph">
                  <wp:posOffset>234730</wp:posOffset>
                </wp:positionV>
                <wp:extent cx="360" cy="360"/>
                <wp:effectExtent l="38100" t="38100" r="38100" b="38100"/>
                <wp:wrapNone/>
                <wp:docPr id="1994322807" name="Encre 3"/>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57C2B43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3" o:spid="_x0000_s1026" type="#_x0000_t75" style="position:absolute;margin-left:-94pt;margin-top:18pt;width:1.05pt;height:1.0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1ziyIAQAAMQMAAA4AAABkcnMvZTJvRG9jLnhtbJxSy27CMBC8V+o/&#10;WL6XPEAUIgKH0koc2nJoP8B1bGI19kZrQ+DvuyFQoFVViUu0nnVmZ3Y8mW1txTYKvQGX86QXc6ac&#10;hMK4Vc7f357uRpz5IFwhKnAq5zvl+Wx6ezNp6kylUEJVKGRE4nzW1DkvQ6izKPKyVFb4HtTKUVMD&#10;WhHoiKuoQNEQu62iNI6HUQNY1AhSeU/ovGvy6Z5fayXDq9ZeBVblfJikJC8cC6RiMCLk41BE04nI&#10;Vijq0siDJHGFIiuMIwHfVHMRBFuj+UVljUTwoENPgo1AayPV3g85S+Ifzhbus3WVDOQaMwkuKBeW&#10;AsNxd/vGNSNsRRtonqGgdMQ6AD8w0nr+D6MTPQe5tqSnSwRVJQI9B1+a2nOGmSlyjosiOel3m4eT&#10;gyWefL1slsja+8l4POin6Si+58wJS9oenUTF+pxSOm7h5ZKGOtGh9deArUbbRkO62TbnFP6u/e6T&#10;V9vAJIH9IcGS8LY44+z+PU44i4DGXoR9fm4lnb306Rc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ZhE3T4QAAAAsBAAAPAAAAZHJzL2Rvd25yZXYueG1sTI/NTsMwEITvSLyD&#10;tZW4tU4orUwap0JIIKjUA6UHjm68+VHjdRS7TXh7lhOcVjs7mv0m306uE1ccQutJQ7pIQCCV3rZU&#10;azh+vswViBANWdN5Qg3fGGBb3N7kJrN+pA+8HmItOIRCZjQ0MfaZlKFs0Jmw8D0S3yo/OBN5HWpp&#10;BzNyuOvkfZKspTMt8YfG9PjcYHk+XJyGXVUN1Tsuj2pcnV/3bvfwFusvre9m09MGRMQp/pnhF5/R&#10;oWCmk7+QDaLTME+V4jJRw3LNkx2srB5BnFhRKcgil/87FD8AAAD//wMAUEsDBBQABgAIAAAAIQBE&#10;doZ4ygEAAJIEAAAQAAAAZHJzL2luay9pbmsxLnhtbLSTUW+bMBDH3yftO1juc8A4UBpU0qdGmrRJ&#10;09pJ2yMFN1jFdmSbkHz7HcZxqJq+TO0LMmf7f3e/+/v27iA6tGfacCVLnEQEIyZr1XC5LfHvx83i&#10;BiNjK9lUnZKsxEdm8N3665dbLl9EV8AXgYI040p0JW6t3RVxPAxDNCwjpbcxJWQZf5MvP77jtb/V&#10;sGcuuYWU5hSqlbTsYEexgjclru2BhPOg/aB6XbOwPUZ0fT5hdVWzjdKiskGxraRkHZKVgLr/YGSP&#10;O1hwyLNlGiPBoeEFjZI0T2/uVxCoDiWe/fdQooFKBI4va/79BM3NW82xrCXNr3OMfEkN2481xY55&#10;8X7vP7XaMW05O2OeoPiNI6qnf8dnAqWZUV0/zgajfdX1gCwhBGzhcyfxBSBv9YDNh+oBl3f15sW9&#10;RuPbm3Pw0IKlTqO1XDAwutgFj1kDwmP4wWr3HCihywVZLUj2SFYFvS4yEtE0mY3Cu/ik+aR70wa9&#10;J332q9sJ1KbOBt7YNkAnEaFZoD5nfuluy/i2tf95uVadggfhp311nyeUprOuXMJgtwuP1zkQ+eZ/&#10;secSX7n3i9zNKeC6J4ggmmZ59sq7QRqGsv4HAAD//wMAUEsBAi0AFAAGAAgAAAAhAJszJzcMAQAA&#10;LQIAABMAAAAAAAAAAAAAAAAAAAAAAFtDb250ZW50X1R5cGVzXS54bWxQSwECLQAUAAYACAAAACEA&#10;OP0h/9YAAACUAQAACwAAAAAAAAAAAAAAAAA9AQAAX3JlbHMvLnJlbHNQSwECLQAUAAYACAAAACEA&#10;/LXOLIgBAAAxAwAADgAAAAAAAAAAAAAAAAA8AgAAZHJzL2Uyb0RvYy54bWxQSwECLQAUAAYACAAA&#10;ACEAeRi8nb8AAAAhAQAAGQAAAAAAAAAAAAAAAADwAwAAZHJzL19yZWxzL2Uyb0RvYy54bWwucmVs&#10;c1BLAQItABQABgAIAAAAIQDZhE3T4QAAAAsBAAAPAAAAAAAAAAAAAAAAAOYEAABkcnMvZG93bnJl&#10;di54bWxQSwECLQAUAAYACAAAACEARHaGeMoBAACSBAAAEAAAAAAAAAAAAAAAAAD0BQAAZHJzL2lu&#10;ay9pbmsxLnhtbFBLBQYAAAAABgAGAHgBAADsBwAAAAA=&#10;">
                <v:imagedata r:id="rId14" o:title=""/>
              </v:shape>
            </w:pict>
          </mc:Fallback>
        </mc:AlternateContent>
      </w:r>
      <w:r w:rsidRPr="009040E4">
        <w:rPr>
          <w:rStyle w:val="Mention1"/>
          <w:rFonts w:eastAsiaTheme="minorEastAsia"/>
          <w:color w:val="auto"/>
          <w:lang w:eastAsia="fr-FR"/>
        </w:rPr>
        <w:t xml:space="preserve">doit être réalisée conformément aux instructions des RCP des spécialités BOTOX </w:t>
      </w:r>
      <w:r w:rsidRPr="009040E4">
        <w:rPr>
          <w:rStyle w:val="Mention1"/>
          <w:rFonts w:eastAsiaTheme="minorEastAsia"/>
          <w:color w:val="auto"/>
          <w:lang w:eastAsia="fr-FR"/>
        </w:rPr>
        <w:lastRenderedPageBreak/>
        <w:t>50/100/200 UNITÉS ALLERGAN, poudres pour solutions injectables (section 6.6. Précautions particulières d’élimination et de manipulation). Après reconstitution, BOTOX ne doit être utilisé que pour une seule séance d'injections pour un seul patient.</w:t>
      </w:r>
    </w:p>
    <w:p w14:paraId="07058335" w14:textId="77777777" w:rsidR="00FB28DA" w:rsidRPr="009040E4" w:rsidRDefault="00FB28DA" w:rsidP="00DF5991">
      <w:pPr>
        <w:spacing w:after="0" w:line="240" w:lineRule="auto"/>
        <w:jc w:val="both"/>
        <w:rPr>
          <w:rStyle w:val="Mention1"/>
          <w:rFonts w:eastAsiaTheme="minorEastAsia"/>
          <w:color w:val="auto"/>
          <w:lang w:eastAsia="fr-FR"/>
        </w:rPr>
      </w:pPr>
    </w:p>
    <w:p w14:paraId="79872C5E" w14:textId="53C9DBE1" w:rsidR="007D79E5" w:rsidRPr="009040E4" w:rsidRDefault="007D79E5" w:rsidP="00DF5991">
      <w:pPr>
        <w:spacing w:after="0" w:line="240" w:lineRule="auto"/>
        <w:jc w:val="both"/>
        <w:rPr>
          <w:rStyle w:val="Mention1"/>
          <w:rFonts w:eastAsiaTheme="minorEastAsia"/>
          <w:color w:val="auto"/>
          <w:lang w:eastAsia="fr-FR"/>
        </w:rPr>
      </w:pPr>
      <w:r w:rsidRPr="009040E4">
        <w:rPr>
          <w:rStyle w:val="Mention1"/>
          <w:rFonts w:eastAsiaTheme="minorEastAsia"/>
          <w:color w:val="auto"/>
          <w:lang w:eastAsia="fr-FR"/>
        </w:rPr>
        <w:t>Il convient également de se référer aux recommandations relatives à la technique d’injection décrites dans les RCP de</w:t>
      </w:r>
      <w:r w:rsidR="007260AC">
        <w:rPr>
          <w:rStyle w:val="Mention1"/>
          <w:rFonts w:eastAsiaTheme="minorEastAsia"/>
          <w:color w:val="auto"/>
          <w:lang w:eastAsia="fr-FR"/>
        </w:rPr>
        <w:t xml:space="preserve"> ce</w:t>
      </w:r>
      <w:r w:rsidRPr="009040E4">
        <w:rPr>
          <w:rStyle w:val="Mention1"/>
          <w:rFonts w:eastAsiaTheme="minorEastAsia"/>
          <w:color w:val="auto"/>
          <w:lang w:eastAsia="fr-FR"/>
        </w:rPr>
        <w:t>s spécialités.</w:t>
      </w:r>
    </w:p>
    <w:p w14:paraId="51BE011E" w14:textId="77777777" w:rsidR="007D79E5" w:rsidRPr="009040E4" w:rsidRDefault="007D79E5" w:rsidP="00DF5991">
      <w:pPr>
        <w:spacing w:after="0" w:line="240" w:lineRule="auto"/>
        <w:jc w:val="both"/>
        <w:rPr>
          <w:rStyle w:val="Mention1"/>
          <w:rFonts w:eastAsiaTheme="minorEastAsia"/>
          <w:color w:val="auto"/>
          <w:lang w:eastAsia="fr-FR"/>
        </w:rPr>
      </w:pPr>
    </w:p>
    <w:p w14:paraId="013DB631" w14:textId="02051FAF" w:rsidR="007D79E5" w:rsidRPr="009040E4" w:rsidRDefault="007D79E5" w:rsidP="00BD529B">
      <w:pPr>
        <w:spacing w:after="0" w:line="240" w:lineRule="auto"/>
        <w:jc w:val="center"/>
        <w:rPr>
          <w:rStyle w:val="Mention1"/>
          <w:rFonts w:eastAsiaTheme="minorEastAsia"/>
          <w:color w:val="auto"/>
          <w:u w:val="single"/>
          <w:lang w:eastAsia="fr-FR"/>
        </w:rPr>
      </w:pPr>
      <w:r w:rsidRPr="009040E4">
        <w:rPr>
          <w:rStyle w:val="Mention1"/>
          <w:rFonts w:eastAsiaTheme="minorEastAsia"/>
          <w:color w:val="auto"/>
          <w:u w:val="single"/>
        </w:rPr>
        <w:t>Tableau de dilution pour BOTOX</w:t>
      </w:r>
      <w:r w:rsidRPr="009040E4">
        <w:rPr>
          <w:rStyle w:val="Mention1"/>
          <w:rFonts w:eastAsiaTheme="minorEastAsia"/>
          <w:color w:val="auto"/>
          <w:u w:val="single"/>
          <w:lang w:eastAsia="fr-FR"/>
        </w:rPr>
        <w:t xml:space="preserve"> 50, 100 et 200 Unités Allergan</w:t>
      </w:r>
    </w:p>
    <w:p w14:paraId="3783248F" w14:textId="77777777" w:rsidR="00BD529B" w:rsidRPr="009040E4" w:rsidRDefault="00BD529B" w:rsidP="00BD529B">
      <w:pPr>
        <w:spacing w:after="0" w:line="240" w:lineRule="auto"/>
        <w:jc w:val="center"/>
        <w:rPr>
          <w:rStyle w:val="Mention1"/>
          <w:rFonts w:eastAsiaTheme="minorEastAsia"/>
          <w:color w:val="auto"/>
        </w:rPr>
      </w:pPr>
    </w:p>
    <w:tbl>
      <w:tblPr>
        <w:tblW w:w="9190" w:type="dxa"/>
        <w:tblInd w:w="108" w:type="dxa"/>
        <w:shd w:val="clear" w:color="auto" w:fill="FFFFFF"/>
        <w:tblCellMar>
          <w:left w:w="0" w:type="dxa"/>
          <w:right w:w="0" w:type="dxa"/>
        </w:tblCellMar>
        <w:tblLook w:val="04A0" w:firstRow="1" w:lastRow="0" w:firstColumn="1" w:lastColumn="0" w:noHBand="0" w:noVBand="1"/>
      </w:tblPr>
      <w:tblGrid>
        <w:gridCol w:w="2228"/>
        <w:gridCol w:w="2228"/>
        <w:gridCol w:w="2367"/>
        <w:gridCol w:w="2367"/>
      </w:tblGrid>
      <w:tr w:rsidR="007D79E5" w:rsidRPr="009040E4" w14:paraId="50CCC7BA" w14:textId="77777777" w:rsidTr="00DF5991">
        <w:trPr>
          <w:trHeight w:val="92"/>
        </w:trPr>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1E429D" w14:textId="77777777" w:rsidR="007D79E5" w:rsidRPr="009040E4" w:rsidRDefault="007D79E5" w:rsidP="00DF5991">
            <w:pPr>
              <w:spacing w:after="0" w:line="240" w:lineRule="auto"/>
              <w:jc w:val="both"/>
              <w:rPr>
                <w:rStyle w:val="Mention1"/>
                <w:color w:val="auto"/>
              </w:rPr>
            </w:pPr>
          </w:p>
        </w:tc>
        <w:tc>
          <w:tcPr>
            <w:tcW w:w="22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CEE5CF9" w14:textId="77777777" w:rsidR="007D79E5" w:rsidRPr="009040E4" w:rsidRDefault="007D79E5" w:rsidP="00DF5991">
            <w:pPr>
              <w:spacing w:after="0" w:line="240" w:lineRule="auto"/>
              <w:jc w:val="both"/>
              <w:rPr>
                <w:rStyle w:val="Mention1"/>
                <w:color w:val="auto"/>
              </w:rPr>
            </w:pPr>
            <w:r w:rsidRPr="009040E4">
              <w:rPr>
                <w:rStyle w:val="Mention1"/>
                <w:color w:val="auto"/>
              </w:rPr>
              <w:t>Flacon de 50 UNITÉS ALLERGAN</w:t>
            </w:r>
          </w:p>
        </w:tc>
        <w:tc>
          <w:tcPr>
            <w:tcW w:w="23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F71916C" w14:textId="77777777" w:rsidR="007D79E5" w:rsidRPr="009040E4" w:rsidRDefault="007D79E5" w:rsidP="00DF5991">
            <w:pPr>
              <w:spacing w:after="0" w:line="240" w:lineRule="auto"/>
              <w:jc w:val="both"/>
              <w:rPr>
                <w:rStyle w:val="Mention1"/>
                <w:color w:val="auto"/>
              </w:rPr>
            </w:pPr>
            <w:r w:rsidRPr="009040E4">
              <w:rPr>
                <w:rStyle w:val="Mention1"/>
                <w:color w:val="auto"/>
              </w:rPr>
              <w:t>Flacon de 100 UNITÉS ALLERGAN</w:t>
            </w:r>
          </w:p>
        </w:tc>
        <w:tc>
          <w:tcPr>
            <w:tcW w:w="23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2E4DBAF" w14:textId="77777777" w:rsidR="007D79E5" w:rsidRPr="009040E4" w:rsidRDefault="007D79E5" w:rsidP="00DF5991">
            <w:pPr>
              <w:spacing w:after="0" w:line="240" w:lineRule="auto"/>
              <w:jc w:val="both"/>
              <w:rPr>
                <w:rStyle w:val="Mention1"/>
                <w:color w:val="auto"/>
              </w:rPr>
            </w:pPr>
            <w:r w:rsidRPr="009040E4">
              <w:rPr>
                <w:rStyle w:val="Mention1"/>
                <w:color w:val="auto"/>
              </w:rPr>
              <w:t>Flacon de 200 UNITÉS ALLERGAN</w:t>
            </w:r>
          </w:p>
        </w:tc>
      </w:tr>
      <w:tr w:rsidR="007D79E5" w:rsidRPr="009040E4" w14:paraId="1DAF2811" w14:textId="77777777" w:rsidTr="00DF5991">
        <w:trPr>
          <w:trHeight w:val="1117"/>
        </w:trPr>
        <w:tc>
          <w:tcPr>
            <w:tcW w:w="22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170DD9" w14:textId="77777777" w:rsidR="007D79E5" w:rsidRPr="009040E4" w:rsidRDefault="007D79E5" w:rsidP="00DF5991">
            <w:pPr>
              <w:spacing w:after="0" w:line="240" w:lineRule="auto"/>
              <w:jc w:val="both"/>
              <w:rPr>
                <w:rStyle w:val="Mention1"/>
                <w:color w:val="auto"/>
              </w:rPr>
            </w:pPr>
            <w:r w:rsidRPr="009040E4">
              <w:rPr>
                <w:rStyle w:val="Mention1"/>
                <w:color w:val="auto"/>
              </w:rPr>
              <w:t>Concentration en UNITÉS ALLERGAN / 0,1 ml</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7B3186" w14:textId="77777777" w:rsidR="007D79E5" w:rsidRPr="009040E4" w:rsidRDefault="007D79E5" w:rsidP="00DF5991">
            <w:pPr>
              <w:spacing w:after="0" w:line="240" w:lineRule="auto"/>
              <w:jc w:val="both"/>
              <w:rPr>
                <w:rStyle w:val="Mention1"/>
                <w:color w:val="auto"/>
              </w:rPr>
            </w:pPr>
            <w:r w:rsidRPr="009040E4">
              <w:rPr>
                <w:rStyle w:val="Mention1"/>
                <w:color w:val="auto"/>
              </w:rPr>
              <w:t>Solvant ajouté (solution stérile sans conservateur de sérum physiologique (solution injectable de chlorure de sodium à 0,9 pour cent))</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27A689" w14:textId="77777777" w:rsidR="007D79E5" w:rsidRPr="009040E4" w:rsidRDefault="007D79E5" w:rsidP="00DF5991">
            <w:pPr>
              <w:spacing w:after="0" w:line="240" w:lineRule="auto"/>
              <w:jc w:val="both"/>
              <w:rPr>
                <w:rStyle w:val="Mention1"/>
                <w:color w:val="auto"/>
              </w:rPr>
            </w:pPr>
            <w:r w:rsidRPr="009040E4">
              <w:rPr>
                <w:rStyle w:val="Mention1"/>
                <w:color w:val="auto"/>
              </w:rPr>
              <w:t>Solvant ajouté (solution stérile sans conservateur de sérum physiologique (solution injectable de chlorure de sodium à 0,9 pour cent))</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2CD333" w14:textId="77777777" w:rsidR="007D79E5" w:rsidRPr="009040E4" w:rsidRDefault="007D79E5" w:rsidP="00DF5991">
            <w:pPr>
              <w:spacing w:after="0" w:line="240" w:lineRule="auto"/>
              <w:jc w:val="both"/>
              <w:rPr>
                <w:rStyle w:val="Mention1"/>
                <w:color w:val="auto"/>
              </w:rPr>
            </w:pPr>
            <w:r w:rsidRPr="009040E4">
              <w:rPr>
                <w:rStyle w:val="Mention1"/>
                <w:color w:val="auto"/>
              </w:rPr>
              <w:t>Solvant ajouté (solution stérile sans conservateur de sérum physiologique (solution injectable de chlorure de sodium à 0,9 pour cent))</w:t>
            </w:r>
          </w:p>
        </w:tc>
      </w:tr>
      <w:tr w:rsidR="007D79E5" w:rsidRPr="009040E4" w14:paraId="6A37FDBC" w14:textId="77777777" w:rsidTr="00DF5991">
        <w:trPr>
          <w:trHeight w:val="160"/>
        </w:trPr>
        <w:tc>
          <w:tcPr>
            <w:tcW w:w="22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A0D42A" w14:textId="77777777" w:rsidR="007D79E5" w:rsidRPr="009040E4" w:rsidRDefault="007D79E5" w:rsidP="00DF5991">
            <w:pPr>
              <w:spacing w:after="0" w:line="240" w:lineRule="auto"/>
              <w:jc w:val="both"/>
              <w:rPr>
                <w:rStyle w:val="Mention1"/>
                <w:color w:val="auto"/>
              </w:rPr>
            </w:pPr>
            <w:r w:rsidRPr="009040E4">
              <w:rPr>
                <w:rStyle w:val="Mention1"/>
                <w:color w:val="auto"/>
              </w:rPr>
              <w:t>2,5</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F82DBE" w14:textId="77777777" w:rsidR="007D79E5" w:rsidRPr="009040E4" w:rsidRDefault="007D79E5" w:rsidP="00DF5991">
            <w:pPr>
              <w:spacing w:after="0" w:line="240" w:lineRule="auto"/>
              <w:jc w:val="both"/>
              <w:rPr>
                <w:rStyle w:val="Mention1"/>
                <w:color w:val="auto"/>
              </w:rPr>
            </w:pPr>
            <w:r w:rsidRPr="009040E4">
              <w:rPr>
                <w:rStyle w:val="Mention1"/>
                <w:color w:val="auto"/>
              </w:rPr>
              <w:t>2 ml</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FFADBC" w14:textId="77777777" w:rsidR="007D79E5" w:rsidRPr="009040E4" w:rsidRDefault="007D79E5" w:rsidP="00DF5991">
            <w:pPr>
              <w:spacing w:after="0" w:line="240" w:lineRule="auto"/>
              <w:jc w:val="both"/>
              <w:rPr>
                <w:rStyle w:val="Mention1"/>
                <w:color w:val="auto"/>
              </w:rPr>
            </w:pPr>
            <w:r w:rsidRPr="009040E4">
              <w:rPr>
                <w:rStyle w:val="Mention1"/>
                <w:color w:val="auto"/>
              </w:rPr>
              <w:t>4 ml</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B8EBB9" w14:textId="77777777" w:rsidR="007D79E5" w:rsidRPr="009040E4" w:rsidRDefault="007D79E5" w:rsidP="00DF5991">
            <w:pPr>
              <w:spacing w:after="0" w:line="240" w:lineRule="auto"/>
              <w:jc w:val="both"/>
              <w:rPr>
                <w:rStyle w:val="Mention1"/>
                <w:color w:val="auto"/>
              </w:rPr>
            </w:pPr>
            <w:r w:rsidRPr="009040E4">
              <w:rPr>
                <w:rStyle w:val="Mention1"/>
                <w:color w:val="auto"/>
              </w:rPr>
              <w:t>8 ml</w:t>
            </w:r>
          </w:p>
        </w:tc>
      </w:tr>
    </w:tbl>
    <w:p w14:paraId="010DF3EF" w14:textId="77777777" w:rsidR="007D79E5" w:rsidRPr="009040E4" w:rsidRDefault="007D79E5" w:rsidP="00DF5991">
      <w:pPr>
        <w:spacing w:after="0" w:line="240" w:lineRule="auto"/>
        <w:jc w:val="both"/>
        <w:rPr>
          <w:rStyle w:val="Mention1"/>
          <w:rFonts w:eastAsiaTheme="minorEastAsia"/>
          <w:color w:val="auto"/>
          <w:lang w:eastAsia="fr-FR"/>
        </w:rPr>
      </w:pPr>
    </w:p>
    <w:p w14:paraId="0F53DB1D" w14:textId="77777777" w:rsidR="007D79E5" w:rsidRPr="009040E4" w:rsidRDefault="007D79E5" w:rsidP="00DF5991">
      <w:pPr>
        <w:spacing w:after="0" w:line="240" w:lineRule="auto"/>
        <w:jc w:val="both"/>
        <w:rPr>
          <w:rStyle w:val="Mention1"/>
          <w:rFonts w:eastAsiaTheme="minorEastAsia"/>
          <w:color w:val="auto"/>
          <w:lang w:eastAsia="fr-FR"/>
        </w:rPr>
      </w:pPr>
    </w:p>
    <w:p w14:paraId="1F099F5C" w14:textId="096E233D" w:rsidR="007D79E5" w:rsidRPr="009040E4" w:rsidRDefault="007D79E5" w:rsidP="00DF5991">
      <w:pPr>
        <w:spacing w:after="0" w:line="240" w:lineRule="auto"/>
        <w:jc w:val="both"/>
        <w:rPr>
          <w:rStyle w:val="Mention1"/>
          <w:rFonts w:eastAsiaTheme="minorEastAsia"/>
          <w:color w:val="auto"/>
          <w:lang w:eastAsia="fr-FR"/>
        </w:rPr>
      </w:pPr>
      <w:r w:rsidRPr="009040E4">
        <w:rPr>
          <w:rStyle w:val="Mention1"/>
          <w:rFonts w:eastAsiaTheme="minorEastAsia"/>
          <w:color w:val="auto"/>
          <w:lang w:eastAsia="fr-FR"/>
        </w:rPr>
        <w:t>Il faut tenir compte du fait que les injections de toxine botulinique peuvent entrainer des douleurs parfois sévères au site d’injection. Si nécessaire, selon la situation clinique, des mesures adaptées</w:t>
      </w:r>
      <w:r w:rsidR="00A14DCC">
        <w:rPr>
          <w:rStyle w:val="Mention1"/>
          <w:rFonts w:eastAsiaTheme="minorEastAsia"/>
          <w:color w:val="auto"/>
          <w:lang w:eastAsia="fr-FR"/>
        </w:rPr>
        <w:t>, y compris préventives,</w:t>
      </w:r>
      <w:r w:rsidRPr="009040E4">
        <w:rPr>
          <w:rStyle w:val="Mention1"/>
          <w:rFonts w:eastAsiaTheme="minorEastAsia"/>
          <w:color w:val="auto"/>
          <w:lang w:eastAsia="fr-FR"/>
        </w:rPr>
        <w:t xml:space="preserve"> devront être mises en place</w:t>
      </w:r>
      <w:r w:rsidR="00A14DCC">
        <w:rPr>
          <w:rStyle w:val="Mention1"/>
          <w:rFonts w:eastAsiaTheme="minorEastAsia"/>
          <w:color w:val="auto"/>
          <w:lang w:eastAsia="fr-FR"/>
        </w:rPr>
        <w:t xml:space="preserve"> (par exemple topique contenant un anesthésique local, administration de méopa)</w:t>
      </w:r>
      <w:r w:rsidRPr="009040E4">
        <w:rPr>
          <w:rStyle w:val="Mention1"/>
          <w:rFonts w:eastAsiaTheme="minorEastAsia"/>
          <w:color w:val="auto"/>
          <w:lang w:eastAsia="fr-FR"/>
        </w:rPr>
        <w:t>.</w:t>
      </w:r>
    </w:p>
    <w:p w14:paraId="4F3357C3" w14:textId="77777777" w:rsidR="007D79E5" w:rsidRPr="009040E4" w:rsidRDefault="007D79E5" w:rsidP="00DF5991">
      <w:pPr>
        <w:spacing w:after="0" w:line="240" w:lineRule="auto"/>
        <w:jc w:val="both"/>
        <w:rPr>
          <w:rStyle w:val="Mention1"/>
          <w:rFonts w:eastAsiaTheme="minorEastAsia"/>
          <w:color w:val="auto"/>
          <w:lang w:eastAsia="fr-FR"/>
        </w:rPr>
      </w:pPr>
    </w:p>
    <w:p w14:paraId="7FBAB308" w14:textId="77777777" w:rsidR="007D79E5" w:rsidRPr="009040E4" w:rsidRDefault="007D79E5" w:rsidP="00DF5991">
      <w:pPr>
        <w:spacing w:after="0" w:line="240" w:lineRule="auto"/>
        <w:jc w:val="both"/>
        <w:rPr>
          <w:rStyle w:val="Mention1"/>
          <w:rFonts w:eastAsiaTheme="minorEastAsia"/>
          <w:color w:val="auto"/>
          <w:lang w:eastAsia="fr-FR"/>
        </w:rPr>
      </w:pPr>
      <w:r w:rsidRPr="009040E4">
        <w:rPr>
          <w:rStyle w:val="Mention1"/>
          <w:rFonts w:eastAsiaTheme="minorEastAsia"/>
          <w:color w:val="auto"/>
          <w:lang w:eastAsia="fr-FR"/>
        </w:rPr>
        <w:t>Les doses recommandées et les fréquences d’administration ne doivent pas être dépassées en raison du risque de surdosage, de faiblesse musculaire excessive, de diffusion de la toxine à distance du site d’administration et de formation d’anticorps neutralisants.</w:t>
      </w:r>
    </w:p>
    <w:p w14:paraId="387344AD" w14:textId="77777777" w:rsidR="007D79E5" w:rsidRPr="009040E4" w:rsidRDefault="007D79E5" w:rsidP="00DF5991">
      <w:pPr>
        <w:spacing w:after="0" w:line="240" w:lineRule="auto"/>
        <w:jc w:val="both"/>
        <w:rPr>
          <w:rStyle w:val="Mention1"/>
          <w:rFonts w:eastAsiaTheme="minorEastAsia"/>
          <w:color w:val="auto"/>
          <w:lang w:eastAsia="fr-FR"/>
        </w:rPr>
      </w:pPr>
    </w:p>
    <w:p w14:paraId="391E639C" w14:textId="77777777" w:rsidR="007D79E5" w:rsidRPr="009040E4" w:rsidRDefault="007D79E5" w:rsidP="00DF5991">
      <w:pPr>
        <w:spacing w:after="0" w:line="240" w:lineRule="auto"/>
        <w:jc w:val="both"/>
        <w:rPr>
          <w:rStyle w:val="Mention1"/>
          <w:rFonts w:eastAsiaTheme="minorEastAsia"/>
          <w:color w:val="auto"/>
          <w:lang w:eastAsia="fr-FR"/>
        </w:rPr>
      </w:pPr>
      <w:r w:rsidRPr="009040E4">
        <w:rPr>
          <w:rStyle w:val="Mention1"/>
          <w:rFonts w:eastAsiaTheme="minorEastAsia"/>
          <w:color w:val="auto"/>
          <w:lang w:eastAsia="fr-FR"/>
        </w:rPr>
        <w:t>Des effets indésirables, liés à la diffusion de la toxine à distance du site d'administration, ont été rapportés, ayant parfois conduit à des décès suite à une dysphagie, une pneumonie et/ou une asthénie significative.</w:t>
      </w:r>
    </w:p>
    <w:p w14:paraId="5DE02B71" w14:textId="77777777" w:rsidR="00D92560" w:rsidRPr="009040E4" w:rsidRDefault="00D92560" w:rsidP="00D92560"/>
    <w:p w14:paraId="7BEF6ABC" w14:textId="77777777" w:rsidR="00291434" w:rsidRPr="009040E4" w:rsidRDefault="00291434" w:rsidP="00291434">
      <w:pPr>
        <w:pStyle w:val="Intertitre"/>
        <w:ind w:firstLine="709"/>
      </w:pPr>
      <w:r w:rsidRPr="009040E4">
        <w:t>Modalités d’emploi et autres caractéristiques des médicaments :</w:t>
      </w:r>
    </w:p>
    <w:p w14:paraId="2ADEA296" w14:textId="058FB0C1" w:rsidR="00291434" w:rsidRPr="009040E4" w:rsidRDefault="00291434" w:rsidP="00291434">
      <w:pPr>
        <w:jc w:val="both"/>
        <w:rPr>
          <w:rStyle w:val="Mention1"/>
          <w:rFonts w:eastAsiaTheme="minorEastAsia"/>
          <w:color w:val="auto"/>
          <w:lang w:eastAsia="fr-FR"/>
        </w:rPr>
      </w:pPr>
      <w:r w:rsidRPr="009040E4">
        <w:rPr>
          <w:rStyle w:val="Mention1"/>
          <w:rFonts w:eastAsiaTheme="minorEastAsia"/>
          <w:color w:val="auto"/>
          <w:lang w:eastAsia="fr-FR"/>
        </w:rPr>
        <w:t>Outre le présent protocole, il est impératif que le médecin prescrivant BOTOX 50/100/200 UNITÉS ALLERGAN, poudres pour solutions injectables dans le cadre de prescription compassionnelle prenne connaissance du RCP</w:t>
      </w:r>
      <w:r w:rsidR="007260AC">
        <w:rPr>
          <w:rStyle w:val="Mention1"/>
          <w:rFonts w:eastAsiaTheme="minorEastAsia"/>
          <w:color w:val="auto"/>
          <w:lang w:eastAsia="fr-FR"/>
        </w:rPr>
        <w:t xml:space="preserve"> des</w:t>
      </w:r>
      <w:r w:rsidRPr="009040E4">
        <w:rPr>
          <w:rStyle w:val="Mention1"/>
          <w:rFonts w:eastAsiaTheme="minorEastAsia"/>
          <w:color w:val="auto"/>
          <w:lang w:eastAsia="fr-FR"/>
        </w:rPr>
        <w:t xml:space="preserve"> l’AMM. </w:t>
      </w:r>
      <w:r w:rsidR="007260AC">
        <w:rPr>
          <w:rStyle w:val="Mention1"/>
          <w:rFonts w:eastAsiaTheme="minorEastAsia"/>
          <w:color w:val="auto"/>
          <w:lang w:eastAsia="fr-FR"/>
        </w:rPr>
        <w:t>C</w:t>
      </w:r>
      <w:r w:rsidRPr="009040E4">
        <w:rPr>
          <w:rStyle w:val="Mention1"/>
          <w:rFonts w:eastAsiaTheme="minorEastAsia"/>
          <w:color w:val="auto"/>
          <w:lang w:eastAsia="fr-FR"/>
        </w:rPr>
        <w:t>es spécialités doivent être utilisées conformément à l’ensemble des recommandations mentionnées dans leur RCP (notamment technique d’injection, modalités d’emploi et autres caractéristiques, contre-indications, mises en garde, précautions d’emploi, utilisation chez la femme en âge de procréer, précautions particulières d’élimination et de manipulation).</w:t>
      </w:r>
    </w:p>
    <w:p w14:paraId="4CD947EC" w14:textId="77777777" w:rsidR="00383BA1" w:rsidRDefault="00291434" w:rsidP="00291434">
      <w:pPr>
        <w:jc w:val="both"/>
        <w:rPr>
          <w:rStyle w:val="Lienhypertexte"/>
          <w:rFonts w:ascii="Arial" w:eastAsia="Times New Roman" w:hAnsi="Arial" w:cs="Arial"/>
          <w:szCs w:val="20"/>
        </w:rPr>
      </w:pPr>
      <w:r w:rsidRPr="009040E4">
        <w:rPr>
          <w:rStyle w:val="Mention1"/>
          <w:rFonts w:eastAsiaTheme="minorEastAsia"/>
          <w:color w:val="auto"/>
          <w:lang w:eastAsia="fr-FR"/>
        </w:rPr>
        <w:t>Les RCP sont consultables sur internet à l’adresse suivante :</w:t>
      </w:r>
      <w:r w:rsidR="007260AC">
        <w:rPr>
          <w:rStyle w:val="Lienhypertexte"/>
          <w:rFonts w:ascii="Arial" w:eastAsia="Times New Roman" w:hAnsi="Arial" w:cs="Arial"/>
          <w:szCs w:val="20"/>
        </w:rPr>
        <w:t xml:space="preserve"> </w:t>
      </w:r>
    </w:p>
    <w:p w14:paraId="3A102ABC" w14:textId="46A8F60F" w:rsidR="003649B0" w:rsidRPr="009040E4" w:rsidRDefault="0086781B" w:rsidP="00291434">
      <w:pPr>
        <w:jc w:val="both"/>
        <w:rPr>
          <w:rStyle w:val="Mention1"/>
          <w:rFonts w:eastAsiaTheme="minorEastAsia"/>
          <w:color w:val="auto"/>
          <w:lang w:eastAsia="fr-FR"/>
        </w:rPr>
      </w:pPr>
      <w:hyperlink r:id="rId15" w:history="1">
        <w:r w:rsidR="00291434" w:rsidRPr="009040E4">
          <w:rPr>
            <w:rStyle w:val="Lienhypertexte"/>
            <w:rFonts w:ascii="Arial" w:eastAsia="Times New Roman" w:hAnsi="Arial" w:cs="Arial"/>
            <w:szCs w:val="20"/>
          </w:rPr>
          <w:t>https://base-donnees-publique.medicaments.gouv.fr/</w:t>
        </w:r>
      </w:hyperlink>
    </w:p>
    <w:p w14:paraId="19444AC3" w14:textId="77777777" w:rsidR="00D92560" w:rsidRPr="009040E4" w:rsidRDefault="00D92560" w:rsidP="00023D38">
      <w:pPr>
        <w:pStyle w:val="Intertitre"/>
        <w:ind w:firstLine="709"/>
      </w:pPr>
      <w:r w:rsidRPr="009040E4">
        <w:t>Conditions de prescription et de délivrance</w:t>
      </w:r>
      <w:r w:rsidR="006E2633" w:rsidRPr="009040E4">
        <w:t xml:space="preserve"> du CPC</w:t>
      </w:r>
    </w:p>
    <w:p w14:paraId="2A708187" w14:textId="77777777" w:rsidR="00291434" w:rsidRPr="009040E4" w:rsidRDefault="00291434" w:rsidP="00291434">
      <w:pPr>
        <w:jc w:val="both"/>
        <w:rPr>
          <w:rStyle w:val="Mention1"/>
          <w:rFonts w:eastAsiaTheme="minorEastAsia"/>
          <w:color w:val="auto"/>
          <w:lang w:eastAsia="fr-FR"/>
        </w:rPr>
      </w:pPr>
      <w:r w:rsidRPr="009040E4">
        <w:rPr>
          <w:rStyle w:val="Mention1"/>
          <w:rFonts w:eastAsiaTheme="minorEastAsia"/>
          <w:color w:val="auto"/>
          <w:lang w:eastAsia="fr-FR"/>
        </w:rPr>
        <w:t xml:space="preserve">Liste I </w:t>
      </w:r>
    </w:p>
    <w:p w14:paraId="3925F362" w14:textId="5A095639" w:rsidR="00100401" w:rsidRPr="009040E4" w:rsidRDefault="00AF7A68" w:rsidP="003B07E2">
      <w:pPr>
        <w:jc w:val="both"/>
        <w:rPr>
          <w:rFonts w:ascii="Arial Nova Cond" w:eastAsiaTheme="minorEastAsia" w:hAnsi="Arial Nova Cond"/>
          <w:shd w:val="clear" w:color="auto" w:fill="F2F2F2" w:themeFill="background1" w:themeFillShade="F2"/>
          <w:lang w:eastAsia="fr-FR"/>
        </w:rPr>
      </w:pPr>
      <w:r>
        <w:rPr>
          <w:rStyle w:val="Mention1"/>
          <w:rFonts w:eastAsiaTheme="minorEastAsia"/>
          <w:color w:val="auto"/>
          <w:lang w:eastAsia="fr-FR"/>
        </w:rPr>
        <w:t>Médicament</w:t>
      </w:r>
      <w:r w:rsidRPr="009040E4">
        <w:rPr>
          <w:rStyle w:val="Mention1"/>
          <w:rFonts w:eastAsiaTheme="minorEastAsia"/>
          <w:color w:val="auto"/>
          <w:lang w:eastAsia="fr-FR"/>
        </w:rPr>
        <w:t xml:space="preserve"> </w:t>
      </w:r>
      <w:r w:rsidR="00291434" w:rsidRPr="009040E4">
        <w:rPr>
          <w:rStyle w:val="Mention1"/>
          <w:rFonts w:eastAsiaTheme="minorEastAsia"/>
          <w:color w:val="auto"/>
          <w:lang w:eastAsia="fr-FR"/>
        </w:rPr>
        <w:t>réservé à l’usage hospitalier.</w:t>
      </w:r>
    </w:p>
    <w:p w14:paraId="37519722" w14:textId="77777777" w:rsidR="00100401" w:rsidRPr="009040E4" w:rsidRDefault="00174894" w:rsidP="00174894">
      <w:pPr>
        <w:pStyle w:val="Titre2"/>
        <w:numPr>
          <w:ilvl w:val="0"/>
          <w:numId w:val="11"/>
        </w:numPr>
        <w:rPr>
          <w:rStyle w:val="lev"/>
          <w:rFonts w:ascii="Arial Narrow" w:hAnsi="Arial Narrow"/>
          <w:bCs w:val="0"/>
          <w:sz w:val="28"/>
          <w:szCs w:val="28"/>
        </w:rPr>
      </w:pPr>
      <w:bookmarkStart w:id="2" w:name="_Toc158900870"/>
      <w:r w:rsidRPr="009040E4">
        <w:rPr>
          <w:rStyle w:val="lev"/>
          <w:rFonts w:ascii="Arial Narrow" w:hAnsi="Arial Narrow"/>
          <w:bCs w:val="0"/>
          <w:sz w:val="28"/>
          <w:szCs w:val="28"/>
        </w:rPr>
        <w:lastRenderedPageBreak/>
        <w:t>MODALITES PRATIQUES DE SUIVI DES PATIENTS TRAITES</w:t>
      </w:r>
      <w:bookmarkEnd w:id="2"/>
      <w:r w:rsidRPr="009040E4">
        <w:rPr>
          <w:rStyle w:val="lev"/>
          <w:rFonts w:ascii="Arial Narrow" w:hAnsi="Arial Narrow"/>
          <w:bCs w:val="0"/>
          <w:sz w:val="28"/>
          <w:szCs w:val="28"/>
        </w:rPr>
        <w:t xml:space="preserve"> </w:t>
      </w:r>
    </w:p>
    <w:p w14:paraId="501FC925" w14:textId="77777777" w:rsidR="00F02156" w:rsidRPr="009040E4" w:rsidRDefault="00F02156" w:rsidP="004936E4"/>
    <w:p w14:paraId="6E746974" w14:textId="77777777" w:rsidR="0013522C" w:rsidRPr="00FB28DA" w:rsidRDefault="0013522C" w:rsidP="00BA7CD0">
      <w:pPr>
        <w:ind w:firstLine="360"/>
        <w:rPr>
          <w:rStyle w:val="Mention1"/>
          <w:rFonts w:eastAsiaTheme="minorEastAsia"/>
          <w:b/>
          <w:color w:val="auto"/>
          <w:lang w:eastAsia="fr-FR"/>
        </w:rPr>
      </w:pPr>
      <w:r w:rsidRPr="009040E4">
        <w:rPr>
          <w:rStyle w:val="Mention1"/>
          <w:rFonts w:eastAsiaTheme="minorEastAsia"/>
          <w:b/>
          <w:color w:val="auto"/>
          <w:lang w:eastAsia="fr-FR"/>
        </w:rPr>
        <w:t>Suivi de</w:t>
      </w:r>
      <w:r w:rsidR="00D04838" w:rsidRPr="009040E4">
        <w:rPr>
          <w:rStyle w:val="Mention1"/>
          <w:rFonts w:eastAsiaTheme="minorEastAsia"/>
          <w:b/>
          <w:color w:val="auto"/>
          <w:lang w:eastAsia="fr-FR"/>
        </w:rPr>
        <w:t>s</w:t>
      </w:r>
      <w:r w:rsidRPr="009040E4">
        <w:rPr>
          <w:rStyle w:val="Mention1"/>
          <w:rFonts w:eastAsiaTheme="minorEastAsia"/>
          <w:b/>
          <w:color w:val="auto"/>
          <w:lang w:eastAsia="fr-FR"/>
        </w:rPr>
        <w:t xml:space="preserve"> patients </w:t>
      </w:r>
      <w:r w:rsidR="00BA7CD0" w:rsidRPr="009040E4">
        <w:rPr>
          <w:rStyle w:val="Mention1"/>
          <w:rFonts w:eastAsiaTheme="minorEastAsia"/>
          <w:b/>
          <w:color w:val="auto"/>
          <w:lang w:eastAsia="fr-FR"/>
        </w:rPr>
        <w:t xml:space="preserve">traités </w:t>
      </w:r>
      <w:r w:rsidRPr="009040E4">
        <w:rPr>
          <w:rStyle w:val="Mention1"/>
          <w:rFonts w:eastAsiaTheme="minorEastAsia"/>
          <w:b/>
          <w:color w:val="auto"/>
          <w:lang w:eastAsia="fr-FR"/>
        </w:rPr>
        <w:t xml:space="preserve">avec </w:t>
      </w:r>
      <w:r w:rsidR="00856645" w:rsidRPr="009040E4">
        <w:rPr>
          <w:rStyle w:val="Mention1"/>
          <w:rFonts w:eastAsiaTheme="minorEastAsia"/>
          <w:b/>
          <w:color w:val="auto"/>
          <w:lang w:eastAsia="fr-FR"/>
        </w:rPr>
        <w:t xml:space="preserve">collecte </w:t>
      </w:r>
      <w:r w:rsidRPr="009040E4">
        <w:rPr>
          <w:rStyle w:val="Mention1"/>
          <w:rFonts w:eastAsiaTheme="minorEastAsia"/>
          <w:b/>
          <w:color w:val="auto"/>
          <w:lang w:eastAsia="fr-FR"/>
        </w:rPr>
        <w:t>de données</w:t>
      </w:r>
      <w:r w:rsidR="00BA7CD0" w:rsidRPr="00FB28DA">
        <w:rPr>
          <w:rStyle w:val="Mention1"/>
          <w:rFonts w:eastAsiaTheme="minorEastAsia"/>
          <w:b/>
          <w:color w:val="auto"/>
          <w:lang w:eastAsia="fr-FR"/>
        </w:rPr>
        <w:t xml:space="preserve"> </w:t>
      </w:r>
    </w:p>
    <w:p w14:paraId="02FE7F41" w14:textId="77777777" w:rsidR="0016500C" w:rsidRPr="00970766" w:rsidRDefault="000314F2" w:rsidP="00B359A2">
      <w:pPr>
        <w:ind w:left="720"/>
        <w:jc w:val="center"/>
        <w:rPr>
          <w:rFonts w:ascii="Arial" w:hAnsi="Arial" w:cs="Arial"/>
          <w:sz w:val="20"/>
          <w:szCs w:val="20"/>
        </w:rPr>
      </w:pPr>
      <w:r w:rsidRPr="00970766">
        <w:rPr>
          <w:rFonts w:ascii="Arial" w:hAnsi="Arial" w:cs="Arial"/>
          <w:noProof/>
          <w:sz w:val="20"/>
          <w:szCs w:val="20"/>
          <w:lang w:eastAsia="fr-FR"/>
        </w:rPr>
        <w:drawing>
          <wp:inline distT="0" distB="0" distL="0" distR="0" wp14:anchorId="633F743B" wp14:editId="145AD7E6">
            <wp:extent cx="6095999" cy="3664424"/>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04644" cy="3669621"/>
                    </a:xfrm>
                    <a:prstGeom prst="rect">
                      <a:avLst/>
                    </a:prstGeom>
                  </pic:spPr>
                </pic:pic>
              </a:graphicData>
            </a:graphic>
          </wp:inline>
        </w:drawing>
      </w:r>
    </w:p>
    <w:p w14:paraId="78649AAE" w14:textId="77777777" w:rsidR="00B359A2" w:rsidRPr="00970766" w:rsidRDefault="00B359A2" w:rsidP="00B359A2">
      <w:pPr>
        <w:ind w:left="720"/>
        <w:jc w:val="center"/>
        <w:rPr>
          <w:rFonts w:ascii="Arial" w:hAnsi="Arial" w:cs="Arial"/>
          <w:sz w:val="20"/>
          <w:szCs w:val="20"/>
        </w:rPr>
      </w:pPr>
    </w:p>
    <w:p w14:paraId="468EFCA6" w14:textId="144C76CB" w:rsidR="003B07E2" w:rsidRPr="00970766" w:rsidRDefault="003B07E2" w:rsidP="00FB28DA">
      <w:pPr>
        <w:jc w:val="both"/>
        <w:rPr>
          <w:rStyle w:val="Mention1"/>
          <w:rFonts w:eastAsiaTheme="minorEastAsia"/>
          <w:color w:val="auto"/>
          <w:lang w:eastAsia="fr-FR"/>
        </w:rPr>
      </w:pPr>
      <w:r w:rsidRPr="00970766">
        <w:rPr>
          <w:rStyle w:val="Mention1"/>
          <w:rFonts w:eastAsiaTheme="minorEastAsia"/>
          <w:color w:val="auto"/>
          <w:lang w:eastAsia="fr-FR"/>
        </w:rPr>
        <w:t xml:space="preserve">Le médecin prescripteur doit compléter, de manière </w:t>
      </w:r>
      <w:r w:rsidR="0085566A">
        <w:rPr>
          <w:rStyle w:val="Mention1"/>
          <w:rFonts w:eastAsiaTheme="minorEastAsia"/>
          <w:color w:val="auto"/>
          <w:lang w:eastAsia="fr-FR"/>
        </w:rPr>
        <w:t>électronique</w:t>
      </w:r>
      <w:r w:rsidRPr="00970766">
        <w:rPr>
          <w:rStyle w:val="Mention1"/>
          <w:rFonts w:eastAsiaTheme="minorEastAsia"/>
          <w:color w:val="auto"/>
          <w:lang w:eastAsia="fr-FR"/>
        </w:rPr>
        <w:t>, les fiches d’initiation de traitement, de suivi et de fin de traitement (</w:t>
      </w:r>
      <w:r w:rsidR="00EC0960" w:rsidRPr="00970766">
        <w:rPr>
          <w:rStyle w:val="Mention1"/>
          <w:rFonts w:eastAsiaTheme="minorEastAsia"/>
          <w:color w:val="auto"/>
          <w:lang w:eastAsia="fr-FR"/>
        </w:rPr>
        <w:t>cf</w:t>
      </w:r>
      <w:r w:rsidR="00FB28DA">
        <w:rPr>
          <w:rStyle w:val="Mention1"/>
          <w:rFonts w:eastAsiaTheme="minorEastAsia"/>
          <w:color w:val="auto"/>
          <w:lang w:eastAsia="fr-FR"/>
        </w:rPr>
        <w:t>.</w:t>
      </w:r>
      <w:r w:rsidR="00DC4530">
        <w:rPr>
          <w:rStyle w:val="Mention1"/>
          <w:rFonts w:eastAsiaTheme="minorEastAsia"/>
          <w:color w:val="auto"/>
          <w:lang w:eastAsia="fr-FR"/>
        </w:rPr>
        <w:t xml:space="preserve"> A</w:t>
      </w:r>
      <w:r w:rsidR="00EC0960" w:rsidRPr="00970766">
        <w:rPr>
          <w:rStyle w:val="Mention1"/>
          <w:rFonts w:eastAsiaTheme="minorEastAsia"/>
          <w:color w:val="auto"/>
          <w:lang w:eastAsia="fr-FR"/>
        </w:rPr>
        <w:t>nnexe</w:t>
      </w:r>
      <w:r w:rsidR="00DC4530">
        <w:rPr>
          <w:rStyle w:val="Mention1"/>
          <w:rFonts w:eastAsiaTheme="minorEastAsia"/>
          <w:color w:val="auto"/>
          <w:lang w:eastAsia="fr-FR"/>
        </w:rPr>
        <w:t>s</w:t>
      </w:r>
      <w:r w:rsidR="00EC0960" w:rsidRPr="00970766">
        <w:rPr>
          <w:rStyle w:val="Mention1"/>
          <w:rFonts w:eastAsiaTheme="minorEastAsia"/>
          <w:color w:val="auto"/>
          <w:lang w:eastAsia="fr-FR"/>
        </w:rPr>
        <w:t xml:space="preserve"> 1</w:t>
      </w:r>
      <w:r w:rsidRPr="00970766">
        <w:rPr>
          <w:rStyle w:val="Mention1"/>
          <w:rFonts w:eastAsiaTheme="minorEastAsia"/>
          <w:color w:val="auto"/>
          <w:lang w:eastAsia="fr-FR"/>
        </w:rPr>
        <w:t>). En effet, la saisie des données des patients est indispensable afin d’améliorer les connaissances relatives au traitement dans l’indication du CPC et de garantir au mieux la sécurité des patients traités.</w:t>
      </w:r>
    </w:p>
    <w:p w14:paraId="767F4B63" w14:textId="46D2FA87" w:rsidR="003B07E2" w:rsidRDefault="0085566A" w:rsidP="00FB28DA">
      <w:pPr>
        <w:jc w:val="both"/>
        <w:rPr>
          <w:rStyle w:val="Mention1"/>
          <w:rFonts w:eastAsiaTheme="minorEastAsia"/>
          <w:b/>
          <w:color w:val="auto"/>
          <w:lang w:eastAsia="fr-FR"/>
        </w:rPr>
      </w:pPr>
      <w:r>
        <w:rPr>
          <w:rStyle w:val="Mention1"/>
          <w:rFonts w:eastAsiaTheme="minorEastAsia"/>
          <w:b/>
          <w:color w:val="auto"/>
          <w:lang w:eastAsia="fr-FR"/>
        </w:rPr>
        <w:t>L</w:t>
      </w:r>
      <w:r w:rsidR="003B07E2" w:rsidRPr="00A40B60">
        <w:rPr>
          <w:rStyle w:val="Mention1"/>
          <w:rFonts w:eastAsiaTheme="minorEastAsia"/>
          <w:b/>
          <w:color w:val="auto"/>
          <w:lang w:eastAsia="fr-FR"/>
        </w:rPr>
        <w:t>es patients qui auraient débuté le traitement par BOTOX</w:t>
      </w:r>
      <w:r w:rsidR="00C55ECE">
        <w:rPr>
          <w:rStyle w:val="Mention1"/>
          <w:rFonts w:eastAsiaTheme="minorEastAsia"/>
          <w:b/>
          <w:color w:val="auto"/>
          <w:lang w:eastAsia="fr-FR"/>
        </w:rPr>
        <w:t xml:space="preserve"> </w:t>
      </w:r>
      <w:r w:rsidR="003B07E2" w:rsidRPr="00A40B60">
        <w:rPr>
          <w:rStyle w:val="Mention1"/>
          <w:rFonts w:eastAsiaTheme="minorEastAsia"/>
          <w:b/>
          <w:color w:val="auto"/>
          <w:lang w:eastAsia="fr-FR"/>
        </w:rPr>
        <w:t>dans l’indication visée par le CPC avant son entrée en vigueur, doivent ég</w:t>
      </w:r>
      <w:r>
        <w:rPr>
          <w:rStyle w:val="Mention1"/>
          <w:rFonts w:eastAsiaTheme="minorEastAsia"/>
          <w:b/>
          <w:color w:val="auto"/>
          <w:lang w:eastAsia="fr-FR"/>
        </w:rPr>
        <w:t>alement être suivis dans le CPC :</w:t>
      </w:r>
    </w:p>
    <w:p w14:paraId="26E1F592" w14:textId="4DED4FB1" w:rsidR="0085566A" w:rsidRPr="00C53523" w:rsidRDefault="00C53523" w:rsidP="0085566A">
      <w:pPr>
        <w:pStyle w:val="Paragraphedeliste"/>
        <w:numPr>
          <w:ilvl w:val="0"/>
          <w:numId w:val="33"/>
        </w:numPr>
        <w:jc w:val="both"/>
        <w:rPr>
          <w:rStyle w:val="Mention1"/>
          <w:rFonts w:eastAsiaTheme="minorEastAsia"/>
          <w:color w:val="auto"/>
          <w:lang w:eastAsia="fr-FR"/>
        </w:rPr>
      </w:pPr>
      <w:r w:rsidRPr="00C53523">
        <w:rPr>
          <w:rStyle w:val="Mention1"/>
          <w:rFonts w:eastAsiaTheme="minorEastAsia"/>
          <w:color w:val="auto"/>
          <w:lang w:eastAsia="fr-FR"/>
        </w:rPr>
        <w:t>l</w:t>
      </w:r>
      <w:r w:rsidR="0085566A" w:rsidRPr="00C53523">
        <w:rPr>
          <w:rStyle w:val="Mention1"/>
          <w:rFonts w:eastAsiaTheme="minorEastAsia"/>
          <w:color w:val="auto"/>
          <w:lang w:eastAsia="fr-FR"/>
        </w:rPr>
        <w:t>a fiche d’initiation</w:t>
      </w:r>
      <w:r w:rsidR="00DC4530">
        <w:rPr>
          <w:rStyle w:val="Mention1"/>
          <w:rFonts w:eastAsiaTheme="minorEastAsia"/>
          <w:color w:val="auto"/>
          <w:lang w:eastAsia="fr-FR"/>
        </w:rPr>
        <w:t xml:space="preserve"> V0 (cf. A</w:t>
      </w:r>
      <w:r w:rsidR="007F2133">
        <w:rPr>
          <w:rStyle w:val="Mention1"/>
          <w:rFonts w:eastAsiaTheme="minorEastAsia"/>
          <w:color w:val="auto"/>
          <w:lang w:eastAsia="fr-FR"/>
        </w:rPr>
        <w:t>nnexe 1.1)</w:t>
      </w:r>
      <w:r w:rsidR="0085566A" w:rsidRPr="00C53523">
        <w:rPr>
          <w:rStyle w:val="Mention1"/>
          <w:rFonts w:eastAsiaTheme="minorEastAsia"/>
          <w:color w:val="auto"/>
          <w:lang w:eastAsia="fr-FR"/>
        </w:rPr>
        <w:t> </w:t>
      </w:r>
      <w:r w:rsidRPr="00C53523">
        <w:rPr>
          <w:rStyle w:val="Mention1"/>
          <w:rFonts w:eastAsiaTheme="minorEastAsia"/>
          <w:color w:val="auto"/>
          <w:lang w:eastAsia="fr-FR"/>
        </w:rPr>
        <w:t>doit être à complétée</w:t>
      </w:r>
      <w:r w:rsidR="0085566A" w:rsidRPr="00C53523">
        <w:rPr>
          <w:rStyle w:val="Mention1"/>
          <w:rFonts w:eastAsiaTheme="minorEastAsia"/>
          <w:color w:val="auto"/>
          <w:lang w:eastAsia="fr-FR"/>
        </w:rPr>
        <w:t xml:space="preserve"> dans tous les cas</w:t>
      </w:r>
      <w:r w:rsidRPr="00C53523">
        <w:rPr>
          <w:rStyle w:val="Mention1"/>
          <w:rFonts w:eastAsiaTheme="minorEastAsia"/>
          <w:color w:val="auto"/>
          <w:lang w:eastAsia="fr-FR"/>
        </w:rPr>
        <w:t> ;</w:t>
      </w:r>
    </w:p>
    <w:p w14:paraId="3506F021" w14:textId="2756DA72" w:rsidR="0085566A" w:rsidRPr="00C53523" w:rsidRDefault="00C53523" w:rsidP="0085566A">
      <w:pPr>
        <w:pStyle w:val="Paragraphedeliste"/>
        <w:numPr>
          <w:ilvl w:val="0"/>
          <w:numId w:val="33"/>
        </w:numPr>
        <w:jc w:val="both"/>
        <w:rPr>
          <w:rStyle w:val="Mention1"/>
          <w:rFonts w:eastAsiaTheme="minorEastAsia"/>
          <w:color w:val="auto"/>
          <w:lang w:eastAsia="fr-FR"/>
        </w:rPr>
      </w:pPr>
      <w:r w:rsidRPr="00C53523">
        <w:rPr>
          <w:rStyle w:val="Mention1"/>
          <w:rFonts w:eastAsiaTheme="minorEastAsia"/>
          <w:color w:val="auto"/>
          <w:lang w:eastAsia="fr-FR"/>
        </w:rPr>
        <w:t>l</w:t>
      </w:r>
      <w:r w:rsidR="0085566A" w:rsidRPr="00C53523">
        <w:rPr>
          <w:rStyle w:val="Mention1"/>
          <w:rFonts w:eastAsiaTheme="minorEastAsia"/>
          <w:color w:val="auto"/>
          <w:lang w:eastAsia="fr-FR"/>
        </w:rPr>
        <w:t>es fiche</w:t>
      </w:r>
      <w:r w:rsidRPr="00C53523">
        <w:rPr>
          <w:rStyle w:val="Mention1"/>
          <w:rFonts w:eastAsiaTheme="minorEastAsia"/>
          <w:color w:val="auto"/>
          <w:lang w:eastAsia="fr-FR"/>
        </w:rPr>
        <w:t>s</w:t>
      </w:r>
      <w:r w:rsidR="007F2133">
        <w:rPr>
          <w:rStyle w:val="Mention1"/>
          <w:rFonts w:eastAsiaTheme="minorEastAsia"/>
          <w:color w:val="auto"/>
          <w:lang w:eastAsia="fr-FR"/>
        </w:rPr>
        <w:t xml:space="preserve"> de suivi des v</w:t>
      </w:r>
      <w:r w:rsidR="00DC4530">
        <w:rPr>
          <w:rStyle w:val="Mention1"/>
          <w:rFonts w:eastAsiaTheme="minorEastAsia"/>
          <w:color w:val="auto"/>
          <w:lang w:eastAsia="fr-FR"/>
        </w:rPr>
        <w:t>isites initiales V1 et V2 (cf. A</w:t>
      </w:r>
      <w:r w:rsidR="007F2133">
        <w:rPr>
          <w:rStyle w:val="Mention1"/>
          <w:rFonts w:eastAsiaTheme="minorEastAsia"/>
          <w:color w:val="auto"/>
          <w:lang w:eastAsia="fr-FR"/>
        </w:rPr>
        <w:t>nnexe 1.2)</w:t>
      </w:r>
      <w:r w:rsidR="0085566A" w:rsidRPr="00C53523">
        <w:rPr>
          <w:rStyle w:val="Mention1"/>
          <w:rFonts w:eastAsiaTheme="minorEastAsia"/>
          <w:color w:val="auto"/>
          <w:lang w:eastAsia="fr-FR"/>
        </w:rPr>
        <w:t xml:space="preserve"> ne</w:t>
      </w:r>
      <w:r w:rsidRPr="00C53523">
        <w:rPr>
          <w:rStyle w:val="Mention1"/>
          <w:rFonts w:eastAsiaTheme="minorEastAsia"/>
          <w:color w:val="auto"/>
          <w:lang w:eastAsia="fr-FR"/>
        </w:rPr>
        <w:t xml:space="preserve"> sont</w:t>
      </w:r>
      <w:r w:rsidR="0085566A" w:rsidRPr="00C53523">
        <w:rPr>
          <w:rStyle w:val="Mention1"/>
          <w:rFonts w:eastAsiaTheme="minorEastAsia"/>
          <w:color w:val="auto"/>
          <w:lang w:eastAsia="fr-FR"/>
        </w:rPr>
        <w:t xml:space="preserve"> pas</w:t>
      </w:r>
      <w:r w:rsidRPr="00C53523">
        <w:rPr>
          <w:rStyle w:val="Mention1"/>
          <w:rFonts w:eastAsiaTheme="minorEastAsia"/>
          <w:color w:val="auto"/>
          <w:lang w:eastAsia="fr-FR"/>
        </w:rPr>
        <w:t xml:space="preserve"> à </w:t>
      </w:r>
      <w:r w:rsidR="0085566A" w:rsidRPr="00C53523">
        <w:rPr>
          <w:rStyle w:val="Mention1"/>
          <w:rFonts w:eastAsiaTheme="minorEastAsia"/>
          <w:color w:val="auto"/>
          <w:lang w:eastAsia="fr-FR"/>
        </w:rPr>
        <w:t xml:space="preserve">compléter si au moins 2 séances d’injections ont déjà été effectuées avant </w:t>
      </w:r>
      <w:r w:rsidRPr="00C53523">
        <w:rPr>
          <w:rStyle w:val="Mention1"/>
          <w:rFonts w:eastAsiaTheme="minorEastAsia"/>
          <w:color w:val="auto"/>
          <w:lang w:eastAsia="fr-FR"/>
        </w:rPr>
        <w:t xml:space="preserve">la mise en place de ce </w:t>
      </w:r>
      <w:r w:rsidR="0085566A" w:rsidRPr="00C53523">
        <w:rPr>
          <w:rStyle w:val="Mention1"/>
          <w:rFonts w:eastAsiaTheme="minorEastAsia"/>
          <w:color w:val="auto"/>
          <w:lang w:eastAsia="fr-FR"/>
        </w:rPr>
        <w:t>CPC</w:t>
      </w:r>
      <w:r w:rsidRPr="00C53523">
        <w:rPr>
          <w:rStyle w:val="Mention1"/>
          <w:rFonts w:eastAsiaTheme="minorEastAsia"/>
          <w:color w:val="auto"/>
          <w:lang w:eastAsia="fr-FR"/>
        </w:rPr>
        <w:t> ;</w:t>
      </w:r>
    </w:p>
    <w:p w14:paraId="15495C9F" w14:textId="0CA242A9" w:rsidR="0085566A" w:rsidRPr="00C53523" w:rsidRDefault="0085566A" w:rsidP="0085566A">
      <w:pPr>
        <w:pStyle w:val="Paragraphedeliste"/>
        <w:numPr>
          <w:ilvl w:val="0"/>
          <w:numId w:val="33"/>
        </w:numPr>
        <w:jc w:val="both"/>
        <w:rPr>
          <w:rStyle w:val="Mention1"/>
          <w:rFonts w:eastAsiaTheme="minorEastAsia"/>
          <w:color w:val="auto"/>
          <w:lang w:eastAsia="fr-FR"/>
        </w:rPr>
      </w:pPr>
      <w:r w:rsidRPr="00C53523">
        <w:rPr>
          <w:rStyle w:val="Mention1"/>
          <w:rFonts w:eastAsiaTheme="minorEastAsia"/>
          <w:color w:val="auto"/>
          <w:lang w:eastAsia="fr-FR"/>
        </w:rPr>
        <w:t>Les</w:t>
      </w:r>
      <w:r w:rsidR="007F2133">
        <w:rPr>
          <w:rStyle w:val="Mention1"/>
          <w:rFonts w:eastAsiaTheme="minorEastAsia"/>
          <w:color w:val="auto"/>
          <w:lang w:eastAsia="fr-FR"/>
        </w:rPr>
        <w:t xml:space="preserve"> fiches de suivi des </w:t>
      </w:r>
      <w:r w:rsidR="00DC4530">
        <w:rPr>
          <w:rStyle w:val="Mention1"/>
          <w:rFonts w:eastAsiaTheme="minorEastAsia"/>
          <w:color w:val="auto"/>
          <w:lang w:eastAsia="fr-FR"/>
        </w:rPr>
        <w:t>visites trimestrielles Vx (cf. A</w:t>
      </w:r>
      <w:r w:rsidR="007F2133">
        <w:rPr>
          <w:rStyle w:val="Mention1"/>
          <w:rFonts w:eastAsiaTheme="minorEastAsia"/>
          <w:color w:val="auto"/>
          <w:lang w:eastAsia="fr-FR"/>
        </w:rPr>
        <w:t>nnexe 1.3)</w:t>
      </w:r>
      <w:r w:rsidR="00C53523" w:rsidRPr="00C53523">
        <w:rPr>
          <w:rStyle w:val="Mention1"/>
          <w:rFonts w:eastAsiaTheme="minorEastAsia"/>
          <w:color w:val="auto"/>
          <w:lang w:eastAsia="fr-FR"/>
        </w:rPr>
        <w:t> et la fiche de fin de traitement</w:t>
      </w:r>
      <w:r w:rsidR="007F2133">
        <w:rPr>
          <w:rStyle w:val="Mention1"/>
          <w:rFonts w:eastAsiaTheme="minorEastAsia"/>
          <w:color w:val="auto"/>
          <w:lang w:eastAsia="fr-FR"/>
        </w:rPr>
        <w:t xml:space="preserve"> (cf. Annexe 1.</w:t>
      </w:r>
      <w:r w:rsidR="00427194">
        <w:rPr>
          <w:rStyle w:val="Mention1"/>
          <w:rFonts w:eastAsiaTheme="minorEastAsia"/>
          <w:color w:val="auto"/>
          <w:lang w:eastAsia="fr-FR"/>
        </w:rPr>
        <w:t>4)</w:t>
      </w:r>
      <w:r w:rsidR="00C53523" w:rsidRPr="00C53523">
        <w:rPr>
          <w:rStyle w:val="Mention1"/>
          <w:rFonts w:eastAsiaTheme="minorEastAsia"/>
          <w:color w:val="auto"/>
          <w:lang w:eastAsia="fr-FR"/>
        </w:rPr>
        <w:t xml:space="preserve"> doivent être complétées dans tous les cas.</w:t>
      </w:r>
    </w:p>
    <w:p w14:paraId="0C7C0210" w14:textId="502D8905" w:rsidR="003B07E2" w:rsidRPr="00FB28DA" w:rsidRDefault="002A4321" w:rsidP="00DF642F">
      <w:pPr>
        <w:jc w:val="both"/>
        <w:outlineLvl w:val="2"/>
        <w:rPr>
          <w:rStyle w:val="Mention1"/>
          <w:rFonts w:eastAsiaTheme="minorEastAsia"/>
          <w:b/>
          <w:color w:val="auto"/>
          <w:lang w:eastAsia="fr-FR"/>
        </w:rPr>
      </w:pPr>
      <w:bookmarkStart w:id="3" w:name="_Toc158900871"/>
      <w:r>
        <w:rPr>
          <w:rStyle w:val="Mention1"/>
          <w:rFonts w:eastAsiaTheme="minorEastAsia"/>
          <w:b/>
          <w:color w:val="auto"/>
          <w:lang w:eastAsia="fr-FR"/>
        </w:rPr>
        <w:t xml:space="preserve">2.1 </w:t>
      </w:r>
      <w:r w:rsidR="003B07E2" w:rsidRPr="00FB28DA">
        <w:rPr>
          <w:rStyle w:val="Mention1"/>
          <w:rFonts w:eastAsiaTheme="minorEastAsia"/>
          <w:b/>
          <w:color w:val="auto"/>
          <w:lang w:eastAsia="fr-FR"/>
        </w:rPr>
        <w:t>Initiation du traitement :</w:t>
      </w:r>
      <w:bookmarkEnd w:id="3"/>
    </w:p>
    <w:p w14:paraId="0C67E546" w14:textId="77777777" w:rsidR="003B07E2" w:rsidRPr="00970766" w:rsidRDefault="003B07E2" w:rsidP="00FB28DA">
      <w:pPr>
        <w:jc w:val="both"/>
        <w:rPr>
          <w:rStyle w:val="Mention1"/>
          <w:rFonts w:eastAsiaTheme="minorEastAsia"/>
          <w:color w:val="auto"/>
          <w:lang w:eastAsia="fr-FR"/>
        </w:rPr>
      </w:pPr>
      <w:r w:rsidRPr="00970766">
        <w:rPr>
          <w:rStyle w:val="Mention1"/>
          <w:rFonts w:eastAsiaTheme="minorEastAsia"/>
          <w:color w:val="auto"/>
          <w:lang w:eastAsia="fr-FR"/>
        </w:rPr>
        <w:t>Le médecin prescripteur :</w:t>
      </w:r>
    </w:p>
    <w:p w14:paraId="08D37085" w14:textId="1F83BE61" w:rsidR="003B07E2" w:rsidRPr="00FB28DA" w:rsidRDefault="003B07E2" w:rsidP="00FB28DA">
      <w:pPr>
        <w:pStyle w:val="Paragraphedeliste"/>
        <w:numPr>
          <w:ilvl w:val="0"/>
          <w:numId w:val="23"/>
        </w:numPr>
        <w:jc w:val="both"/>
        <w:rPr>
          <w:rStyle w:val="Mention1"/>
          <w:rFonts w:eastAsiaTheme="minorEastAsia"/>
          <w:color w:val="auto"/>
          <w:lang w:eastAsia="fr-FR"/>
        </w:rPr>
      </w:pPr>
      <w:r w:rsidRPr="00FB28DA">
        <w:rPr>
          <w:rStyle w:val="Mention1"/>
          <w:rFonts w:eastAsiaTheme="minorEastAsia"/>
          <w:color w:val="auto"/>
          <w:lang w:eastAsia="fr-FR"/>
        </w:rPr>
        <w:t>vérifie les critères de prescription de BOTOX dans le CPC,</w:t>
      </w:r>
    </w:p>
    <w:p w14:paraId="329059BC" w14:textId="77777777" w:rsidR="003B07E2" w:rsidRPr="00FB28DA" w:rsidRDefault="003B07E2" w:rsidP="00FB28DA">
      <w:pPr>
        <w:pStyle w:val="Paragraphedeliste"/>
        <w:numPr>
          <w:ilvl w:val="0"/>
          <w:numId w:val="23"/>
        </w:numPr>
        <w:jc w:val="both"/>
        <w:rPr>
          <w:rStyle w:val="Mention1"/>
          <w:rFonts w:eastAsiaTheme="minorEastAsia"/>
          <w:color w:val="auto"/>
          <w:lang w:eastAsia="fr-FR"/>
        </w:rPr>
      </w:pPr>
      <w:r w:rsidRPr="00FB28DA">
        <w:rPr>
          <w:rStyle w:val="Mention1"/>
          <w:rFonts w:eastAsiaTheme="minorEastAsia"/>
          <w:color w:val="auto"/>
          <w:lang w:eastAsia="fr-FR"/>
        </w:rPr>
        <w:t>vérifie l’absence d’une contre-indication au traitement (se référer au RCP de l’AMM),</w:t>
      </w:r>
    </w:p>
    <w:p w14:paraId="66CF5CB5" w14:textId="77777777" w:rsidR="003B07E2" w:rsidRPr="00FB28DA" w:rsidRDefault="003B07E2" w:rsidP="00FB28DA">
      <w:pPr>
        <w:pStyle w:val="Paragraphedeliste"/>
        <w:numPr>
          <w:ilvl w:val="0"/>
          <w:numId w:val="23"/>
        </w:numPr>
        <w:jc w:val="both"/>
        <w:rPr>
          <w:rStyle w:val="Mention1"/>
          <w:rFonts w:eastAsiaTheme="minorEastAsia"/>
          <w:color w:val="auto"/>
          <w:lang w:eastAsia="fr-FR"/>
        </w:rPr>
      </w:pPr>
      <w:r w:rsidRPr="00FB28DA">
        <w:rPr>
          <w:rStyle w:val="Mention1"/>
          <w:rFonts w:eastAsiaTheme="minorEastAsia"/>
          <w:color w:val="auto"/>
          <w:lang w:eastAsia="fr-FR"/>
        </w:rPr>
        <w:t xml:space="preserve">informe le patient (ou son représentant légal ou la personne de confiance qu’il a désignée) de la non-conformité de la prescription par rapport à l’AMM, des risques encourus, des contraintes et des bénéfices susceptibles d’être apportés par ces </w:t>
      </w:r>
      <w:r w:rsidRPr="00FB28DA">
        <w:rPr>
          <w:rStyle w:val="Mention1"/>
          <w:rFonts w:eastAsiaTheme="minorEastAsia"/>
          <w:color w:val="auto"/>
          <w:lang w:eastAsia="fr-FR"/>
        </w:rPr>
        <w:lastRenderedPageBreak/>
        <w:t>médicaments ainsi que des conditions de prise en charge par l’assurance maladie et s’assure de la bonne compréhension de ces informations,</w:t>
      </w:r>
    </w:p>
    <w:p w14:paraId="3C247CAC" w14:textId="77777777" w:rsidR="003B07E2" w:rsidRPr="00FB28DA" w:rsidRDefault="003B07E2" w:rsidP="00FB28DA">
      <w:pPr>
        <w:pStyle w:val="Paragraphedeliste"/>
        <w:numPr>
          <w:ilvl w:val="0"/>
          <w:numId w:val="23"/>
        </w:numPr>
        <w:jc w:val="both"/>
        <w:rPr>
          <w:rStyle w:val="Mention1"/>
          <w:rFonts w:eastAsiaTheme="minorEastAsia"/>
          <w:color w:val="auto"/>
          <w:lang w:eastAsia="fr-FR"/>
        </w:rPr>
      </w:pPr>
      <w:r w:rsidRPr="00FB28DA">
        <w:rPr>
          <w:rStyle w:val="Mention1"/>
          <w:rFonts w:eastAsiaTheme="minorEastAsia"/>
          <w:color w:val="auto"/>
          <w:lang w:eastAsia="fr-FR"/>
        </w:rPr>
        <w:t>remet au patient (ou à son représentant légal ou à la personne de confiance qu’il a désignée) la note d’information destinée au patient (</w:t>
      </w:r>
      <w:r w:rsidR="00EC0960" w:rsidRPr="00FB28DA">
        <w:rPr>
          <w:rStyle w:val="Mention1"/>
          <w:rFonts w:eastAsiaTheme="minorEastAsia"/>
          <w:color w:val="auto"/>
          <w:lang w:eastAsia="fr-FR"/>
        </w:rPr>
        <w:t>cf</w:t>
      </w:r>
      <w:r w:rsidR="00FB28DA" w:rsidRPr="00FB28DA">
        <w:rPr>
          <w:rStyle w:val="Mention1"/>
          <w:rFonts w:eastAsiaTheme="minorEastAsia"/>
          <w:color w:val="auto"/>
          <w:lang w:eastAsia="fr-FR"/>
        </w:rPr>
        <w:t>.</w:t>
      </w:r>
      <w:r w:rsidR="00EC0960" w:rsidRPr="00FB28DA">
        <w:rPr>
          <w:rStyle w:val="Mention1"/>
          <w:rFonts w:eastAsiaTheme="minorEastAsia"/>
          <w:color w:val="auto"/>
          <w:lang w:eastAsia="fr-FR"/>
        </w:rPr>
        <w:t xml:space="preserve"> Annexe 3)</w:t>
      </w:r>
      <w:r w:rsidR="000C5FC0">
        <w:rPr>
          <w:rStyle w:val="Mention1"/>
          <w:rFonts w:eastAsiaTheme="minorEastAsia"/>
          <w:color w:val="auto"/>
          <w:lang w:eastAsia="fr-FR"/>
        </w:rPr>
        <w:t xml:space="preserve"> et la notice du médicament</w:t>
      </w:r>
      <w:r w:rsidRPr="00FB28DA">
        <w:rPr>
          <w:rStyle w:val="Mention1"/>
          <w:rFonts w:eastAsiaTheme="minorEastAsia"/>
          <w:color w:val="auto"/>
          <w:lang w:eastAsia="fr-FR"/>
        </w:rPr>
        <w:t>,</w:t>
      </w:r>
    </w:p>
    <w:p w14:paraId="5ECFA20F" w14:textId="77777777" w:rsidR="003B07E2" w:rsidRPr="00FB28DA" w:rsidRDefault="003B07E2" w:rsidP="00FB28DA">
      <w:pPr>
        <w:pStyle w:val="Paragraphedeliste"/>
        <w:numPr>
          <w:ilvl w:val="0"/>
          <w:numId w:val="23"/>
        </w:numPr>
        <w:jc w:val="both"/>
        <w:rPr>
          <w:rStyle w:val="Mention1"/>
          <w:rFonts w:eastAsiaTheme="minorEastAsia"/>
          <w:color w:val="auto"/>
          <w:lang w:eastAsia="fr-FR"/>
        </w:rPr>
      </w:pPr>
      <w:r w:rsidRPr="00FB28DA">
        <w:rPr>
          <w:rStyle w:val="Mention1"/>
          <w:rFonts w:eastAsiaTheme="minorEastAsia"/>
          <w:color w:val="auto"/>
          <w:lang w:eastAsia="fr-FR"/>
        </w:rPr>
        <w:t xml:space="preserve">informe, si possible, le médecin traitant du patient, </w:t>
      </w:r>
    </w:p>
    <w:p w14:paraId="5E88EF8A" w14:textId="040A1AAE" w:rsidR="003B07E2" w:rsidRPr="00FB28DA" w:rsidRDefault="003B07E2" w:rsidP="00D92300">
      <w:pPr>
        <w:pStyle w:val="Paragraphedeliste"/>
        <w:numPr>
          <w:ilvl w:val="0"/>
          <w:numId w:val="23"/>
        </w:numPr>
        <w:jc w:val="both"/>
        <w:rPr>
          <w:rStyle w:val="Mention1"/>
          <w:rFonts w:eastAsiaTheme="minorEastAsia"/>
          <w:color w:val="auto"/>
          <w:lang w:eastAsia="fr-FR"/>
        </w:rPr>
      </w:pPr>
      <w:r w:rsidRPr="00FB28DA">
        <w:rPr>
          <w:rStyle w:val="Mention1"/>
          <w:rFonts w:eastAsiaTheme="minorEastAsia"/>
          <w:color w:val="auto"/>
          <w:lang w:eastAsia="fr-FR"/>
        </w:rPr>
        <w:t>remplit la fiche d’INITIATION de traitement, de</w:t>
      </w:r>
      <w:r w:rsidR="003E78E8">
        <w:rPr>
          <w:rStyle w:val="Mention1"/>
          <w:rFonts w:eastAsiaTheme="minorEastAsia"/>
          <w:color w:val="auto"/>
          <w:lang w:eastAsia="fr-FR"/>
        </w:rPr>
        <w:t xml:space="preserve"> manière électronique</w:t>
      </w:r>
      <w:r w:rsidR="00996D6C" w:rsidRPr="00FB28DA">
        <w:rPr>
          <w:rStyle w:val="Mention1"/>
          <w:rFonts w:eastAsiaTheme="minorEastAsia"/>
          <w:color w:val="auto"/>
          <w:lang w:eastAsia="fr-FR"/>
        </w:rPr>
        <w:t xml:space="preserve"> </w:t>
      </w:r>
      <w:r w:rsidR="00EC0960" w:rsidRPr="00FB28DA">
        <w:rPr>
          <w:rStyle w:val="Mention1"/>
          <w:rFonts w:eastAsiaTheme="minorEastAsia"/>
          <w:color w:val="auto"/>
          <w:lang w:eastAsia="fr-FR"/>
        </w:rPr>
        <w:t>(cf</w:t>
      </w:r>
      <w:r w:rsidR="00FB28DA" w:rsidRPr="00FB28DA">
        <w:rPr>
          <w:rStyle w:val="Mention1"/>
          <w:rFonts w:eastAsiaTheme="minorEastAsia"/>
          <w:color w:val="auto"/>
          <w:lang w:eastAsia="fr-FR"/>
        </w:rPr>
        <w:t>.</w:t>
      </w:r>
      <w:r w:rsidR="00EC0960" w:rsidRPr="00FB28DA">
        <w:rPr>
          <w:rStyle w:val="Mention1"/>
          <w:rFonts w:eastAsiaTheme="minorEastAsia"/>
          <w:color w:val="auto"/>
          <w:lang w:eastAsia="fr-FR"/>
        </w:rPr>
        <w:t xml:space="preserve"> Annexe 1</w:t>
      </w:r>
      <w:r w:rsidRPr="00FB28DA">
        <w:rPr>
          <w:rStyle w:val="Mention1"/>
          <w:rFonts w:eastAsiaTheme="minorEastAsia"/>
          <w:color w:val="auto"/>
          <w:lang w:eastAsia="fr-FR"/>
        </w:rPr>
        <w:t>.1.)</w:t>
      </w:r>
      <w:r w:rsidR="00FF451F">
        <w:rPr>
          <w:rStyle w:val="Mention1"/>
          <w:rFonts w:eastAsiaTheme="minorEastAsia"/>
          <w:color w:val="auto"/>
          <w:lang w:eastAsia="fr-FR"/>
        </w:rPr>
        <w:t xml:space="preserve"> selon les modalités décrites au paragraphe</w:t>
      </w:r>
      <w:r w:rsidR="002A4321">
        <w:rPr>
          <w:rStyle w:val="Mention1"/>
          <w:rFonts w:eastAsiaTheme="minorEastAsia"/>
          <w:color w:val="auto"/>
          <w:lang w:eastAsia="fr-FR"/>
        </w:rPr>
        <w:t xml:space="preserve"> 2.5</w:t>
      </w:r>
      <w:r w:rsidR="00D92300">
        <w:rPr>
          <w:rStyle w:val="Mention1"/>
          <w:rFonts w:eastAsiaTheme="minorEastAsia"/>
          <w:color w:val="auto"/>
          <w:lang w:eastAsia="fr-FR"/>
        </w:rPr>
        <w:t xml:space="preserve"> « </w:t>
      </w:r>
      <w:r w:rsidR="00D92300" w:rsidRPr="00D92300">
        <w:rPr>
          <w:rStyle w:val="Mention1"/>
          <w:rFonts w:eastAsiaTheme="minorEastAsia"/>
          <w:color w:val="auto"/>
          <w:lang w:eastAsia="fr-FR"/>
        </w:rPr>
        <w:t>Modalités de saisie et exploitation des données</w:t>
      </w:r>
      <w:r w:rsidR="00D92300">
        <w:rPr>
          <w:rStyle w:val="Mention1"/>
          <w:rFonts w:eastAsiaTheme="minorEastAsia"/>
          <w:color w:val="auto"/>
          <w:lang w:eastAsia="fr-FR"/>
        </w:rPr>
        <w:t> »,</w:t>
      </w:r>
    </w:p>
    <w:p w14:paraId="465A7605" w14:textId="77777777" w:rsidR="003B07E2" w:rsidRPr="00FB28DA" w:rsidRDefault="003B07E2" w:rsidP="00FB28DA">
      <w:pPr>
        <w:pStyle w:val="Paragraphedeliste"/>
        <w:numPr>
          <w:ilvl w:val="0"/>
          <w:numId w:val="23"/>
        </w:numPr>
        <w:jc w:val="both"/>
        <w:rPr>
          <w:rStyle w:val="Mention1"/>
          <w:rFonts w:eastAsiaTheme="minorEastAsia"/>
          <w:color w:val="auto"/>
          <w:lang w:eastAsia="fr-FR"/>
        </w:rPr>
      </w:pPr>
      <w:r w:rsidRPr="00FB28DA">
        <w:rPr>
          <w:rStyle w:val="Mention1"/>
          <w:rFonts w:eastAsiaTheme="minorEastAsia"/>
          <w:color w:val="auto"/>
          <w:lang w:eastAsia="fr-FR"/>
        </w:rPr>
        <w:t xml:space="preserve">porte sur l’ordonnance la mention « </w:t>
      </w:r>
      <w:r w:rsidRPr="00A40B60">
        <w:rPr>
          <w:rStyle w:val="Mention1"/>
          <w:rFonts w:eastAsiaTheme="minorEastAsia"/>
          <w:color w:val="auto"/>
          <w:u w:val="single"/>
          <w:lang w:eastAsia="fr-FR"/>
        </w:rPr>
        <w:t>Prescription au titre d’un accès compassionnel en dehors du cadre d’une autorisation de mise sur le marché</w:t>
      </w:r>
      <w:r w:rsidRPr="00FB28DA">
        <w:rPr>
          <w:rStyle w:val="Mention1"/>
          <w:rFonts w:eastAsiaTheme="minorEastAsia"/>
          <w:color w:val="auto"/>
          <w:lang w:eastAsia="fr-FR"/>
        </w:rPr>
        <w:t xml:space="preserve"> »,</w:t>
      </w:r>
    </w:p>
    <w:p w14:paraId="176E8572" w14:textId="77777777" w:rsidR="003B07E2" w:rsidRDefault="003B07E2" w:rsidP="00FB28DA">
      <w:pPr>
        <w:pStyle w:val="Paragraphedeliste"/>
        <w:numPr>
          <w:ilvl w:val="0"/>
          <w:numId w:val="23"/>
        </w:numPr>
        <w:jc w:val="both"/>
        <w:rPr>
          <w:rStyle w:val="Mention1"/>
          <w:rFonts w:eastAsiaTheme="minorEastAsia"/>
          <w:color w:val="auto"/>
          <w:lang w:eastAsia="fr-FR"/>
        </w:rPr>
      </w:pPr>
      <w:r w:rsidRPr="00FB28DA">
        <w:rPr>
          <w:rStyle w:val="Mention1"/>
          <w:rFonts w:eastAsiaTheme="minorEastAsia"/>
          <w:color w:val="auto"/>
          <w:lang w:eastAsia="fr-FR"/>
        </w:rPr>
        <w:t>motive sa prescription dans le dossier médical du patient.</w:t>
      </w:r>
    </w:p>
    <w:p w14:paraId="060221E9" w14:textId="77777777" w:rsidR="00A40B60" w:rsidRPr="00A40B60" w:rsidRDefault="00A40B60" w:rsidP="00A40B60">
      <w:pPr>
        <w:jc w:val="both"/>
        <w:rPr>
          <w:rStyle w:val="Mention1"/>
          <w:rFonts w:eastAsiaTheme="minorEastAsia"/>
          <w:color w:val="auto"/>
          <w:lang w:eastAsia="fr-FR"/>
        </w:rPr>
      </w:pPr>
    </w:p>
    <w:p w14:paraId="1ADBA3AA" w14:textId="7DEE6FE3" w:rsidR="003B07E2" w:rsidRPr="00FB28DA" w:rsidRDefault="002A4321" w:rsidP="00DF642F">
      <w:pPr>
        <w:jc w:val="both"/>
        <w:outlineLvl w:val="2"/>
        <w:rPr>
          <w:rStyle w:val="Mention1"/>
          <w:rFonts w:eastAsiaTheme="minorEastAsia"/>
          <w:b/>
          <w:color w:val="auto"/>
          <w:lang w:eastAsia="fr-FR"/>
        </w:rPr>
      </w:pPr>
      <w:bookmarkStart w:id="4" w:name="_Toc347218340"/>
      <w:bookmarkStart w:id="5" w:name="_Toc158900872"/>
      <w:r>
        <w:rPr>
          <w:rStyle w:val="Mention1"/>
          <w:rFonts w:eastAsiaTheme="minorEastAsia"/>
          <w:b/>
          <w:color w:val="auto"/>
          <w:lang w:eastAsia="fr-FR"/>
        </w:rPr>
        <w:t xml:space="preserve">2.2 </w:t>
      </w:r>
      <w:r w:rsidR="003B07E2" w:rsidRPr="00FB28DA">
        <w:rPr>
          <w:rStyle w:val="Mention1"/>
          <w:rFonts w:eastAsiaTheme="minorEastAsia"/>
          <w:b/>
          <w:color w:val="auto"/>
          <w:lang w:eastAsia="fr-FR"/>
        </w:rPr>
        <w:t xml:space="preserve">Suivi </w:t>
      </w:r>
      <w:bookmarkEnd w:id="4"/>
      <w:r w:rsidR="003B07E2" w:rsidRPr="00FB28DA">
        <w:rPr>
          <w:rStyle w:val="Mention1"/>
          <w:rFonts w:eastAsiaTheme="minorEastAsia"/>
          <w:b/>
          <w:color w:val="auto"/>
          <w:lang w:eastAsia="fr-FR"/>
        </w:rPr>
        <w:t>du patient :</w:t>
      </w:r>
      <w:bookmarkEnd w:id="5"/>
    </w:p>
    <w:p w14:paraId="77227730" w14:textId="77777777" w:rsidR="003B07E2" w:rsidRPr="00970766" w:rsidRDefault="003B07E2" w:rsidP="00FB28DA">
      <w:pPr>
        <w:jc w:val="both"/>
        <w:rPr>
          <w:rStyle w:val="Mention1"/>
          <w:rFonts w:eastAsiaTheme="minorEastAsia"/>
          <w:color w:val="auto"/>
          <w:lang w:eastAsia="fr-FR"/>
        </w:rPr>
      </w:pPr>
      <w:r w:rsidRPr="00970766">
        <w:rPr>
          <w:rStyle w:val="Mention1"/>
          <w:rFonts w:eastAsiaTheme="minorEastAsia"/>
          <w:color w:val="auto"/>
          <w:lang w:eastAsia="fr-FR"/>
        </w:rPr>
        <w:t>Chez les patients répondeurs, l’effet du traitement par toxine botulinique n’est pas immédiat et est le plus souvent constaté quelques semaines après les injections. D’après les données disponibles, certains patients non répondeurs lors de la première administration de toxine botulinique, peuvent devenir répondeurs après la deuxième administration. En conséquence, il est considéré qu’il faut, si le traitement est toléré, pratiquer deux séances d’injections espacées de 12 semaines pour se prononcer sur la réponse du patient au traitement. Les patients répondeurs sont définis comme ceux obtenant une diminution de l’intensité douloureuse moyenne (ou un soulagement de la douleur) d’au moins 30% par rapport à l’évaluation initiale de la douleur. Chez les patients restant non répondeurs après deux séances d’injection de toxine botulinique, la poursuite du traitement n’est pas justifiée et celui-ci doit être interrompu.</w:t>
      </w:r>
    </w:p>
    <w:p w14:paraId="6147B6A4" w14:textId="77777777" w:rsidR="00957DC9" w:rsidRDefault="003B07E2" w:rsidP="00FB28DA">
      <w:pPr>
        <w:jc w:val="both"/>
        <w:rPr>
          <w:rStyle w:val="Mention1"/>
          <w:rFonts w:eastAsiaTheme="minorEastAsia"/>
          <w:color w:val="auto"/>
          <w:lang w:eastAsia="fr-FR"/>
        </w:rPr>
      </w:pPr>
      <w:r w:rsidRPr="00970766">
        <w:rPr>
          <w:rStyle w:val="Mention1"/>
          <w:rFonts w:eastAsiaTheme="minorEastAsia"/>
          <w:color w:val="auto"/>
          <w:lang w:eastAsia="fr-FR"/>
        </w:rPr>
        <w:t xml:space="preserve">En conséquence, </w:t>
      </w:r>
      <w:r w:rsidRPr="00957DC9">
        <w:rPr>
          <w:rStyle w:val="Mention1"/>
          <w:rFonts w:eastAsiaTheme="minorEastAsia"/>
          <w:b/>
          <w:color w:val="auto"/>
          <w:lang w:eastAsia="fr-FR"/>
        </w:rPr>
        <w:t>la première visite de suivi</w:t>
      </w:r>
      <w:r w:rsidRPr="00970766">
        <w:rPr>
          <w:rStyle w:val="Mention1"/>
          <w:rFonts w:eastAsiaTheme="minorEastAsia"/>
          <w:color w:val="auto"/>
          <w:lang w:eastAsia="fr-FR"/>
        </w:rPr>
        <w:t xml:space="preserve"> (V1) du CPC doit être réalisée avant la deuxième séance d’injection soit dans les 12 semaines après l’initiation du traitement.</w:t>
      </w:r>
    </w:p>
    <w:p w14:paraId="528D65C0" w14:textId="77777777" w:rsidR="00957DC9" w:rsidRDefault="003B07E2" w:rsidP="00FB28DA">
      <w:pPr>
        <w:jc w:val="both"/>
        <w:rPr>
          <w:rStyle w:val="Mention1"/>
          <w:rFonts w:eastAsiaTheme="minorEastAsia"/>
          <w:color w:val="auto"/>
          <w:lang w:eastAsia="fr-FR"/>
        </w:rPr>
      </w:pPr>
      <w:r w:rsidRPr="00957DC9">
        <w:rPr>
          <w:rStyle w:val="Mention1"/>
          <w:rFonts w:eastAsiaTheme="minorEastAsia"/>
          <w:b/>
          <w:color w:val="auto"/>
          <w:lang w:eastAsia="fr-FR"/>
        </w:rPr>
        <w:t>La deuxième visite de suivi</w:t>
      </w:r>
      <w:r w:rsidRPr="00970766">
        <w:rPr>
          <w:rStyle w:val="Mention1"/>
          <w:rFonts w:eastAsiaTheme="minorEastAsia"/>
          <w:color w:val="auto"/>
          <w:lang w:eastAsia="fr-FR"/>
        </w:rPr>
        <w:t xml:space="preserve"> (V2) doit être réalisée dans les 12 semaines après la deuxième administration. Il sera déterminé la poursuite ou non du traitement à l’issue de cette deuxième visite (V2) de suivi selon la réponse du patient. </w:t>
      </w:r>
    </w:p>
    <w:p w14:paraId="004362C1" w14:textId="1585602D" w:rsidR="003B07E2" w:rsidRPr="00970766" w:rsidRDefault="003B07E2" w:rsidP="00FB28DA">
      <w:pPr>
        <w:jc w:val="both"/>
        <w:rPr>
          <w:rStyle w:val="Mention1"/>
          <w:rFonts w:eastAsiaTheme="minorEastAsia"/>
          <w:color w:val="auto"/>
          <w:lang w:eastAsia="fr-FR"/>
        </w:rPr>
      </w:pPr>
      <w:r w:rsidRPr="00970766">
        <w:rPr>
          <w:rStyle w:val="Mention1"/>
          <w:rFonts w:eastAsiaTheme="minorEastAsia"/>
          <w:color w:val="auto"/>
          <w:lang w:eastAsia="fr-FR"/>
        </w:rPr>
        <w:t>La poursuite du traitement sera par la suite réévaluée périodiquement lors des visites de suivi suivantes (Vx) qui devront être réalisées avant chaque nouvelle séance d’injection soit toutes les 12 semaines.</w:t>
      </w:r>
    </w:p>
    <w:p w14:paraId="34303266" w14:textId="77777777" w:rsidR="003B07E2" w:rsidRPr="00FB28DA" w:rsidRDefault="003B07E2" w:rsidP="00FB28DA">
      <w:pPr>
        <w:jc w:val="both"/>
        <w:rPr>
          <w:rStyle w:val="Mention1"/>
          <w:rFonts w:eastAsiaTheme="minorEastAsia"/>
          <w:color w:val="auto"/>
          <w:lang w:eastAsia="fr-FR"/>
        </w:rPr>
      </w:pPr>
      <w:r w:rsidRPr="00FB28DA">
        <w:rPr>
          <w:rStyle w:val="Mention1"/>
          <w:rFonts w:eastAsiaTheme="minorEastAsia"/>
          <w:color w:val="auto"/>
          <w:lang w:eastAsia="fr-FR"/>
        </w:rPr>
        <w:br w:type="page"/>
      </w:r>
    </w:p>
    <w:p w14:paraId="380A33F2" w14:textId="77777777" w:rsidR="003B07E2" w:rsidRPr="00FB28DA" w:rsidRDefault="003B07E2" w:rsidP="00FB28DA">
      <w:pPr>
        <w:jc w:val="both"/>
        <w:rPr>
          <w:rStyle w:val="Mention1"/>
          <w:rFonts w:eastAsiaTheme="minorEastAsia"/>
          <w:color w:val="auto"/>
          <w:lang w:eastAsia="fr-FR"/>
        </w:rPr>
      </w:pPr>
    </w:p>
    <w:p w14:paraId="7A779850" w14:textId="3F47526C" w:rsidR="003B07E2" w:rsidRPr="00A40B60" w:rsidRDefault="002A4321" w:rsidP="00DF642F">
      <w:pPr>
        <w:jc w:val="both"/>
        <w:outlineLvl w:val="2"/>
        <w:rPr>
          <w:rStyle w:val="Mention1"/>
          <w:rFonts w:eastAsiaTheme="minorEastAsia"/>
          <w:b/>
          <w:color w:val="auto"/>
          <w:lang w:eastAsia="fr-FR"/>
        </w:rPr>
      </w:pPr>
      <w:bookmarkStart w:id="6" w:name="_Toc158900873"/>
      <w:r>
        <w:rPr>
          <w:rStyle w:val="Mention1"/>
          <w:rFonts w:eastAsiaTheme="minorEastAsia"/>
          <w:b/>
          <w:color w:val="auto"/>
          <w:lang w:eastAsia="fr-FR"/>
        </w:rPr>
        <w:t xml:space="preserve">2.3 </w:t>
      </w:r>
      <w:r w:rsidR="003B07E2" w:rsidRPr="00A40B60">
        <w:rPr>
          <w:rStyle w:val="Mention1"/>
          <w:rFonts w:eastAsiaTheme="minorEastAsia"/>
          <w:b/>
          <w:color w:val="auto"/>
          <w:lang w:eastAsia="fr-FR"/>
        </w:rPr>
        <w:t>Schéma de suivi du patient :</w:t>
      </w:r>
      <w:bookmarkEnd w:id="6"/>
    </w:p>
    <w:p w14:paraId="591B2741" w14:textId="77777777" w:rsidR="003B07E2" w:rsidRPr="00FB28DA" w:rsidRDefault="003B07E2" w:rsidP="00FB28DA">
      <w:pPr>
        <w:jc w:val="both"/>
        <w:rPr>
          <w:rStyle w:val="Mention1"/>
          <w:rFonts w:eastAsiaTheme="minorEastAsia"/>
          <w:color w:val="auto"/>
        </w:rPr>
      </w:pPr>
    </w:p>
    <w:p w14:paraId="01BDBB90" w14:textId="5ECAC2FE" w:rsidR="003B07E2" w:rsidRPr="00FB28DA" w:rsidRDefault="00B23E82" w:rsidP="00FB28DA">
      <w:pPr>
        <w:jc w:val="both"/>
        <w:rPr>
          <w:rStyle w:val="Mention1"/>
          <w:rFonts w:eastAsiaTheme="minorEastAsia"/>
          <w:color w:val="auto"/>
        </w:rPr>
      </w:pPr>
      <w:r>
        <w:rPr>
          <w:noProof/>
          <w:lang w:eastAsia="fr-FR"/>
        </w:rPr>
        <w:drawing>
          <wp:inline distT="0" distB="0" distL="0" distR="0" wp14:anchorId="23A761A4" wp14:editId="6759A279">
            <wp:extent cx="5457825" cy="49911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57825" cy="4991100"/>
                    </a:xfrm>
                    <a:prstGeom prst="rect">
                      <a:avLst/>
                    </a:prstGeom>
                  </pic:spPr>
                </pic:pic>
              </a:graphicData>
            </a:graphic>
          </wp:inline>
        </w:drawing>
      </w:r>
    </w:p>
    <w:p w14:paraId="66D139B5" w14:textId="77777777" w:rsidR="003B07E2" w:rsidRPr="00970766" w:rsidRDefault="003B07E2" w:rsidP="00FB28DA">
      <w:pPr>
        <w:jc w:val="both"/>
        <w:rPr>
          <w:rStyle w:val="Mention1"/>
          <w:rFonts w:eastAsiaTheme="minorEastAsia"/>
          <w:color w:val="auto"/>
          <w:lang w:eastAsia="fr-FR"/>
        </w:rPr>
      </w:pPr>
      <w:r w:rsidRPr="00970766">
        <w:rPr>
          <w:rStyle w:val="Mention1"/>
          <w:rFonts w:eastAsiaTheme="minorEastAsia"/>
          <w:color w:val="auto"/>
          <w:lang w:eastAsia="fr-FR"/>
        </w:rPr>
        <w:t>Le médecin prescripteur collecte, de manière électronique uniquement, les données de suivi prévues dans les fiches</w:t>
      </w:r>
      <w:r w:rsidR="00EC7346" w:rsidRPr="00970766">
        <w:rPr>
          <w:rStyle w:val="Mention1"/>
          <w:rFonts w:eastAsiaTheme="minorEastAsia"/>
          <w:color w:val="auto"/>
          <w:lang w:eastAsia="fr-FR"/>
        </w:rPr>
        <w:t xml:space="preserve"> de suivi ci-après (</w:t>
      </w:r>
      <w:r w:rsidR="00EC0960" w:rsidRPr="00970766">
        <w:rPr>
          <w:rStyle w:val="Mention1"/>
          <w:rFonts w:eastAsiaTheme="minorEastAsia"/>
          <w:color w:val="auto"/>
          <w:lang w:eastAsia="fr-FR"/>
        </w:rPr>
        <w:t>Annexe 1.2</w:t>
      </w:r>
      <w:r w:rsidR="00EC7346" w:rsidRPr="00970766">
        <w:rPr>
          <w:rStyle w:val="Mention1"/>
          <w:rFonts w:eastAsiaTheme="minorEastAsia"/>
          <w:color w:val="auto"/>
          <w:lang w:eastAsia="fr-FR"/>
        </w:rPr>
        <w:t xml:space="preserve"> et 1.3</w:t>
      </w:r>
      <w:r w:rsidRPr="00970766">
        <w:rPr>
          <w:rStyle w:val="Mention1"/>
          <w:rFonts w:eastAsiaTheme="minorEastAsia"/>
          <w:color w:val="auto"/>
          <w:lang w:eastAsia="fr-FR"/>
        </w:rPr>
        <w:t>) et réévalue l’intérêt de la poursuite du traitement.</w:t>
      </w:r>
    </w:p>
    <w:p w14:paraId="039FD004" w14:textId="67ECE482" w:rsidR="003B07E2" w:rsidRPr="00970766" w:rsidRDefault="003B07E2" w:rsidP="00FB28DA">
      <w:pPr>
        <w:jc w:val="both"/>
        <w:rPr>
          <w:rStyle w:val="Mention1"/>
          <w:rFonts w:eastAsiaTheme="minorEastAsia"/>
          <w:color w:val="auto"/>
          <w:lang w:eastAsia="fr-FR"/>
        </w:rPr>
      </w:pPr>
      <w:r w:rsidRPr="00970766">
        <w:rPr>
          <w:rStyle w:val="Mention1"/>
          <w:rFonts w:eastAsiaTheme="minorEastAsia"/>
          <w:color w:val="auto"/>
          <w:lang w:eastAsia="fr-FR"/>
        </w:rPr>
        <w:t xml:space="preserve">En cas de survenue d’un effet indésirable, le prescripteur le déclare dès que possible directement sur le site </w:t>
      </w:r>
      <w:hyperlink r:id="rId18" w:history="1">
        <w:r w:rsidRPr="00AE2826">
          <w:rPr>
            <w:rStyle w:val="Lienhypertexte"/>
            <w:rFonts w:ascii="Arial Nova Cond" w:eastAsia="Times New Roman" w:hAnsi="Arial Nova Cond" w:cs="Arial"/>
            <w:szCs w:val="20"/>
          </w:rPr>
          <w:t>https://signalement.social-sante.gouv.fr</w:t>
        </w:r>
      </w:hyperlink>
      <w:r w:rsidR="00996D6C" w:rsidRPr="00970766">
        <w:rPr>
          <w:rStyle w:val="Mention1"/>
          <w:rFonts w:eastAsiaTheme="minorEastAsia"/>
          <w:color w:val="auto"/>
          <w:lang w:eastAsia="fr-FR"/>
        </w:rPr>
        <w:t xml:space="preserve"> </w:t>
      </w:r>
      <w:r w:rsidRPr="00970766">
        <w:rPr>
          <w:rStyle w:val="Mention1"/>
          <w:rFonts w:eastAsiaTheme="minorEastAsia"/>
          <w:color w:val="auto"/>
          <w:lang w:eastAsia="fr-FR"/>
        </w:rPr>
        <w:t xml:space="preserve">ou à l’aide du formulaire de déclaration d’effet indésirable disponible sur le site de l’ANSM </w:t>
      </w:r>
      <w:hyperlink r:id="rId19">
        <w:r w:rsidRPr="00AE2826">
          <w:rPr>
            <w:rStyle w:val="Lienhypertexte"/>
            <w:rFonts w:ascii="Arial Nova Cond" w:eastAsia="Times New Roman" w:hAnsi="Arial Nova Cond" w:cs="Arial"/>
            <w:szCs w:val="20"/>
          </w:rPr>
          <w:t>www.ansm.sante.fr</w:t>
        </w:r>
      </w:hyperlink>
      <w:r w:rsidR="006E6340">
        <w:rPr>
          <w:rStyle w:val="Mention1"/>
          <w:rFonts w:eastAsiaTheme="minorEastAsia"/>
          <w:color w:val="auto"/>
          <w:lang w:eastAsia="fr-FR"/>
        </w:rPr>
        <w:t xml:space="preserve"> </w:t>
      </w:r>
      <w:r w:rsidRPr="00970766">
        <w:rPr>
          <w:rStyle w:val="Mention1"/>
          <w:rFonts w:eastAsiaTheme="minorEastAsia"/>
          <w:color w:val="auto"/>
          <w:lang w:eastAsia="fr-FR"/>
        </w:rPr>
        <w:t xml:space="preserve">(rubrique Déclarer un effet indésirable) (cf. modalités de déclaration d’effet indésirable en </w:t>
      </w:r>
      <w:r w:rsidR="00DC4530">
        <w:rPr>
          <w:rStyle w:val="Mention1"/>
          <w:rFonts w:eastAsiaTheme="minorEastAsia"/>
          <w:color w:val="auto"/>
          <w:lang w:eastAsia="fr-FR"/>
        </w:rPr>
        <w:t>A</w:t>
      </w:r>
      <w:r w:rsidRPr="00970766">
        <w:rPr>
          <w:rStyle w:val="Mention1"/>
          <w:rFonts w:eastAsiaTheme="minorEastAsia"/>
          <w:color w:val="auto"/>
          <w:lang w:eastAsia="fr-FR"/>
        </w:rPr>
        <w:t>nnex</w:t>
      </w:r>
      <w:r w:rsidR="00EC7346" w:rsidRPr="00970766">
        <w:rPr>
          <w:rStyle w:val="Mention1"/>
          <w:rFonts w:eastAsiaTheme="minorEastAsia"/>
          <w:color w:val="auto"/>
          <w:lang w:eastAsia="fr-FR"/>
        </w:rPr>
        <w:t>e 5</w:t>
      </w:r>
      <w:r w:rsidRPr="00970766">
        <w:rPr>
          <w:rStyle w:val="Mention1"/>
          <w:rFonts w:eastAsiaTheme="minorEastAsia"/>
          <w:color w:val="auto"/>
          <w:lang w:eastAsia="fr-FR"/>
        </w:rPr>
        <w:t>) en mentionnant que le patient est traité dans le cadre d’une prescription compassionnelle.</w:t>
      </w:r>
    </w:p>
    <w:p w14:paraId="24FBEC37" w14:textId="77777777" w:rsidR="00544A4A" w:rsidRDefault="003B07E2" w:rsidP="00FB28DA">
      <w:pPr>
        <w:jc w:val="both"/>
        <w:rPr>
          <w:rStyle w:val="Mention1"/>
          <w:rFonts w:eastAsiaTheme="minorEastAsia"/>
          <w:color w:val="auto"/>
          <w:lang w:eastAsia="fr-FR"/>
        </w:rPr>
      </w:pPr>
      <w:r w:rsidRPr="00970766">
        <w:rPr>
          <w:rStyle w:val="Mention1"/>
          <w:rFonts w:eastAsiaTheme="minorEastAsia"/>
          <w:color w:val="auto"/>
          <w:lang w:eastAsia="fr-FR"/>
        </w:rPr>
        <w:t>En cas d’arrêt de traitement lié à la survenue d’un effet indésirable, le formulaire de déclaration d’effet indésirable est égalem</w:t>
      </w:r>
      <w:r w:rsidR="00544A4A">
        <w:rPr>
          <w:rStyle w:val="Mention1"/>
          <w:rFonts w:eastAsiaTheme="minorEastAsia"/>
          <w:color w:val="auto"/>
          <w:lang w:eastAsia="fr-FR"/>
        </w:rPr>
        <w:t>ent rempli par le prescripteur.</w:t>
      </w:r>
    </w:p>
    <w:p w14:paraId="6FA1CDBF" w14:textId="77777777" w:rsidR="00544A4A" w:rsidRDefault="00544A4A" w:rsidP="00FB28DA">
      <w:pPr>
        <w:jc w:val="both"/>
        <w:rPr>
          <w:rStyle w:val="Mention1"/>
          <w:rFonts w:eastAsiaTheme="minorEastAsia"/>
          <w:color w:val="auto"/>
          <w:lang w:eastAsia="fr-FR"/>
        </w:rPr>
      </w:pPr>
    </w:p>
    <w:p w14:paraId="2D5F1B70" w14:textId="77777777" w:rsidR="00191054" w:rsidRDefault="00191054">
      <w:pPr>
        <w:rPr>
          <w:rStyle w:val="Mention1"/>
          <w:rFonts w:eastAsiaTheme="minorEastAsia"/>
          <w:b/>
          <w:color w:val="auto"/>
          <w:lang w:eastAsia="fr-FR"/>
        </w:rPr>
      </w:pPr>
      <w:r>
        <w:rPr>
          <w:rStyle w:val="Mention1"/>
          <w:rFonts w:eastAsiaTheme="minorEastAsia"/>
          <w:b/>
          <w:color w:val="auto"/>
          <w:lang w:eastAsia="fr-FR"/>
        </w:rPr>
        <w:br w:type="page"/>
      </w:r>
    </w:p>
    <w:p w14:paraId="34AC65B0" w14:textId="2E31D5EC" w:rsidR="003B07E2" w:rsidRPr="006E6340" w:rsidRDefault="002A4321" w:rsidP="00DF642F">
      <w:pPr>
        <w:jc w:val="both"/>
        <w:outlineLvl w:val="2"/>
        <w:rPr>
          <w:rStyle w:val="Mention1"/>
          <w:rFonts w:eastAsiaTheme="minorEastAsia"/>
          <w:b/>
          <w:color w:val="auto"/>
          <w:lang w:eastAsia="fr-FR"/>
        </w:rPr>
      </w:pPr>
      <w:bookmarkStart w:id="7" w:name="_Toc158900874"/>
      <w:r>
        <w:rPr>
          <w:rStyle w:val="Mention1"/>
          <w:rFonts w:eastAsiaTheme="minorEastAsia"/>
          <w:b/>
          <w:color w:val="auto"/>
          <w:lang w:eastAsia="fr-FR"/>
        </w:rPr>
        <w:lastRenderedPageBreak/>
        <w:t xml:space="preserve">2.4 </w:t>
      </w:r>
      <w:r w:rsidR="003B07E2" w:rsidRPr="006E6340">
        <w:rPr>
          <w:rStyle w:val="Mention1"/>
          <w:rFonts w:eastAsiaTheme="minorEastAsia"/>
          <w:b/>
          <w:color w:val="auto"/>
          <w:lang w:eastAsia="fr-FR"/>
        </w:rPr>
        <w:t>Arrêt du traitement :</w:t>
      </w:r>
      <w:bookmarkEnd w:id="7"/>
    </w:p>
    <w:p w14:paraId="54C5EE26" w14:textId="77777777" w:rsidR="003B07E2" w:rsidRPr="00970766" w:rsidRDefault="003B07E2" w:rsidP="00FB28DA">
      <w:pPr>
        <w:jc w:val="both"/>
        <w:rPr>
          <w:rStyle w:val="Mention1"/>
          <w:rFonts w:eastAsiaTheme="minorEastAsia"/>
          <w:color w:val="auto"/>
          <w:lang w:eastAsia="fr-FR"/>
        </w:rPr>
      </w:pPr>
    </w:p>
    <w:p w14:paraId="484E0025" w14:textId="5EA4E17B" w:rsidR="003B07E2" w:rsidRDefault="003B07E2" w:rsidP="00FB28DA">
      <w:pPr>
        <w:jc w:val="both"/>
        <w:rPr>
          <w:rStyle w:val="Mention1"/>
          <w:rFonts w:eastAsiaTheme="minorEastAsia"/>
          <w:color w:val="auto"/>
          <w:lang w:eastAsia="fr-FR"/>
        </w:rPr>
      </w:pPr>
      <w:r w:rsidRPr="00970766">
        <w:rPr>
          <w:rStyle w:val="Mention1"/>
          <w:rFonts w:eastAsiaTheme="minorEastAsia"/>
          <w:color w:val="auto"/>
          <w:lang w:eastAsia="fr-FR"/>
        </w:rPr>
        <w:t>En cas d’arrêt de traitement, le prescripteur le déclare, de manière électronique uniquement, en complétant la fiche de f</w:t>
      </w:r>
      <w:r w:rsidR="00EC0960" w:rsidRPr="00970766">
        <w:rPr>
          <w:rStyle w:val="Mention1"/>
          <w:rFonts w:eastAsiaTheme="minorEastAsia"/>
          <w:color w:val="auto"/>
          <w:lang w:eastAsia="fr-FR"/>
        </w:rPr>
        <w:t>in de traitement (</w:t>
      </w:r>
      <w:r w:rsidR="00EC7346" w:rsidRPr="00970766">
        <w:rPr>
          <w:rStyle w:val="Mention1"/>
          <w:rFonts w:eastAsiaTheme="minorEastAsia"/>
          <w:color w:val="auto"/>
          <w:lang w:eastAsia="fr-FR"/>
        </w:rPr>
        <w:t>cf.</w:t>
      </w:r>
      <w:r w:rsidR="00EC0960" w:rsidRPr="00970766">
        <w:rPr>
          <w:rStyle w:val="Mention1"/>
          <w:rFonts w:eastAsiaTheme="minorEastAsia"/>
          <w:color w:val="auto"/>
          <w:lang w:eastAsia="fr-FR"/>
        </w:rPr>
        <w:t xml:space="preserve"> </w:t>
      </w:r>
      <w:r w:rsidR="00DC4530">
        <w:rPr>
          <w:rStyle w:val="Mention1"/>
          <w:rFonts w:eastAsiaTheme="minorEastAsia"/>
          <w:color w:val="auto"/>
          <w:lang w:eastAsia="fr-FR"/>
        </w:rPr>
        <w:t>A</w:t>
      </w:r>
      <w:r w:rsidR="00EC0960" w:rsidRPr="00970766">
        <w:rPr>
          <w:rStyle w:val="Mention1"/>
          <w:rFonts w:eastAsiaTheme="minorEastAsia"/>
          <w:color w:val="auto"/>
          <w:lang w:eastAsia="fr-FR"/>
        </w:rPr>
        <w:t>nnexe 1</w:t>
      </w:r>
      <w:r w:rsidR="00EC7346" w:rsidRPr="00970766">
        <w:rPr>
          <w:rStyle w:val="Mention1"/>
          <w:rFonts w:eastAsiaTheme="minorEastAsia"/>
          <w:color w:val="auto"/>
          <w:lang w:eastAsia="fr-FR"/>
        </w:rPr>
        <w:t>.4</w:t>
      </w:r>
      <w:r w:rsidRPr="00970766">
        <w:rPr>
          <w:rStyle w:val="Mention1"/>
          <w:rFonts w:eastAsiaTheme="minorEastAsia"/>
          <w:color w:val="auto"/>
          <w:lang w:eastAsia="fr-FR"/>
        </w:rPr>
        <w:t>) et indique la raison de cet arrêt.</w:t>
      </w:r>
    </w:p>
    <w:p w14:paraId="73686B32" w14:textId="77777777" w:rsidR="00FB28DA" w:rsidRDefault="00FB28DA" w:rsidP="00FB28DA">
      <w:pPr>
        <w:jc w:val="both"/>
        <w:rPr>
          <w:rStyle w:val="Mention1"/>
          <w:rFonts w:eastAsiaTheme="minorEastAsia"/>
          <w:color w:val="auto"/>
          <w:lang w:eastAsia="fr-FR"/>
        </w:rPr>
      </w:pPr>
    </w:p>
    <w:p w14:paraId="07E5629D" w14:textId="48E88CA9" w:rsidR="00FB28DA" w:rsidRDefault="002A4321" w:rsidP="00DF642F">
      <w:pPr>
        <w:jc w:val="both"/>
        <w:outlineLvl w:val="2"/>
        <w:rPr>
          <w:rStyle w:val="Mention1"/>
          <w:rFonts w:eastAsiaTheme="minorEastAsia"/>
          <w:b/>
          <w:color w:val="auto"/>
          <w:lang w:eastAsia="fr-FR"/>
        </w:rPr>
      </w:pPr>
      <w:bookmarkStart w:id="8" w:name="_Toc158900875"/>
      <w:r>
        <w:rPr>
          <w:rStyle w:val="Mention1"/>
          <w:rFonts w:eastAsiaTheme="minorEastAsia"/>
          <w:b/>
          <w:color w:val="auto"/>
          <w:lang w:eastAsia="fr-FR"/>
        </w:rPr>
        <w:t xml:space="preserve">2.5 </w:t>
      </w:r>
      <w:r w:rsidR="00FB28DA" w:rsidRPr="006843F0">
        <w:rPr>
          <w:rStyle w:val="Mention1"/>
          <w:rFonts w:eastAsiaTheme="minorEastAsia"/>
          <w:b/>
          <w:color w:val="auto"/>
          <w:lang w:eastAsia="fr-FR"/>
        </w:rPr>
        <w:t>Modalités de saisie et exploitation des données</w:t>
      </w:r>
      <w:bookmarkEnd w:id="8"/>
    </w:p>
    <w:p w14:paraId="0604E7D9" w14:textId="77777777" w:rsidR="0047332E" w:rsidRPr="002962E8" w:rsidRDefault="0047332E" w:rsidP="0047332E">
      <w:pPr>
        <w:jc w:val="both"/>
        <w:rPr>
          <w:rStyle w:val="Mention1"/>
          <w:rFonts w:eastAsiaTheme="minorEastAsia"/>
          <w:color w:val="auto"/>
          <w:lang w:eastAsia="fr-FR"/>
        </w:rPr>
      </w:pPr>
      <w:r w:rsidRPr="002962E8">
        <w:rPr>
          <w:rStyle w:val="Mention1"/>
          <w:rFonts w:eastAsiaTheme="minorEastAsia"/>
          <w:color w:val="auto"/>
          <w:lang w:eastAsia="fr-FR"/>
        </w:rPr>
        <w:t xml:space="preserve">Les données des patients suivis dans le cadre du CPC seront saisies par le médecin prescripteur dans un cahier de recueil de données informatisé accessible via une connexion internet sécurisée (avec login et mot de passe) à l’adresse suivante : </w:t>
      </w:r>
      <w:hyperlink r:id="rId20" w:history="1">
        <w:r w:rsidR="00DF2B46" w:rsidRPr="001B3FF4">
          <w:rPr>
            <w:rStyle w:val="Lienhypertexte"/>
            <w:rFonts w:ascii="Arial Nova Cond" w:eastAsiaTheme="minorEastAsia" w:hAnsi="Arial Nova Cond"/>
            <w:shd w:val="clear" w:color="auto" w:fill="F2F2F2" w:themeFill="background1" w:themeFillShade="F2"/>
            <w:lang w:eastAsia="fr-FR"/>
          </w:rPr>
          <w:t>https://vraie-vie.abbvie.fr/</w:t>
        </w:r>
      </w:hyperlink>
      <w:r w:rsidR="00DF2B46">
        <w:rPr>
          <w:rStyle w:val="Mention1"/>
          <w:rFonts w:eastAsiaTheme="minorEastAsia"/>
          <w:color w:val="auto"/>
          <w:lang w:eastAsia="fr-FR"/>
        </w:rPr>
        <w:t xml:space="preserve">. </w:t>
      </w:r>
      <w:r w:rsidRPr="002962E8">
        <w:rPr>
          <w:rStyle w:val="Mention1"/>
          <w:rFonts w:eastAsiaTheme="minorEastAsia"/>
          <w:color w:val="auto"/>
          <w:lang w:eastAsia="fr-FR"/>
        </w:rPr>
        <w:t xml:space="preserve"> La plateforme porte le nom d’AbbVie Vraie Vie.</w:t>
      </w:r>
    </w:p>
    <w:p w14:paraId="053F15E6" w14:textId="77777777" w:rsidR="0047332E" w:rsidRPr="002962E8" w:rsidRDefault="0047332E" w:rsidP="0047332E">
      <w:pPr>
        <w:jc w:val="both"/>
        <w:rPr>
          <w:rStyle w:val="Mention1"/>
          <w:rFonts w:eastAsiaTheme="minorEastAsia"/>
          <w:color w:val="auto"/>
          <w:lang w:eastAsia="fr-FR"/>
        </w:rPr>
      </w:pPr>
      <w:r w:rsidRPr="002962E8">
        <w:rPr>
          <w:rStyle w:val="Mention1"/>
          <w:rFonts w:eastAsiaTheme="minorEastAsia"/>
          <w:color w:val="auto"/>
          <w:lang w:eastAsia="fr-FR"/>
        </w:rPr>
        <w:t>L’identification et l’authentification à la plateforme peuvent s’effectuer par l’intermédiaire du service Pasrel/Plage mis en œuvre par l’ATIH dès lors que le professionnel de santé y a son compte personnel activé pour le domaine « MED-ACCES ». L’accès peut également s’effectuer après création directement sur la plateforme de son identifiant et de son mot de passe via une procédure d’authentification forte et sécurisée.</w:t>
      </w:r>
    </w:p>
    <w:p w14:paraId="43BF8FD9" w14:textId="5049E362" w:rsidR="0047332E" w:rsidRPr="002962E8" w:rsidRDefault="0047332E" w:rsidP="00AD3E6C">
      <w:pPr>
        <w:jc w:val="both"/>
        <w:rPr>
          <w:rStyle w:val="Mention1"/>
          <w:rFonts w:eastAsiaTheme="minorEastAsia"/>
          <w:color w:val="auto"/>
          <w:lang w:eastAsia="fr-FR"/>
        </w:rPr>
      </w:pPr>
      <w:r w:rsidRPr="002962E8">
        <w:rPr>
          <w:rStyle w:val="Mention1"/>
          <w:rFonts w:eastAsiaTheme="minorEastAsia"/>
          <w:color w:val="auto"/>
          <w:lang w:eastAsia="fr-FR"/>
        </w:rPr>
        <w:t xml:space="preserve">La saisie électronique est à privilégier. Si toutefois, des difficultés de connexion au portail sont rencontrées, les fiches pourront être envoyées </w:t>
      </w:r>
      <w:r w:rsidR="00AD3E6C">
        <w:rPr>
          <w:rStyle w:val="Mention1"/>
          <w:rFonts w:eastAsiaTheme="minorEastAsia"/>
          <w:color w:val="auto"/>
          <w:lang w:eastAsia="fr-FR"/>
        </w:rPr>
        <w:t xml:space="preserve">à </w:t>
      </w:r>
      <w:hyperlink r:id="rId21" w:history="1">
        <w:r w:rsidR="00AD3E6C" w:rsidRPr="00B60BAE">
          <w:rPr>
            <w:rStyle w:val="Lienhypertexte"/>
            <w:rFonts w:ascii="Arial Nova Cond" w:eastAsiaTheme="minorEastAsia" w:hAnsi="Arial Nova Cond"/>
            <w:shd w:val="clear" w:color="auto" w:fill="F2F2F2" w:themeFill="background1" w:themeFillShade="F2"/>
            <w:lang w:eastAsia="fr-FR"/>
          </w:rPr>
          <w:t>cpc-botox@axonal.com</w:t>
        </w:r>
      </w:hyperlink>
      <w:r w:rsidR="00AD3E6C">
        <w:rPr>
          <w:rStyle w:val="Mention1"/>
          <w:rFonts w:eastAsiaTheme="minorEastAsia"/>
          <w:color w:val="auto"/>
          <w:lang w:eastAsia="fr-FR"/>
        </w:rPr>
        <w:t xml:space="preserve">. </w:t>
      </w:r>
    </w:p>
    <w:p w14:paraId="26FE5425" w14:textId="1C2B58E5" w:rsidR="0047332E" w:rsidRPr="002962E8" w:rsidRDefault="0047332E" w:rsidP="0047332E">
      <w:pPr>
        <w:jc w:val="both"/>
        <w:rPr>
          <w:rStyle w:val="Mention1"/>
          <w:rFonts w:eastAsiaTheme="minorEastAsia"/>
          <w:color w:val="auto"/>
          <w:lang w:eastAsia="fr-FR"/>
        </w:rPr>
      </w:pPr>
      <w:r w:rsidRPr="002962E8">
        <w:rPr>
          <w:rStyle w:val="Mention1"/>
          <w:rFonts w:eastAsiaTheme="minorEastAsia"/>
          <w:color w:val="auto"/>
          <w:lang w:eastAsia="fr-FR"/>
        </w:rPr>
        <w:t xml:space="preserve">Lorsque le médecin prescripteur souhaite instaurer un traitement pour un patient donné, il est invité à prendre connaissance du PUT-SP et du RCP. Le médecin prescripteur vérifie l’indication du CPC, la capacité de son centre </w:t>
      </w:r>
      <w:r w:rsidR="006843F0" w:rsidRPr="002962E8">
        <w:rPr>
          <w:rStyle w:val="Mention1"/>
          <w:rFonts w:eastAsiaTheme="minorEastAsia"/>
          <w:color w:val="auto"/>
          <w:lang w:eastAsia="fr-FR"/>
        </w:rPr>
        <w:t>hospitalier</w:t>
      </w:r>
      <w:r w:rsidRPr="002962E8">
        <w:rPr>
          <w:rStyle w:val="Mention1"/>
          <w:rFonts w:eastAsiaTheme="minorEastAsia"/>
          <w:color w:val="auto"/>
          <w:lang w:eastAsia="fr-FR"/>
        </w:rPr>
        <w:t xml:space="preserve"> à administrer le traitement par BOTOX, l’absence de contre-indication, explique le traitement à son patient, les effets indésirables, lui remet la note d’information et s’assure de la bonne compréhension de ces informations et de son accord à y participer.</w:t>
      </w:r>
    </w:p>
    <w:p w14:paraId="05EEE0E4" w14:textId="77777777" w:rsidR="0047332E" w:rsidRPr="002962E8" w:rsidRDefault="0047332E" w:rsidP="0047332E">
      <w:pPr>
        <w:jc w:val="both"/>
        <w:rPr>
          <w:rStyle w:val="Mention1"/>
          <w:rFonts w:eastAsiaTheme="minorEastAsia"/>
          <w:color w:val="auto"/>
          <w:lang w:eastAsia="fr-FR"/>
        </w:rPr>
      </w:pPr>
      <w:r w:rsidRPr="002962E8">
        <w:rPr>
          <w:rStyle w:val="Mention1"/>
          <w:rFonts w:eastAsiaTheme="minorEastAsia"/>
          <w:color w:val="auto"/>
          <w:lang w:eastAsia="fr-FR"/>
        </w:rPr>
        <w:t>Un numéro unique est attribué automatiquement à chaque patient inclus dans le programme de CPC. Ce numéro est à indiquer par le médecin prescripteur dans le dossier médical de son patient.</w:t>
      </w:r>
    </w:p>
    <w:p w14:paraId="38364F50" w14:textId="10363D32" w:rsidR="003A3FC4" w:rsidRPr="00970766" w:rsidRDefault="0047332E" w:rsidP="0047332E">
      <w:pPr>
        <w:jc w:val="both"/>
        <w:rPr>
          <w:rFonts w:ascii="Arial" w:hAnsi="Arial" w:cs="Arial"/>
          <w:b/>
          <w:sz w:val="20"/>
          <w:szCs w:val="20"/>
        </w:rPr>
      </w:pPr>
      <w:r w:rsidRPr="002962E8">
        <w:rPr>
          <w:rStyle w:val="Mention1"/>
          <w:rFonts w:eastAsiaTheme="minorEastAsia"/>
          <w:color w:val="auto"/>
          <w:lang w:eastAsia="fr-FR"/>
        </w:rPr>
        <w:t xml:space="preserve">Les données collectées dans ce CPC feront l’objet de rapports périodiques rédigés par le laboratoire et transmis à l’ANSM. Le résumé de ces rapports validé par l’ANSM sera diffusé sur son site internet : </w:t>
      </w:r>
      <w:hyperlink r:id="rId22" w:history="1">
        <w:r w:rsidR="002962E8" w:rsidRPr="001B3FF4">
          <w:rPr>
            <w:rStyle w:val="Lienhypertexte"/>
            <w:rFonts w:ascii="Arial Nova Cond" w:eastAsiaTheme="minorEastAsia" w:hAnsi="Arial Nova Cond"/>
            <w:shd w:val="clear" w:color="auto" w:fill="F2F2F2" w:themeFill="background1" w:themeFillShade="F2"/>
            <w:lang w:eastAsia="fr-FR"/>
          </w:rPr>
          <w:t>www.ansm.sante.fr</w:t>
        </w:r>
      </w:hyperlink>
      <w:r w:rsidR="002962E8">
        <w:rPr>
          <w:rStyle w:val="Mention1"/>
          <w:rFonts w:eastAsiaTheme="minorEastAsia"/>
          <w:color w:val="auto"/>
          <w:lang w:eastAsia="fr-FR"/>
        </w:rPr>
        <w:t xml:space="preserve">. </w:t>
      </w:r>
      <w:r w:rsidR="003A3FC4" w:rsidRPr="00970766">
        <w:rPr>
          <w:rFonts w:ascii="Arial" w:hAnsi="Arial" w:cs="Arial"/>
          <w:b/>
          <w:sz w:val="20"/>
          <w:szCs w:val="20"/>
        </w:rPr>
        <w:br w:type="page"/>
      </w:r>
    </w:p>
    <w:p w14:paraId="168D8AA7" w14:textId="77777777" w:rsidR="003C1704" w:rsidRPr="00970766" w:rsidRDefault="003C1704" w:rsidP="00D666C5">
      <w:pPr>
        <w:pStyle w:val="Titre2"/>
        <w:numPr>
          <w:ilvl w:val="0"/>
          <w:numId w:val="11"/>
        </w:numPr>
        <w:rPr>
          <w:rStyle w:val="lev"/>
          <w:rFonts w:ascii="Arial Narrow" w:hAnsi="Arial Narrow"/>
          <w:b w:val="0"/>
          <w:bCs w:val="0"/>
        </w:rPr>
      </w:pPr>
      <w:bookmarkStart w:id="9" w:name="_Toc158900876"/>
      <w:r w:rsidRPr="00970766">
        <w:rPr>
          <w:rStyle w:val="lev"/>
          <w:rFonts w:ascii="Arial Narrow" w:hAnsi="Arial Narrow"/>
          <w:bCs w:val="0"/>
          <w:sz w:val="28"/>
          <w:szCs w:val="28"/>
        </w:rPr>
        <w:lastRenderedPageBreak/>
        <w:t>Note d’information destinée aux professionnels de santé intervenant dans le CPC</w:t>
      </w:r>
      <w:bookmarkEnd w:id="9"/>
    </w:p>
    <w:p w14:paraId="4F0CF34C" w14:textId="77777777" w:rsidR="003C1704" w:rsidRPr="00970766" w:rsidRDefault="003C1704" w:rsidP="00BA7CD0">
      <w:pPr>
        <w:ind w:firstLine="360"/>
        <w:rPr>
          <w:rFonts w:ascii="Arial" w:hAnsi="Arial" w:cs="Arial"/>
          <w:b/>
          <w:sz w:val="20"/>
          <w:szCs w:val="20"/>
        </w:rPr>
      </w:pPr>
    </w:p>
    <w:p w14:paraId="3EDE8127" w14:textId="77777777" w:rsidR="0003588D" w:rsidRPr="00970766" w:rsidRDefault="0003588D" w:rsidP="0003588D">
      <w:pPr>
        <w:rPr>
          <w:rStyle w:val="lev"/>
          <w:rFonts w:ascii="Arial Narrow" w:eastAsiaTheme="majorEastAsia" w:hAnsi="Arial Narrow" w:cstheme="majorBidi"/>
          <w:color w:val="2E74B5" w:themeColor="accent1" w:themeShade="BF"/>
          <w:sz w:val="26"/>
          <w:szCs w:val="26"/>
        </w:rPr>
      </w:pPr>
      <w:r w:rsidRPr="00970766">
        <w:rPr>
          <w:rStyle w:val="lev"/>
          <w:rFonts w:ascii="Arial Narrow" w:eastAsiaTheme="majorEastAsia" w:hAnsi="Arial Narrow" w:cstheme="majorBidi"/>
          <w:color w:val="2E74B5" w:themeColor="accent1" w:themeShade="BF"/>
          <w:sz w:val="26"/>
          <w:szCs w:val="26"/>
        </w:rPr>
        <w:t xml:space="preserve">Rôle du prescripteur </w:t>
      </w:r>
    </w:p>
    <w:p w14:paraId="790D8723" w14:textId="33CD42C9" w:rsidR="00B8783A" w:rsidRPr="00970766" w:rsidRDefault="00B8783A" w:rsidP="00B8783A">
      <w:pPr>
        <w:jc w:val="both"/>
        <w:rPr>
          <w:rFonts w:ascii="Arial" w:hAnsi="Arial" w:cs="Arial"/>
          <w:b/>
          <w:sz w:val="20"/>
          <w:szCs w:val="20"/>
        </w:rPr>
      </w:pPr>
      <w:r w:rsidRPr="00970766">
        <w:rPr>
          <w:rFonts w:ascii="Arial" w:hAnsi="Arial" w:cs="Arial"/>
          <w:b/>
          <w:bCs/>
          <w:color w:val="000000"/>
          <w:sz w:val="20"/>
        </w:rPr>
        <w:t xml:space="preserve">Les patients qui auraient débuté le traitement par </w:t>
      </w:r>
      <w:r w:rsidR="00731285" w:rsidRPr="00970766">
        <w:rPr>
          <w:rFonts w:ascii="Arial" w:hAnsi="Arial" w:cs="Arial"/>
          <w:b/>
          <w:sz w:val="20"/>
        </w:rPr>
        <w:t>BOTOX</w:t>
      </w:r>
      <w:r w:rsidRPr="00970766">
        <w:rPr>
          <w:rFonts w:ascii="Arial" w:hAnsi="Arial" w:cs="Arial"/>
          <w:b/>
          <w:sz w:val="20"/>
        </w:rPr>
        <w:t xml:space="preserve"> </w:t>
      </w:r>
      <w:r w:rsidRPr="00970766">
        <w:rPr>
          <w:rFonts w:ascii="Arial" w:hAnsi="Arial" w:cs="Arial"/>
          <w:b/>
          <w:bCs/>
          <w:color w:val="000000"/>
          <w:sz w:val="20"/>
        </w:rPr>
        <w:t>pour l’indication visée par le CPC avant son entrée en vigueur, doivent également être suivis au titre du CPC.</w:t>
      </w:r>
    </w:p>
    <w:p w14:paraId="17063EFB" w14:textId="77777777" w:rsidR="0003588D" w:rsidRPr="00970766" w:rsidRDefault="0003588D" w:rsidP="004B090F">
      <w:pPr>
        <w:jc w:val="both"/>
        <w:rPr>
          <w:rFonts w:ascii="Arial" w:hAnsi="Arial" w:cs="Arial"/>
          <w:sz w:val="20"/>
          <w:szCs w:val="20"/>
        </w:rPr>
      </w:pPr>
      <w:r w:rsidRPr="00970766">
        <w:rPr>
          <w:rFonts w:ascii="Arial" w:hAnsi="Arial" w:cs="Arial"/>
          <w:sz w:val="20"/>
          <w:szCs w:val="20"/>
        </w:rPr>
        <w:t xml:space="preserve">Le </w:t>
      </w:r>
      <w:r w:rsidR="00B8783A" w:rsidRPr="00970766">
        <w:rPr>
          <w:rFonts w:ascii="Arial" w:hAnsi="Arial" w:cs="Arial"/>
          <w:sz w:val="20"/>
          <w:szCs w:val="20"/>
        </w:rPr>
        <w:t>CPC</w:t>
      </w:r>
      <w:r w:rsidRPr="00970766">
        <w:rPr>
          <w:rFonts w:ascii="Arial" w:hAnsi="Arial" w:cs="Arial"/>
          <w:sz w:val="20"/>
          <w:szCs w:val="20"/>
        </w:rPr>
        <w:t xml:space="preserve"> implique le strict respect des mentions définies figurant dans le</w:t>
      </w:r>
      <w:r w:rsidR="00B8783A" w:rsidRPr="00970766">
        <w:rPr>
          <w:rFonts w:ascii="Arial" w:hAnsi="Arial" w:cs="Arial"/>
          <w:sz w:val="20"/>
          <w:szCs w:val="20"/>
        </w:rPr>
        <w:t xml:space="preserve"> présent PUT-SP</w:t>
      </w:r>
      <w:r w:rsidRPr="00970766">
        <w:rPr>
          <w:rFonts w:ascii="Arial" w:hAnsi="Arial" w:cs="Arial"/>
          <w:sz w:val="20"/>
          <w:szCs w:val="20"/>
        </w:rPr>
        <w:t>, notamment les critères de prescription, les conditions de prescription et de</w:t>
      </w:r>
      <w:r w:rsidR="00301D95" w:rsidRPr="00970766">
        <w:rPr>
          <w:rFonts w:ascii="Arial" w:hAnsi="Arial" w:cs="Arial"/>
          <w:sz w:val="20"/>
          <w:szCs w:val="20"/>
        </w:rPr>
        <w:t xml:space="preserve"> délivrance</w:t>
      </w:r>
      <w:r w:rsidRPr="00970766">
        <w:rPr>
          <w:rFonts w:ascii="Arial" w:hAnsi="Arial" w:cs="Arial"/>
          <w:sz w:val="20"/>
          <w:szCs w:val="20"/>
        </w:rPr>
        <w:t>, ainsi que l’information et le cas échéant le suivi prospectif des patients traités.</w:t>
      </w:r>
    </w:p>
    <w:p w14:paraId="65AAE0FF" w14:textId="33FC36B2" w:rsidR="0003588D" w:rsidRPr="00970766" w:rsidRDefault="0003588D" w:rsidP="00565C7B">
      <w:pPr>
        <w:pStyle w:val="Text"/>
        <w:spacing w:line="259" w:lineRule="auto"/>
        <w:ind w:right="45"/>
        <w:rPr>
          <w:rFonts w:ascii="Arial" w:hAnsi="Arial" w:cs="Arial"/>
          <w:sz w:val="20"/>
          <w:lang w:val="fr-FR"/>
        </w:rPr>
      </w:pPr>
      <w:r w:rsidRPr="00970766">
        <w:rPr>
          <w:rFonts w:ascii="Arial" w:eastAsiaTheme="minorHAnsi" w:hAnsi="Arial" w:cs="Arial"/>
          <w:sz w:val="20"/>
          <w:lang w:val="fr-FR"/>
        </w:rPr>
        <w:t>Le prescripteur doit compléter les fiches de suivi (cf</w:t>
      </w:r>
      <w:r w:rsidR="00891E34" w:rsidRPr="00970766">
        <w:rPr>
          <w:rFonts w:ascii="Arial" w:eastAsiaTheme="minorHAnsi" w:hAnsi="Arial" w:cs="Arial"/>
          <w:sz w:val="20"/>
          <w:lang w:val="fr-FR"/>
        </w:rPr>
        <w:t>.</w:t>
      </w:r>
      <w:r w:rsidRPr="00970766">
        <w:rPr>
          <w:rFonts w:ascii="Arial" w:eastAsiaTheme="minorHAnsi" w:hAnsi="Arial" w:cs="Arial"/>
          <w:sz w:val="20"/>
          <w:lang w:val="fr-FR"/>
        </w:rPr>
        <w:t xml:space="preserve"> </w:t>
      </w:r>
      <w:r w:rsidR="00DC4530">
        <w:rPr>
          <w:rFonts w:ascii="Arial" w:eastAsiaTheme="minorHAnsi" w:hAnsi="Arial" w:cs="Arial"/>
          <w:sz w:val="20"/>
          <w:lang w:val="fr-FR"/>
        </w:rPr>
        <w:t>A</w:t>
      </w:r>
      <w:r w:rsidRPr="00970766">
        <w:rPr>
          <w:rFonts w:ascii="Arial" w:eastAsiaTheme="minorHAnsi" w:hAnsi="Arial" w:cs="Arial"/>
          <w:sz w:val="20"/>
          <w:lang w:val="fr-FR"/>
        </w:rPr>
        <w:t>nnexe</w:t>
      </w:r>
      <w:r w:rsidR="00DC4530">
        <w:rPr>
          <w:rFonts w:ascii="Arial" w:eastAsiaTheme="minorHAnsi" w:hAnsi="Arial" w:cs="Arial"/>
          <w:sz w:val="20"/>
          <w:lang w:val="fr-FR"/>
        </w:rPr>
        <w:t>s</w:t>
      </w:r>
      <w:r w:rsidRPr="00970766">
        <w:rPr>
          <w:rFonts w:ascii="Arial" w:eastAsiaTheme="minorHAnsi" w:hAnsi="Arial" w:cs="Arial"/>
          <w:sz w:val="20"/>
          <w:lang w:val="fr-FR"/>
        </w:rPr>
        <w:t xml:space="preserve"> 1). En effet, la saisie des données des patients est indispensable afin d’améliorer les connaissances relatives au traitement dans l’indication du CPC et de garantir au mieux la sécurité des patients traités</w:t>
      </w:r>
      <w:r w:rsidRPr="00970766">
        <w:rPr>
          <w:rFonts w:ascii="Arial" w:hAnsi="Arial" w:cs="Arial"/>
          <w:sz w:val="20"/>
          <w:lang w:val="fr-FR"/>
        </w:rPr>
        <w:t>.</w:t>
      </w:r>
    </w:p>
    <w:p w14:paraId="67869138" w14:textId="77777777" w:rsidR="00565C7B" w:rsidRPr="00970766" w:rsidRDefault="00565C7B" w:rsidP="00565C7B">
      <w:pPr>
        <w:pStyle w:val="Text"/>
        <w:spacing w:before="0" w:line="259" w:lineRule="auto"/>
        <w:ind w:right="45"/>
        <w:rPr>
          <w:rFonts w:ascii="Arial" w:hAnsi="Arial" w:cs="Arial"/>
          <w:sz w:val="20"/>
          <w:lang w:val="fr-FR"/>
        </w:rPr>
      </w:pPr>
    </w:p>
    <w:p w14:paraId="307DF17A" w14:textId="77777777" w:rsidR="0003588D" w:rsidRPr="00970766" w:rsidRDefault="0003588D" w:rsidP="0003588D">
      <w:pPr>
        <w:spacing w:before="120"/>
        <w:ind w:right="46"/>
        <w:rPr>
          <w:rFonts w:ascii="Arial" w:hAnsi="Arial" w:cs="Arial"/>
          <w:sz w:val="20"/>
          <w:u w:val="single"/>
        </w:rPr>
      </w:pPr>
      <w:r w:rsidRPr="00970766">
        <w:rPr>
          <w:rFonts w:ascii="Arial" w:hAnsi="Arial" w:cs="Arial"/>
          <w:sz w:val="20"/>
          <w:u w:val="single"/>
        </w:rPr>
        <w:t xml:space="preserve">Initiation </w:t>
      </w:r>
    </w:p>
    <w:p w14:paraId="6AA5B0E1" w14:textId="77777777" w:rsidR="0003588D" w:rsidRPr="00970766" w:rsidRDefault="0003588D" w:rsidP="0003588D">
      <w:pPr>
        <w:pStyle w:val="Listlevel2"/>
        <w:spacing w:before="120" w:after="0"/>
        <w:ind w:left="0" w:right="46" w:firstLine="0"/>
        <w:jc w:val="both"/>
        <w:rPr>
          <w:rFonts w:ascii="Arial" w:hAnsi="Arial" w:cs="Arial"/>
          <w:sz w:val="20"/>
          <w:lang w:val="fr-FR"/>
        </w:rPr>
      </w:pPr>
      <w:r w:rsidRPr="00970766">
        <w:rPr>
          <w:rFonts w:ascii="Arial" w:hAnsi="Arial" w:cs="Arial"/>
          <w:sz w:val="20"/>
          <w:lang w:val="fr-FR"/>
        </w:rPr>
        <w:t>Le prescripteur :</w:t>
      </w:r>
    </w:p>
    <w:p w14:paraId="717FA697" w14:textId="6487EC30" w:rsidR="0003588D" w:rsidRPr="00970766" w:rsidRDefault="0003588D" w:rsidP="00731285">
      <w:pPr>
        <w:keepLines/>
        <w:numPr>
          <w:ilvl w:val="0"/>
          <w:numId w:val="13"/>
        </w:numPr>
        <w:spacing w:after="0" w:line="240" w:lineRule="auto"/>
        <w:ind w:right="45"/>
        <w:jc w:val="both"/>
        <w:rPr>
          <w:rFonts w:ascii="Arial" w:hAnsi="Arial" w:cs="Arial"/>
          <w:sz w:val="20"/>
        </w:rPr>
      </w:pPr>
      <w:r w:rsidRPr="00970766">
        <w:rPr>
          <w:rFonts w:ascii="Arial" w:hAnsi="Arial" w:cs="Arial"/>
          <w:sz w:val="20"/>
        </w:rPr>
        <w:t xml:space="preserve">prend connaissance du présent CPC et vérifie les critères de prescription de </w:t>
      </w:r>
      <w:r w:rsidR="00731285" w:rsidRPr="00970766">
        <w:rPr>
          <w:rFonts w:ascii="Arial" w:hAnsi="Arial" w:cs="Arial"/>
          <w:sz w:val="20"/>
        </w:rPr>
        <w:t>BOTOX</w:t>
      </w:r>
      <w:r w:rsidRPr="00970766">
        <w:rPr>
          <w:rFonts w:ascii="Arial" w:hAnsi="Arial" w:cs="Arial"/>
          <w:sz w:val="20"/>
        </w:rPr>
        <w:t xml:space="preserve"> dans ce cadre,</w:t>
      </w:r>
    </w:p>
    <w:p w14:paraId="4926DC8D" w14:textId="77777777" w:rsidR="0003588D" w:rsidRPr="00970766" w:rsidRDefault="0003588D" w:rsidP="0003588D">
      <w:pPr>
        <w:keepLines/>
        <w:numPr>
          <w:ilvl w:val="0"/>
          <w:numId w:val="13"/>
        </w:numPr>
        <w:spacing w:after="0" w:line="240" w:lineRule="auto"/>
        <w:ind w:right="45"/>
        <w:jc w:val="both"/>
        <w:rPr>
          <w:rFonts w:ascii="Arial" w:hAnsi="Arial" w:cs="Arial"/>
          <w:sz w:val="20"/>
        </w:rPr>
      </w:pPr>
      <w:r w:rsidRPr="00970766">
        <w:rPr>
          <w:rFonts w:ascii="Arial" w:hAnsi="Arial" w:cs="Arial"/>
          <w:sz w:val="20"/>
        </w:rPr>
        <w:t>vérifie l’absence d’une contre-indication au traitement (se référer au RCP),</w:t>
      </w:r>
    </w:p>
    <w:p w14:paraId="72E7E410" w14:textId="77777777" w:rsidR="0003588D" w:rsidRPr="00970766" w:rsidRDefault="0003588D" w:rsidP="0003588D">
      <w:pPr>
        <w:keepLines/>
        <w:numPr>
          <w:ilvl w:val="0"/>
          <w:numId w:val="13"/>
        </w:numPr>
        <w:spacing w:after="0" w:line="240" w:lineRule="auto"/>
        <w:ind w:right="45"/>
        <w:jc w:val="both"/>
        <w:rPr>
          <w:rFonts w:ascii="Arial" w:hAnsi="Arial" w:cs="Arial"/>
          <w:sz w:val="20"/>
        </w:rPr>
      </w:pPr>
      <w:r w:rsidRPr="00970766">
        <w:rPr>
          <w:rFonts w:ascii="Arial" w:hAnsi="Arial" w:cs="Arial"/>
          <w:sz w:val="20"/>
        </w:rPr>
        <w:t>informe le patient (ou son représentant légal ou la personne de confiance qu’il a désignée) de la non-conformité de la prescription par rapport à l’AMM, des risques encourus, des contraintes et des bénéfices susceptibles d’être apportés par ce médicament,</w:t>
      </w:r>
      <w:r w:rsidR="00CA6D59" w:rsidRPr="00970766">
        <w:rPr>
          <w:rFonts w:ascii="Arial" w:hAnsi="Arial" w:cs="Arial"/>
          <w:sz w:val="20"/>
        </w:rPr>
        <w:t xml:space="preserve"> et s’assure de la bonne compréhension de ces informations,</w:t>
      </w:r>
      <w:r w:rsidRPr="00970766">
        <w:rPr>
          <w:rFonts w:ascii="Arial" w:hAnsi="Arial" w:cs="Arial"/>
          <w:sz w:val="20"/>
        </w:rPr>
        <w:t xml:space="preserve"> </w:t>
      </w:r>
    </w:p>
    <w:p w14:paraId="452527A8" w14:textId="7C17B15D" w:rsidR="0003588D" w:rsidRPr="00970766" w:rsidRDefault="0003588D" w:rsidP="0003588D">
      <w:pPr>
        <w:keepLines/>
        <w:numPr>
          <w:ilvl w:val="0"/>
          <w:numId w:val="13"/>
        </w:numPr>
        <w:spacing w:after="0" w:line="240" w:lineRule="auto"/>
        <w:ind w:right="45"/>
        <w:jc w:val="both"/>
        <w:rPr>
          <w:rFonts w:ascii="Arial" w:hAnsi="Arial" w:cs="Arial"/>
          <w:sz w:val="20"/>
        </w:rPr>
      </w:pPr>
      <w:r w:rsidRPr="00970766">
        <w:rPr>
          <w:rFonts w:ascii="Arial" w:hAnsi="Arial" w:cs="Arial"/>
          <w:sz w:val="20"/>
        </w:rPr>
        <w:t>remet au patient (ou à son représentant légal ou à la personne de confiance qu’il a désignée) la note d’information destinée au patient (</w:t>
      </w:r>
      <w:r w:rsidR="00DC4530">
        <w:rPr>
          <w:rFonts w:ascii="Arial" w:hAnsi="Arial" w:cs="Arial"/>
          <w:sz w:val="20"/>
        </w:rPr>
        <w:t>A</w:t>
      </w:r>
      <w:r w:rsidRPr="00970766">
        <w:rPr>
          <w:rFonts w:ascii="Arial" w:hAnsi="Arial" w:cs="Arial"/>
          <w:sz w:val="20"/>
        </w:rPr>
        <w:t>nnexe 3</w:t>
      </w:r>
      <w:r w:rsidR="005B6741" w:rsidRPr="00970766">
        <w:rPr>
          <w:rFonts w:ascii="Arial" w:hAnsi="Arial" w:cs="Arial"/>
          <w:sz w:val="20"/>
        </w:rPr>
        <w:t xml:space="preserve"> et </w:t>
      </w:r>
      <w:r w:rsidR="00DC4530">
        <w:rPr>
          <w:rFonts w:ascii="Arial" w:hAnsi="Arial" w:cs="Arial"/>
          <w:sz w:val="20"/>
        </w:rPr>
        <w:t>A</w:t>
      </w:r>
      <w:r w:rsidR="005B6741" w:rsidRPr="00970766">
        <w:rPr>
          <w:rFonts w:ascii="Arial" w:hAnsi="Arial" w:cs="Arial"/>
          <w:sz w:val="20"/>
        </w:rPr>
        <w:t>nnexe 4</w:t>
      </w:r>
      <w:r w:rsidR="00DB310C">
        <w:rPr>
          <w:rFonts w:ascii="Arial" w:hAnsi="Arial" w:cs="Arial"/>
          <w:sz w:val="20"/>
        </w:rPr>
        <w:t>.1</w:t>
      </w:r>
      <w:r w:rsidRPr="00970766">
        <w:rPr>
          <w:rFonts w:ascii="Arial" w:hAnsi="Arial" w:cs="Arial"/>
          <w:sz w:val="20"/>
        </w:rPr>
        <w:t>)</w:t>
      </w:r>
      <w:r w:rsidR="00640519">
        <w:rPr>
          <w:rFonts w:ascii="Arial" w:hAnsi="Arial" w:cs="Arial"/>
          <w:sz w:val="20"/>
        </w:rPr>
        <w:t xml:space="preserve"> et la notice du médicament</w:t>
      </w:r>
      <w:r w:rsidRPr="00970766">
        <w:rPr>
          <w:rFonts w:ascii="Arial" w:hAnsi="Arial" w:cs="Arial"/>
          <w:sz w:val="20"/>
        </w:rPr>
        <w:t xml:space="preserve">, </w:t>
      </w:r>
    </w:p>
    <w:p w14:paraId="3D6F3CF6" w14:textId="77777777" w:rsidR="00B93735" w:rsidRPr="00970766" w:rsidRDefault="0003588D" w:rsidP="0003588D">
      <w:pPr>
        <w:keepLines/>
        <w:numPr>
          <w:ilvl w:val="0"/>
          <w:numId w:val="13"/>
        </w:numPr>
        <w:spacing w:after="0" w:line="240" w:lineRule="auto"/>
        <w:ind w:right="45"/>
        <w:jc w:val="both"/>
        <w:rPr>
          <w:rFonts w:ascii="Arial" w:hAnsi="Arial" w:cs="Arial"/>
          <w:sz w:val="20"/>
        </w:rPr>
      </w:pPr>
      <w:r w:rsidRPr="00970766">
        <w:rPr>
          <w:rFonts w:ascii="Arial" w:hAnsi="Arial" w:cs="Arial"/>
          <w:sz w:val="20"/>
          <w:szCs w:val="20"/>
        </w:rPr>
        <w:t>informe le patient des conditions de prise en charge du traitement par l’assurance maladi</w:t>
      </w:r>
      <w:r w:rsidR="00DD16F7" w:rsidRPr="00970766">
        <w:rPr>
          <w:rFonts w:ascii="Arial" w:hAnsi="Arial" w:cs="Arial"/>
          <w:sz w:val="20"/>
          <w:szCs w:val="20"/>
        </w:rPr>
        <w:t>e</w:t>
      </w:r>
    </w:p>
    <w:p w14:paraId="6F82768A" w14:textId="77777777" w:rsidR="0003588D" w:rsidRPr="00970766" w:rsidRDefault="005052E1" w:rsidP="0003588D">
      <w:pPr>
        <w:keepLines/>
        <w:numPr>
          <w:ilvl w:val="0"/>
          <w:numId w:val="13"/>
        </w:numPr>
        <w:spacing w:after="0" w:line="240" w:lineRule="auto"/>
        <w:ind w:right="45"/>
        <w:jc w:val="both"/>
        <w:rPr>
          <w:rFonts w:ascii="Arial" w:hAnsi="Arial" w:cs="Arial"/>
          <w:sz w:val="20"/>
        </w:rPr>
      </w:pPr>
      <w:r w:rsidRPr="00970766">
        <w:rPr>
          <w:rFonts w:ascii="Arial" w:hAnsi="Arial" w:cs="Arial"/>
          <w:sz w:val="20"/>
          <w:szCs w:val="20"/>
        </w:rPr>
        <w:t xml:space="preserve">porte </w:t>
      </w:r>
      <w:r w:rsidR="0003588D" w:rsidRPr="00970766">
        <w:rPr>
          <w:rFonts w:ascii="Arial" w:hAnsi="Arial" w:cs="Arial"/>
          <w:sz w:val="20"/>
          <w:szCs w:val="20"/>
        </w:rPr>
        <w:t>sur l’ordonnance</w:t>
      </w:r>
      <w:r w:rsidRPr="00970766">
        <w:rPr>
          <w:rFonts w:ascii="Arial" w:hAnsi="Arial" w:cs="Arial"/>
          <w:sz w:val="20"/>
          <w:szCs w:val="20"/>
        </w:rPr>
        <w:t xml:space="preserve"> la mention</w:t>
      </w:r>
      <w:r w:rsidR="0003588D" w:rsidRPr="00970766">
        <w:rPr>
          <w:rFonts w:ascii="Arial" w:hAnsi="Arial" w:cs="Arial"/>
          <w:sz w:val="20"/>
          <w:szCs w:val="20"/>
        </w:rPr>
        <w:t xml:space="preserve"> « </w:t>
      </w:r>
      <w:r w:rsidR="0003588D" w:rsidRPr="00970766">
        <w:rPr>
          <w:rFonts w:ascii="Arial" w:hAnsi="Arial" w:cs="Arial"/>
          <w:sz w:val="20"/>
          <w:szCs w:val="20"/>
          <w:u w:val="single"/>
        </w:rPr>
        <w:t>Prescription au titre d’un accès compassionnel en dehors du cadre d’une autorisation de mise sur le marché</w:t>
      </w:r>
      <w:r w:rsidR="0003588D" w:rsidRPr="00970766">
        <w:rPr>
          <w:rFonts w:ascii="Arial" w:hAnsi="Arial" w:cs="Arial"/>
          <w:sz w:val="20"/>
          <w:szCs w:val="20"/>
        </w:rPr>
        <w:t xml:space="preserve"> »,</w:t>
      </w:r>
    </w:p>
    <w:p w14:paraId="7B0A8FC7" w14:textId="77777777" w:rsidR="0003588D" w:rsidRPr="00970766" w:rsidRDefault="0003588D" w:rsidP="0003588D">
      <w:pPr>
        <w:keepLines/>
        <w:numPr>
          <w:ilvl w:val="0"/>
          <w:numId w:val="13"/>
        </w:numPr>
        <w:spacing w:after="0" w:line="240" w:lineRule="auto"/>
        <w:ind w:right="45"/>
        <w:jc w:val="both"/>
        <w:rPr>
          <w:rFonts w:ascii="Arial" w:hAnsi="Arial" w:cs="Arial"/>
          <w:sz w:val="20"/>
        </w:rPr>
      </w:pPr>
      <w:r w:rsidRPr="00970766">
        <w:rPr>
          <w:rFonts w:ascii="Arial" w:hAnsi="Arial" w:cs="Arial"/>
          <w:sz w:val="20"/>
        </w:rPr>
        <w:t xml:space="preserve">informe, si possible, le médecin traitant du patient, </w:t>
      </w:r>
    </w:p>
    <w:p w14:paraId="5F3ACB0A" w14:textId="22925993" w:rsidR="0003588D" w:rsidRPr="00970766" w:rsidRDefault="0003588D" w:rsidP="002A4321">
      <w:pPr>
        <w:keepLines/>
        <w:numPr>
          <w:ilvl w:val="0"/>
          <w:numId w:val="13"/>
        </w:numPr>
        <w:spacing w:after="0" w:line="240" w:lineRule="auto"/>
        <w:ind w:right="45"/>
        <w:jc w:val="both"/>
        <w:rPr>
          <w:rFonts w:ascii="Arial" w:hAnsi="Arial" w:cs="Arial"/>
          <w:sz w:val="20"/>
        </w:rPr>
      </w:pPr>
      <w:r w:rsidRPr="00970766">
        <w:rPr>
          <w:rFonts w:ascii="Arial" w:hAnsi="Arial" w:cs="Arial"/>
          <w:sz w:val="20"/>
        </w:rPr>
        <w:t>remplit la fiche d</w:t>
      </w:r>
      <w:r w:rsidR="00B8783A" w:rsidRPr="00970766">
        <w:rPr>
          <w:rFonts w:ascii="Arial" w:hAnsi="Arial" w:cs="Arial"/>
          <w:sz w:val="20"/>
        </w:rPr>
        <w:t>’initiation</w:t>
      </w:r>
      <w:r w:rsidRPr="00970766">
        <w:rPr>
          <w:rFonts w:ascii="Arial" w:hAnsi="Arial" w:cs="Arial"/>
          <w:sz w:val="20"/>
        </w:rPr>
        <w:t xml:space="preserve"> de traitement</w:t>
      </w:r>
      <w:r w:rsidR="00B93735" w:rsidRPr="00970766">
        <w:rPr>
          <w:rFonts w:ascii="Arial" w:hAnsi="Arial" w:cs="Arial"/>
          <w:sz w:val="20"/>
        </w:rPr>
        <w:t xml:space="preserve"> (</w:t>
      </w:r>
      <w:r w:rsidR="00DC4530">
        <w:rPr>
          <w:rFonts w:ascii="Arial" w:hAnsi="Arial" w:cs="Arial"/>
          <w:sz w:val="20"/>
        </w:rPr>
        <w:t>A</w:t>
      </w:r>
      <w:r w:rsidR="00B93735" w:rsidRPr="00970766">
        <w:rPr>
          <w:rFonts w:ascii="Arial" w:hAnsi="Arial" w:cs="Arial"/>
          <w:sz w:val="20"/>
        </w:rPr>
        <w:t>nnexe 1</w:t>
      </w:r>
      <w:r w:rsidR="002A4321">
        <w:rPr>
          <w:rFonts w:ascii="Arial" w:hAnsi="Arial" w:cs="Arial"/>
          <w:sz w:val="20"/>
        </w:rPr>
        <w:t>.1</w:t>
      </w:r>
      <w:r w:rsidR="00B93735" w:rsidRPr="00970766">
        <w:rPr>
          <w:rFonts w:ascii="Arial" w:hAnsi="Arial" w:cs="Arial"/>
          <w:sz w:val="20"/>
        </w:rPr>
        <w:t>)</w:t>
      </w:r>
      <w:r w:rsidR="002A4321">
        <w:rPr>
          <w:rFonts w:ascii="Arial" w:hAnsi="Arial" w:cs="Arial"/>
          <w:sz w:val="20"/>
        </w:rPr>
        <w:t xml:space="preserve"> de manière électronique,</w:t>
      </w:r>
      <w:r w:rsidR="002A4321" w:rsidRPr="002A4321">
        <w:t xml:space="preserve"> </w:t>
      </w:r>
      <w:r w:rsidR="002A4321" w:rsidRPr="002A4321">
        <w:rPr>
          <w:rFonts w:ascii="Arial" w:hAnsi="Arial" w:cs="Arial"/>
          <w:sz w:val="20"/>
        </w:rPr>
        <w:t>selon les modalités décrites au paragraphe</w:t>
      </w:r>
      <w:r w:rsidR="00945E0C">
        <w:rPr>
          <w:rFonts w:ascii="Arial" w:hAnsi="Arial" w:cs="Arial"/>
          <w:sz w:val="20"/>
        </w:rPr>
        <w:t xml:space="preserve"> ci-dessous</w:t>
      </w:r>
      <w:r w:rsidR="002A4321" w:rsidRPr="002A4321">
        <w:rPr>
          <w:rFonts w:ascii="Arial" w:hAnsi="Arial" w:cs="Arial"/>
          <w:sz w:val="20"/>
        </w:rPr>
        <w:t xml:space="preserve"> «</w:t>
      </w:r>
      <w:r w:rsidR="002A4321">
        <w:rPr>
          <w:rFonts w:ascii="Arial" w:hAnsi="Arial" w:cs="Arial"/>
          <w:sz w:val="20"/>
        </w:rPr>
        <w:t xml:space="preserve"> </w:t>
      </w:r>
      <w:r w:rsidR="002A4321" w:rsidRPr="002A4321">
        <w:rPr>
          <w:rFonts w:ascii="Arial" w:hAnsi="Arial" w:cs="Arial"/>
          <w:sz w:val="20"/>
        </w:rPr>
        <w:t>Modalités de collecte et exploitation des données</w:t>
      </w:r>
      <w:r w:rsidR="002A4321">
        <w:rPr>
          <w:rFonts w:ascii="Arial" w:hAnsi="Arial" w:cs="Arial"/>
          <w:sz w:val="20"/>
        </w:rPr>
        <w:t>»</w:t>
      </w:r>
      <w:r w:rsidRPr="00970766">
        <w:rPr>
          <w:rFonts w:ascii="Arial" w:hAnsi="Arial" w:cs="Arial"/>
          <w:sz w:val="20"/>
        </w:rPr>
        <w:t>,</w:t>
      </w:r>
    </w:p>
    <w:p w14:paraId="6D8C2150" w14:textId="77777777" w:rsidR="00E34FB8" w:rsidRPr="00970766" w:rsidRDefault="00E34FB8" w:rsidP="00421926">
      <w:pPr>
        <w:keepLines/>
        <w:numPr>
          <w:ilvl w:val="0"/>
          <w:numId w:val="13"/>
        </w:numPr>
        <w:spacing w:after="0" w:line="240" w:lineRule="auto"/>
        <w:ind w:right="1112"/>
        <w:jc w:val="both"/>
        <w:rPr>
          <w:rFonts w:ascii="Arial" w:hAnsi="Arial" w:cs="Arial"/>
          <w:sz w:val="20"/>
        </w:rPr>
      </w:pPr>
      <w:r w:rsidRPr="00970766">
        <w:rPr>
          <w:rFonts w:ascii="Arial" w:hAnsi="Arial" w:cs="Arial"/>
          <w:sz w:val="20"/>
        </w:rPr>
        <w:t>motive sa prescription dans le dossier médical du patient</w:t>
      </w:r>
      <w:r w:rsidR="00421926" w:rsidRPr="00970766">
        <w:rPr>
          <w:rFonts w:ascii="Arial" w:hAnsi="Arial" w:cs="Arial"/>
          <w:sz w:val="20"/>
        </w:rPr>
        <w:t xml:space="preserve"> et</w:t>
      </w:r>
      <w:r w:rsidR="00421926" w:rsidRPr="00970766">
        <w:t xml:space="preserve"> </w:t>
      </w:r>
      <w:r w:rsidR="00421926" w:rsidRPr="00970766">
        <w:rPr>
          <w:rFonts w:ascii="Arial" w:hAnsi="Arial" w:cs="Arial"/>
          <w:sz w:val="20"/>
        </w:rPr>
        <w:t>inscrit la procédure suivie dans le dossier médical</w:t>
      </w:r>
      <w:r w:rsidR="00B93735" w:rsidRPr="00970766">
        <w:rPr>
          <w:rFonts w:ascii="Arial" w:hAnsi="Arial" w:cs="Arial"/>
          <w:sz w:val="20"/>
        </w:rPr>
        <w:t>.</w:t>
      </w:r>
      <w:r w:rsidR="00421926" w:rsidRPr="00970766">
        <w:rPr>
          <w:rFonts w:ascii="Arial" w:hAnsi="Arial" w:cs="Arial"/>
          <w:sz w:val="20"/>
        </w:rPr>
        <w:t xml:space="preserve"> </w:t>
      </w:r>
    </w:p>
    <w:p w14:paraId="33E6DC5F" w14:textId="77777777" w:rsidR="0003588D" w:rsidRPr="00970766" w:rsidRDefault="0003588D" w:rsidP="0003588D">
      <w:pPr>
        <w:rPr>
          <w:rFonts w:ascii="Arial" w:hAnsi="Arial" w:cs="Arial"/>
          <w:sz w:val="20"/>
          <w:szCs w:val="20"/>
        </w:rPr>
      </w:pPr>
    </w:p>
    <w:p w14:paraId="3AA0E7FA" w14:textId="77777777" w:rsidR="0003588D" w:rsidRPr="00970766" w:rsidRDefault="0003588D" w:rsidP="0003588D">
      <w:pPr>
        <w:spacing w:before="120"/>
        <w:ind w:right="46"/>
        <w:rPr>
          <w:rFonts w:ascii="Arial" w:hAnsi="Arial" w:cs="Arial"/>
          <w:sz w:val="20"/>
          <w:u w:val="single"/>
        </w:rPr>
      </w:pPr>
      <w:r w:rsidRPr="00970766">
        <w:rPr>
          <w:rFonts w:ascii="Arial" w:hAnsi="Arial" w:cs="Arial"/>
          <w:sz w:val="20"/>
          <w:u w:val="single"/>
        </w:rPr>
        <w:t xml:space="preserve">Suivi </w:t>
      </w:r>
    </w:p>
    <w:p w14:paraId="49F035E4" w14:textId="0D3FEE3D" w:rsidR="0003588D" w:rsidRPr="00970766" w:rsidRDefault="0003588D" w:rsidP="004B090F">
      <w:pPr>
        <w:pStyle w:val="Text"/>
        <w:spacing w:after="160" w:line="259" w:lineRule="auto"/>
        <w:ind w:right="45"/>
        <w:rPr>
          <w:rFonts w:ascii="Arial" w:hAnsi="Arial" w:cs="Arial"/>
          <w:sz w:val="20"/>
          <w:lang w:val="fr-FR"/>
        </w:rPr>
      </w:pPr>
      <w:r w:rsidRPr="00970766">
        <w:rPr>
          <w:rFonts w:ascii="Arial" w:hAnsi="Arial" w:cs="Arial"/>
          <w:sz w:val="20"/>
          <w:lang w:val="fr-FR"/>
        </w:rPr>
        <w:t xml:space="preserve">Les patients sont régulièrement suivis à partir de la visite d’initiation et pour toute la durée du traitement. Le suivi est réalisé </w:t>
      </w:r>
      <w:r w:rsidR="003D5FC8" w:rsidRPr="00970766">
        <w:rPr>
          <w:rFonts w:ascii="Arial" w:hAnsi="Arial" w:cs="Arial"/>
          <w:sz w:val="20"/>
          <w:u w:val="single"/>
          <w:lang w:val="fr-FR"/>
        </w:rPr>
        <w:t>au minimum toutes les 12 semaines</w:t>
      </w:r>
      <w:r w:rsidR="003D5FC8" w:rsidRPr="00970766">
        <w:rPr>
          <w:rFonts w:ascii="Arial" w:hAnsi="Arial" w:cs="Arial"/>
          <w:sz w:val="20"/>
          <w:lang w:val="fr-FR"/>
        </w:rPr>
        <w:t xml:space="preserve">. </w:t>
      </w:r>
      <w:r w:rsidRPr="00970766">
        <w:rPr>
          <w:rFonts w:ascii="Arial" w:hAnsi="Arial" w:cs="Arial"/>
          <w:sz w:val="20"/>
          <w:lang w:val="fr-FR"/>
        </w:rPr>
        <w:t>Le médecin prescripteur collecte les données de suivi prévues dans les fiches de suivi (</w:t>
      </w:r>
      <w:r w:rsidR="00DC4530">
        <w:rPr>
          <w:rFonts w:ascii="Arial" w:hAnsi="Arial" w:cs="Arial"/>
          <w:sz w:val="20"/>
          <w:lang w:val="fr-FR"/>
        </w:rPr>
        <w:t>A</w:t>
      </w:r>
      <w:r w:rsidRPr="00970766">
        <w:rPr>
          <w:rFonts w:ascii="Arial" w:hAnsi="Arial" w:cs="Arial"/>
          <w:sz w:val="20"/>
          <w:lang w:val="fr-FR"/>
        </w:rPr>
        <w:t>nnexe</w:t>
      </w:r>
      <w:r w:rsidR="00DC4530">
        <w:rPr>
          <w:rFonts w:ascii="Arial" w:hAnsi="Arial" w:cs="Arial"/>
          <w:sz w:val="20"/>
          <w:lang w:val="fr-FR"/>
        </w:rPr>
        <w:t>s</w:t>
      </w:r>
      <w:r w:rsidRPr="00970766">
        <w:rPr>
          <w:rFonts w:ascii="Arial" w:hAnsi="Arial" w:cs="Arial"/>
          <w:sz w:val="20"/>
          <w:lang w:val="fr-FR"/>
        </w:rPr>
        <w:t xml:space="preserve"> 1).</w:t>
      </w:r>
    </w:p>
    <w:p w14:paraId="1F503E07" w14:textId="0CCA10DF" w:rsidR="0003588D" w:rsidRPr="00970766" w:rsidRDefault="0003588D" w:rsidP="0003588D">
      <w:pPr>
        <w:jc w:val="both"/>
        <w:rPr>
          <w:rFonts w:ascii="Arial" w:hAnsi="Arial" w:cs="Arial"/>
          <w:sz w:val="20"/>
        </w:rPr>
      </w:pPr>
      <w:r w:rsidRPr="00970766">
        <w:rPr>
          <w:rFonts w:ascii="Arial" w:hAnsi="Arial" w:cs="Arial"/>
          <w:sz w:val="20"/>
        </w:rPr>
        <w:t xml:space="preserve">En cas de survenue d’un effet indésirable, le prescripteur le déclare dès que possible, au Centre régional de Pharmacovigilance dont il dépend géographiquement (voir modalités de déclaration des effets indésirables en </w:t>
      </w:r>
      <w:r w:rsidR="00785084">
        <w:rPr>
          <w:rFonts w:ascii="Arial" w:hAnsi="Arial" w:cs="Arial"/>
          <w:sz w:val="20"/>
        </w:rPr>
        <w:t>A</w:t>
      </w:r>
      <w:r w:rsidRPr="00970766">
        <w:rPr>
          <w:rFonts w:ascii="Arial" w:hAnsi="Arial" w:cs="Arial"/>
          <w:sz w:val="20"/>
        </w:rPr>
        <w:t xml:space="preserve">nnexe </w:t>
      </w:r>
      <w:r w:rsidR="007C0C02" w:rsidRPr="00970766">
        <w:rPr>
          <w:rFonts w:ascii="Arial" w:hAnsi="Arial" w:cs="Arial"/>
          <w:sz w:val="20"/>
        </w:rPr>
        <w:t>5</w:t>
      </w:r>
      <w:r w:rsidRPr="00970766">
        <w:rPr>
          <w:rFonts w:ascii="Arial" w:hAnsi="Arial" w:cs="Arial"/>
          <w:sz w:val="20"/>
        </w:rPr>
        <w:t>) en mentionnant que le patient est traité au titre du CPC.</w:t>
      </w:r>
    </w:p>
    <w:p w14:paraId="64684FFB" w14:textId="77777777" w:rsidR="0003588D" w:rsidRPr="00970766" w:rsidRDefault="0003588D" w:rsidP="00F31EFB">
      <w:pPr>
        <w:pStyle w:val="Text"/>
        <w:spacing w:after="160" w:line="259" w:lineRule="auto"/>
        <w:ind w:right="45"/>
        <w:rPr>
          <w:lang w:val="fr-FR"/>
        </w:rPr>
      </w:pPr>
      <w:r w:rsidRPr="00970766">
        <w:rPr>
          <w:rFonts w:ascii="Arial" w:hAnsi="Arial" w:cs="Arial"/>
          <w:sz w:val="20"/>
          <w:lang w:val="fr-FR"/>
        </w:rPr>
        <w:t xml:space="preserve">En cas d’arrêt de traitement lié à la survenue d’un effet indésirable, un formulaire de déclaration d’effet indésirable est également rempli par le prescripteur. </w:t>
      </w:r>
    </w:p>
    <w:p w14:paraId="10D14E4B" w14:textId="77777777" w:rsidR="0003588D" w:rsidRPr="00970766" w:rsidRDefault="0003588D" w:rsidP="0003588D">
      <w:pPr>
        <w:rPr>
          <w:rFonts w:ascii="Arial" w:hAnsi="Arial" w:cs="Arial"/>
          <w:sz w:val="20"/>
          <w:szCs w:val="20"/>
          <w:u w:val="single"/>
        </w:rPr>
      </w:pPr>
    </w:p>
    <w:p w14:paraId="48B53B42" w14:textId="77777777" w:rsidR="0003588D" w:rsidRPr="00970766" w:rsidRDefault="0003588D" w:rsidP="0003588D">
      <w:pPr>
        <w:rPr>
          <w:rFonts w:ascii="Arial" w:hAnsi="Arial" w:cs="Arial"/>
          <w:i/>
          <w:color w:val="9933FF"/>
          <w:sz w:val="20"/>
          <w:szCs w:val="20"/>
        </w:rPr>
      </w:pPr>
      <w:r w:rsidRPr="00970766">
        <w:rPr>
          <w:rStyle w:val="lev"/>
          <w:rFonts w:ascii="Arial Narrow" w:eastAsiaTheme="majorEastAsia" w:hAnsi="Arial Narrow" w:cstheme="majorBidi"/>
          <w:color w:val="2E74B5" w:themeColor="accent1" w:themeShade="BF"/>
          <w:sz w:val="26"/>
          <w:szCs w:val="26"/>
        </w:rPr>
        <w:t>Rôle du pharmacien</w:t>
      </w:r>
    </w:p>
    <w:p w14:paraId="6BAF2CAA" w14:textId="77777777" w:rsidR="0003588D" w:rsidRPr="00970766" w:rsidRDefault="0003588D" w:rsidP="003D5FC8">
      <w:pPr>
        <w:rPr>
          <w:rFonts w:ascii="Arial" w:hAnsi="Arial" w:cs="Arial"/>
          <w:sz w:val="20"/>
          <w:szCs w:val="20"/>
        </w:rPr>
      </w:pPr>
      <w:r w:rsidRPr="00970766">
        <w:rPr>
          <w:rFonts w:ascii="Arial" w:hAnsi="Arial" w:cs="Arial"/>
          <w:sz w:val="20"/>
          <w:szCs w:val="20"/>
        </w:rPr>
        <w:t>Le pharmacien prend connaissance du CPC et assure la dispensation du médicame</w:t>
      </w:r>
      <w:r w:rsidR="003D5FC8" w:rsidRPr="00970766">
        <w:rPr>
          <w:rFonts w:ascii="Arial" w:hAnsi="Arial" w:cs="Arial"/>
          <w:sz w:val="20"/>
          <w:szCs w:val="20"/>
        </w:rPr>
        <w:t>nt sur prescription du médecin.</w:t>
      </w:r>
    </w:p>
    <w:p w14:paraId="3A515FDB" w14:textId="7D7D0F8D" w:rsidR="0003588D" w:rsidRPr="00970766" w:rsidRDefault="0003588D" w:rsidP="00B81FE5">
      <w:pPr>
        <w:jc w:val="both"/>
        <w:rPr>
          <w:rFonts w:ascii="Arial" w:hAnsi="Arial" w:cs="Arial"/>
          <w:b/>
          <w:sz w:val="20"/>
          <w:szCs w:val="20"/>
        </w:rPr>
      </w:pPr>
      <w:r w:rsidRPr="00970766">
        <w:rPr>
          <w:rFonts w:ascii="Arial" w:hAnsi="Arial" w:cs="Arial"/>
          <w:sz w:val="20"/>
        </w:rPr>
        <w:lastRenderedPageBreak/>
        <w:t xml:space="preserve">En cas de survenue d’un effet indésirable, le pharmacien le déclare dès que possible, au Centre régional de Pharmacovigilance dont il dépend géographiquement (voir modalités de déclaration des effets indésirables en </w:t>
      </w:r>
      <w:r w:rsidR="00785084">
        <w:rPr>
          <w:rFonts w:ascii="Arial" w:hAnsi="Arial" w:cs="Arial"/>
          <w:sz w:val="20"/>
        </w:rPr>
        <w:t>A</w:t>
      </w:r>
      <w:r w:rsidRPr="00970766">
        <w:rPr>
          <w:rFonts w:ascii="Arial" w:hAnsi="Arial" w:cs="Arial"/>
          <w:sz w:val="20"/>
        </w:rPr>
        <w:t xml:space="preserve">nnexe </w:t>
      </w:r>
      <w:r w:rsidR="007C0C02" w:rsidRPr="00970766">
        <w:rPr>
          <w:rFonts w:ascii="Arial" w:hAnsi="Arial" w:cs="Arial"/>
          <w:sz w:val="20"/>
        </w:rPr>
        <w:t>5</w:t>
      </w:r>
      <w:r w:rsidRPr="00970766">
        <w:rPr>
          <w:rFonts w:ascii="Arial" w:hAnsi="Arial" w:cs="Arial"/>
          <w:sz w:val="20"/>
        </w:rPr>
        <w:t>) en mentionnant que le patient est traité au titre du CPC.</w:t>
      </w:r>
    </w:p>
    <w:p w14:paraId="5ED73630" w14:textId="77777777" w:rsidR="0003588D" w:rsidRPr="00970766" w:rsidRDefault="0003588D" w:rsidP="0003588D">
      <w:pPr>
        <w:jc w:val="center"/>
        <w:rPr>
          <w:rFonts w:ascii="Arial" w:hAnsi="Arial" w:cs="Arial"/>
          <w:sz w:val="20"/>
          <w:szCs w:val="20"/>
        </w:rPr>
      </w:pPr>
    </w:p>
    <w:p w14:paraId="0146C348" w14:textId="77777777" w:rsidR="0003588D" w:rsidRPr="00970766" w:rsidRDefault="0003588D" w:rsidP="0003588D">
      <w:pPr>
        <w:rPr>
          <w:rFonts w:ascii="Arial" w:hAnsi="Arial" w:cs="Arial"/>
          <w:sz w:val="20"/>
          <w:szCs w:val="20"/>
          <w:u w:val="single"/>
        </w:rPr>
      </w:pPr>
      <w:r w:rsidRPr="00970766">
        <w:rPr>
          <w:rStyle w:val="lev"/>
          <w:rFonts w:ascii="Arial Narrow" w:eastAsiaTheme="majorEastAsia" w:hAnsi="Arial Narrow" w:cstheme="majorBidi"/>
          <w:color w:val="2E74B5" w:themeColor="accent1" w:themeShade="BF"/>
          <w:sz w:val="26"/>
          <w:szCs w:val="26"/>
        </w:rPr>
        <w:t>Modalités de collecte et exploitation des données</w:t>
      </w:r>
    </w:p>
    <w:p w14:paraId="12BE4D98" w14:textId="4D7CDF1A" w:rsidR="00C962C1" w:rsidRPr="00970766" w:rsidRDefault="0003588D" w:rsidP="005A7F08">
      <w:pPr>
        <w:pStyle w:val="Corpsdetexte"/>
        <w:spacing w:after="160" w:line="259" w:lineRule="auto"/>
        <w:jc w:val="both"/>
        <w:rPr>
          <w:rFonts w:ascii="Arial" w:hAnsi="Arial" w:cs="Arial"/>
          <w:sz w:val="20"/>
          <w:szCs w:val="20"/>
        </w:rPr>
      </w:pPr>
      <w:r w:rsidRPr="00970766">
        <w:rPr>
          <w:rFonts w:ascii="Arial" w:hAnsi="Arial" w:cs="Arial"/>
          <w:sz w:val="20"/>
          <w:szCs w:val="20"/>
        </w:rPr>
        <w:t>Dans le cadre de la prescription</w:t>
      </w:r>
      <w:r w:rsidR="001F75FE" w:rsidRPr="00970766">
        <w:rPr>
          <w:rFonts w:ascii="Arial" w:hAnsi="Arial" w:cs="Arial"/>
          <w:sz w:val="20"/>
          <w:szCs w:val="20"/>
        </w:rPr>
        <w:t xml:space="preserve"> compassionnelle</w:t>
      </w:r>
      <w:r w:rsidRPr="00970766">
        <w:rPr>
          <w:rFonts w:ascii="Arial" w:hAnsi="Arial" w:cs="Arial"/>
          <w:sz w:val="20"/>
          <w:szCs w:val="20"/>
        </w:rPr>
        <w:t xml:space="preserve"> de </w:t>
      </w:r>
      <w:r w:rsidR="003D5FC8" w:rsidRPr="00970766">
        <w:rPr>
          <w:rFonts w:ascii="Arial" w:hAnsi="Arial" w:cs="Arial"/>
          <w:sz w:val="20"/>
          <w:szCs w:val="20"/>
        </w:rPr>
        <w:t>BOTOX</w:t>
      </w:r>
      <w:r w:rsidRPr="00970766">
        <w:rPr>
          <w:rFonts w:ascii="Arial" w:hAnsi="Arial" w:cs="Arial"/>
          <w:sz w:val="20"/>
          <w:szCs w:val="20"/>
        </w:rPr>
        <w:t>, le</w:t>
      </w:r>
      <w:r w:rsidR="00342774" w:rsidRPr="00970766">
        <w:rPr>
          <w:rFonts w:ascii="Arial" w:hAnsi="Arial" w:cs="Arial"/>
          <w:sz w:val="20"/>
          <w:szCs w:val="20"/>
        </w:rPr>
        <w:t xml:space="preserve"> médecin </w:t>
      </w:r>
      <w:r w:rsidR="00D83DBA" w:rsidRPr="00970766">
        <w:rPr>
          <w:rFonts w:ascii="Arial" w:hAnsi="Arial" w:cs="Arial"/>
          <w:sz w:val="20"/>
          <w:szCs w:val="20"/>
        </w:rPr>
        <w:t>prescripteur</w:t>
      </w:r>
      <w:r w:rsidR="00F1247C" w:rsidRPr="00970766">
        <w:rPr>
          <w:rFonts w:ascii="Arial" w:hAnsi="Arial" w:cs="Arial"/>
          <w:sz w:val="20"/>
          <w:szCs w:val="20"/>
        </w:rPr>
        <w:t xml:space="preserve"> </w:t>
      </w:r>
      <w:r w:rsidR="000E5230" w:rsidRPr="00970766">
        <w:rPr>
          <w:rFonts w:ascii="Arial" w:hAnsi="Arial" w:cs="Arial"/>
          <w:sz w:val="20"/>
          <w:szCs w:val="20"/>
        </w:rPr>
        <w:t>recueille des</w:t>
      </w:r>
      <w:r w:rsidR="000E5230" w:rsidRPr="00970766">
        <w:rPr>
          <w:rFonts w:ascii="Arial" w:hAnsi="Arial" w:cs="Arial"/>
          <w:spacing w:val="1"/>
          <w:sz w:val="20"/>
          <w:szCs w:val="20"/>
        </w:rPr>
        <w:t xml:space="preserve"> </w:t>
      </w:r>
      <w:r w:rsidR="000E5230" w:rsidRPr="00970766">
        <w:rPr>
          <w:rFonts w:ascii="Arial" w:hAnsi="Arial" w:cs="Arial"/>
          <w:sz w:val="20"/>
          <w:szCs w:val="20"/>
        </w:rPr>
        <w:t>informations</w:t>
      </w:r>
      <w:r w:rsidR="000E5230" w:rsidRPr="00970766">
        <w:rPr>
          <w:rFonts w:ascii="Arial" w:hAnsi="Arial" w:cs="Arial"/>
          <w:spacing w:val="1"/>
          <w:sz w:val="20"/>
          <w:szCs w:val="20"/>
        </w:rPr>
        <w:t xml:space="preserve"> </w:t>
      </w:r>
      <w:r w:rsidR="000E5230" w:rsidRPr="00970766">
        <w:rPr>
          <w:rFonts w:ascii="Arial" w:hAnsi="Arial" w:cs="Arial"/>
          <w:sz w:val="20"/>
          <w:szCs w:val="20"/>
        </w:rPr>
        <w:t>sur</w:t>
      </w:r>
      <w:r w:rsidR="000E5230" w:rsidRPr="00970766">
        <w:rPr>
          <w:rFonts w:ascii="Arial" w:hAnsi="Arial" w:cs="Arial"/>
          <w:spacing w:val="1"/>
          <w:sz w:val="20"/>
          <w:szCs w:val="20"/>
        </w:rPr>
        <w:t xml:space="preserve"> </w:t>
      </w:r>
      <w:r w:rsidR="000E5230" w:rsidRPr="00970766">
        <w:rPr>
          <w:rFonts w:ascii="Arial" w:hAnsi="Arial" w:cs="Arial"/>
          <w:sz w:val="20"/>
          <w:szCs w:val="20"/>
        </w:rPr>
        <w:t>les</w:t>
      </w:r>
      <w:r w:rsidR="000E5230" w:rsidRPr="00970766">
        <w:rPr>
          <w:rFonts w:ascii="Arial" w:hAnsi="Arial" w:cs="Arial"/>
          <w:spacing w:val="1"/>
          <w:sz w:val="20"/>
          <w:szCs w:val="20"/>
        </w:rPr>
        <w:t xml:space="preserve"> </w:t>
      </w:r>
      <w:r w:rsidR="000E5230" w:rsidRPr="00970766">
        <w:rPr>
          <w:rFonts w:ascii="Arial" w:hAnsi="Arial" w:cs="Arial"/>
          <w:sz w:val="20"/>
          <w:szCs w:val="20"/>
        </w:rPr>
        <w:t>patients</w:t>
      </w:r>
      <w:r w:rsidR="000E5230" w:rsidRPr="00970766">
        <w:rPr>
          <w:rFonts w:ascii="Arial" w:hAnsi="Arial" w:cs="Arial"/>
          <w:spacing w:val="1"/>
          <w:sz w:val="20"/>
          <w:szCs w:val="20"/>
        </w:rPr>
        <w:t xml:space="preserve"> </w:t>
      </w:r>
      <w:r w:rsidR="000E5230" w:rsidRPr="00970766">
        <w:rPr>
          <w:rFonts w:ascii="Arial" w:hAnsi="Arial" w:cs="Arial"/>
          <w:sz w:val="20"/>
          <w:szCs w:val="20"/>
        </w:rPr>
        <w:t>dont</w:t>
      </w:r>
      <w:r w:rsidR="000E5230" w:rsidRPr="00970766">
        <w:rPr>
          <w:rFonts w:ascii="Arial" w:hAnsi="Arial" w:cs="Arial"/>
          <w:spacing w:val="1"/>
          <w:sz w:val="20"/>
          <w:szCs w:val="20"/>
        </w:rPr>
        <w:t xml:space="preserve"> </w:t>
      </w:r>
      <w:r w:rsidR="000E5230" w:rsidRPr="00970766">
        <w:rPr>
          <w:rFonts w:ascii="Arial" w:hAnsi="Arial" w:cs="Arial"/>
          <w:sz w:val="20"/>
          <w:szCs w:val="20"/>
        </w:rPr>
        <w:t>il</w:t>
      </w:r>
      <w:r w:rsidR="000E5230" w:rsidRPr="00970766">
        <w:rPr>
          <w:rFonts w:ascii="Arial" w:hAnsi="Arial" w:cs="Arial"/>
          <w:spacing w:val="1"/>
          <w:sz w:val="20"/>
          <w:szCs w:val="20"/>
        </w:rPr>
        <w:t xml:space="preserve"> </w:t>
      </w:r>
      <w:r w:rsidR="000E5230" w:rsidRPr="00970766">
        <w:rPr>
          <w:rFonts w:ascii="Arial" w:hAnsi="Arial" w:cs="Arial"/>
          <w:sz w:val="20"/>
          <w:szCs w:val="20"/>
        </w:rPr>
        <w:t>assure</w:t>
      </w:r>
      <w:r w:rsidR="000E5230" w:rsidRPr="00970766">
        <w:rPr>
          <w:rFonts w:ascii="Arial" w:hAnsi="Arial" w:cs="Arial"/>
          <w:spacing w:val="1"/>
          <w:sz w:val="20"/>
          <w:szCs w:val="20"/>
        </w:rPr>
        <w:t xml:space="preserve"> </w:t>
      </w:r>
      <w:r w:rsidR="000E5230" w:rsidRPr="00970766">
        <w:rPr>
          <w:rFonts w:ascii="Arial" w:hAnsi="Arial" w:cs="Arial"/>
          <w:sz w:val="20"/>
          <w:szCs w:val="20"/>
        </w:rPr>
        <w:t>le</w:t>
      </w:r>
      <w:r w:rsidR="000E5230" w:rsidRPr="00970766">
        <w:rPr>
          <w:rFonts w:ascii="Arial" w:hAnsi="Arial" w:cs="Arial"/>
          <w:spacing w:val="1"/>
          <w:sz w:val="20"/>
          <w:szCs w:val="20"/>
        </w:rPr>
        <w:t xml:space="preserve"> </w:t>
      </w:r>
      <w:r w:rsidR="000E5230" w:rsidRPr="00970766">
        <w:rPr>
          <w:rFonts w:ascii="Arial" w:hAnsi="Arial" w:cs="Arial"/>
          <w:sz w:val="20"/>
          <w:szCs w:val="20"/>
        </w:rPr>
        <w:t>suivi</w:t>
      </w:r>
      <w:r w:rsidR="000E5230" w:rsidRPr="00970766">
        <w:rPr>
          <w:rFonts w:ascii="Arial" w:hAnsi="Arial" w:cs="Arial"/>
          <w:spacing w:val="1"/>
          <w:sz w:val="20"/>
          <w:szCs w:val="20"/>
        </w:rPr>
        <w:t xml:space="preserve"> </w:t>
      </w:r>
      <w:r w:rsidR="000E5230" w:rsidRPr="00970766">
        <w:rPr>
          <w:rFonts w:ascii="Arial" w:hAnsi="Arial" w:cs="Arial"/>
          <w:sz w:val="20"/>
          <w:szCs w:val="20"/>
        </w:rPr>
        <w:t>et</w:t>
      </w:r>
      <w:r w:rsidR="000E5230" w:rsidRPr="00970766">
        <w:rPr>
          <w:rFonts w:ascii="Arial" w:hAnsi="Arial" w:cs="Arial"/>
          <w:spacing w:val="1"/>
          <w:sz w:val="20"/>
          <w:szCs w:val="20"/>
        </w:rPr>
        <w:t xml:space="preserve"> </w:t>
      </w:r>
      <w:r w:rsidR="000E5230" w:rsidRPr="00970766">
        <w:rPr>
          <w:rFonts w:ascii="Arial" w:hAnsi="Arial" w:cs="Arial"/>
          <w:sz w:val="20"/>
          <w:szCs w:val="20"/>
        </w:rPr>
        <w:t>en</w:t>
      </w:r>
      <w:r w:rsidR="000E5230" w:rsidRPr="00970766">
        <w:rPr>
          <w:rFonts w:ascii="Arial" w:hAnsi="Arial" w:cs="Arial"/>
          <w:spacing w:val="1"/>
          <w:sz w:val="20"/>
          <w:szCs w:val="20"/>
        </w:rPr>
        <w:t xml:space="preserve"> </w:t>
      </w:r>
      <w:r w:rsidR="000E5230" w:rsidRPr="00970766">
        <w:rPr>
          <w:rFonts w:ascii="Arial" w:hAnsi="Arial" w:cs="Arial"/>
          <w:sz w:val="20"/>
          <w:szCs w:val="20"/>
        </w:rPr>
        <w:t>particulier</w:t>
      </w:r>
      <w:r w:rsidR="000E5230" w:rsidRPr="00970766">
        <w:rPr>
          <w:rFonts w:ascii="Arial" w:hAnsi="Arial" w:cs="Arial"/>
          <w:spacing w:val="1"/>
          <w:sz w:val="20"/>
          <w:szCs w:val="20"/>
        </w:rPr>
        <w:t xml:space="preserve"> </w:t>
      </w:r>
      <w:r w:rsidR="000E5230" w:rsidRPr="00970766">
        <w:rPr>
          <w:rFonts w:ascii="Arial" w:hAnsi="Arial" w:cs="Arial"/>
          <w:sz w:val="20"/>
          <w:szCs w:val="20"/>
        </w:rPr>
        <w:t>sur</w:t>
      </w:r>
      <w:r w:rsidR="000E5230" w:rsidRPr="00970766">
        <w:rPr>
          <w:rFonts w:ascii="Arial" w:hAnsi="Arial" w:cs="Arial"/>
          <w:spacing w:val="1"/>
          <w:sz w:val="20"/>
          <w:szCs w:val="20"/>
        </w:rPr>
        <w:t xml:space="preserve"> </w:t>
      </w:r>
      <w:r w:rsidR="000E5230" w:rsidRPr="00970766">
        <w:rPr>
          <w:rFonts w:ascii="Arial" w:hAnsi="Arial" w:cs="Arial"/>
          <w:sz w:val="20"/>
          <w:szCs w:val="20"/>
        </w:rPr>
        <w:t>la</w:t>
      </w:r>
      <w:r w:rsidR="000E5230" w:rsidRPr="00970766">
        <w:rPr>
          <w:rFonts w:ascii="Arial" w:hAnsi="Arial" w:cs="Arial"/>
          <w:spacing w:val="60"/>
          <w:sz w:val="20"/>
          <w:szCs w:val="20"/>
        </w:rPr>
        <w:t xml:space="preserve"> </w:t>
      </w:r>
      <w:r w:rsidR="000E5230" w:rsidRPr="00970766">
        <w:rPr>
          <w:rFonts w:ascii="Arial" w:hAnsi="Arial" w:cs="Arial"/>
          <w:sz w:val="20"/>
          <w:szCs w:val="20"/>
        </w:rPr>
        <w:t xml:space="preserve">sécurité </w:t>
      </w:r>
      <w:r w:rsidR="000E5230" w:rsidRPr="00970766">
        <w:rPr>
          <w:rFonts w:ascii="Arial" w:hAnsi="Arial" w:cs="Arial"/>
          <w:spacing w:val="-57"/>
          <w:sz w:val="20"/>
          <w:szCs w:val="20"/>
        </w:rPr>
        <w:t xml:space="preserve"> </w:t>
      </w:r>
      <w:r w:rsidR="000E5230" w:rsidRPr="00970766">
        <w:rPr>
          <w:rFonts w:ascii="Arial" w:hAnsi="Arial" w:cs="Arial"/>
          <w:sz w:val="20"/>
          <w:szCs w:val="20"/>
        </w:rPr>
        <w:t>d’emploi</w:t>
      </w:r>
      <w:r w:rsidR="000E5230" w:rsidRPr="00970766">
        <w:rPr>
          <w:rFonts w:ascii="Arial" w:hAnsi="Arial" w:cs="Arial"/>
          <w:spacing w:val="-1"/>
          <w:sz w:val="20"/>
          <w:szCs w:val="20"/>
        </w:rPr>
        <w:t xml:space="preserve"> </w:t>
      </w:r>
      <w:r w:rsidR="000E5230" w:rsidRPr="00970766">
        <w:rPr>
          <w:rFonts w:ascii="Arial" w:hAnsi="Arial" w:cs="Arial"/>
          <w:sz w:val="20"/>
          <w:szCs w:val="20"/>
        </w:rPr>
        <w:t>du médicament.</w:t>
      </w:r>
    </w:p>
    <w:p w14:paraId="29B368AF" w14:textId="290F5678" w:rsidR="00D60A1C" w:rsidRDefault="000E5230" w:rsidP="005A7F08">
      <w:pPr>
        <w:pStyle w:val="Corpsdetexte"/>
        <w:spacing w:after="160" w:line="259" w:lineRule="auto"/>
        <w:jc w:val="both"/>
        <w:rPr>
          <w:rFonts w:ascii="Arial" w:hAnsi="Arial" w:cs="Arial"/>
          <w:sz w:val="20"/>
          <w:szCs w:val="20"/>
          <w:highlight w:val="yellow"/>
        </w:rPr>
      </w:pPr>
      <w:r w:rsidRPr="00970766">
        <w:rPr>
          <w:rFonts w:ascii="Arial" w:hAnsi="Arial" w:cs="Arial"/>
          <w:sz w:val="20"/>
          <w:szCs w:val="20"/>
        </w:rPr>
        <w:t xml:space="preserve">Il </w:t>
      </w:r>
      <w:r w:rsidR="00F1247C" w:rsidRPr="00970766">
        <w:rPr>
          <w:rFonts w:ascii="Arial" w:hAnsi="Arial" w:cs="Arial"/>
          <w:sz w:val="20"/>
          <w:szCs w:val="20"/>
        </w:rPr>
        <w:t>doit compléter</w:t>
      </w:r>
      <w:r w:rsidR="00342774" w:rsidRPr="00970766">
        <w:rPr>
          <w:rFonts w:ascii="Arial" w:hAnsi="Arial" w:cs="Arial"/>
          <w:sz w:val="20"/>
          <w:szCs w:val="20"/>
        </w:rPr>
        <w:t xml:space="preserve"> régulièrement les fiches </w:t>
      </w:r>
      <w:r w:rsidR="00F1247C" w:rsidRPr="00970766">
        <w:rPr>
          <w:rFonts w:ascii="Arial" w:hAnsi="Arial" w:cs="Arial"/>
          <w:sz w:val="20"/>
          <w:szCs w:val="20"/>
        </w:rPr>
        <w:t xml:space="preserve">d’initiation et de suivi </w:t>
      </w:r>
      <w:r w:rsidR="00342774" w:rsidRPr="00970766">
        <w:rPr>
          <w:rFonts w:ascii="Arial" w:hAnsi="Arial" w:cs="Arial"/>
          <w:sz w:val="20"/>
          <w:szCs w:val="20"/>
        </w:rPr>
        <w:t>(</w:t>
      </w:r>
      <w:r w:rsidR="00785084">
        <w:rPr>
          <w:rFonts w:ascii="Arial" w:hAnsi="Arial" w:cs="Arial"/>
          <w:sz w:val="20"/>
          <w:szCs w:val="20"/>
        </w:rPr>
        <w:t>A</w:t>
      </w:r>
      <w:r w:rsidR="00EA45C7" w:rsidRPr="00970766">
        <w:rPr>
          <w:rFonts w:ascii="Arial" w:hAnsi="Arial" w:cs="Arial"/>
          <w:sz w:val="20"/>
          <w:szCs w:val="20"/>
        </w:rPr>
        <w:t>nnexe</w:t>
      </w:r>
      <w:r w:rsidR="00785084">
        <w:rPr>
          <w:rFonts w:ascii="Arial" w:hAnsi="Arial" w:cs="Arial"/>
          <w:sz w:val="20"/>
          <w:szCs w:val="20"/>
        </w:rPr>
        <w:t>s</w:t>
      </w:r>
      <w:r w:rsidR="00EA45C7" w:rsidRPr="00970766">
        <w:rPr>
          <w:rFonts w:ascii="Arial" w:hAnsi="Arial" w:cs="Arial"/>
          <w:sz w:val="20"/>
          <w:szCs w:val="20"/>
        </w:rPr>
        <w:t xml:space="preserve"> 1) et les adresser au</w:t>
      </w:r>
      <w:r w:rsidR="00342774" w:rsidRPr="00970766">
        <w:rPr>
          <w:rFonts w:ascii="Arial" w:hAnsi="Arial" w:cs="Arial"/>
          <w:sz w:val="20"/>
          <w:szCs w:val="20"/>
        </w:rPr>
        <w:t xml:space="preserve"> laborato</w:t>
      </w:r>
      <w:r w:rsidR="00EA45C7" w:rsidRPr="00970766">
        <w:rPr>
          <w:rFonts w:ascii="Arial" w:hAnsi="Arial" w:cs="Arial"/>
          <w:sz w:val="20"/>
          <w:szCs w:val="20"/>
        </w:rPr>
        <w:t>ire</w:t>
      </w:r>
      <w:r w:rsidR="00C962C1" w:rsidRPr="00970766">
        <w:rPr>
          <w:rFonts w:ascii="Arial" w:hAnsi="Arial" w:cs="Arial"/>
          <w:sz w:val="20"/>
          <w:szCs w:val="20"/>
        </w:rPr>
        <w:t>.</w:t>
      </w:r>
    </w:p>
    <w:p w14:paraId="62C3C3D9" w14:textId="19EF9D8B" w:rsidR="0047332E" w:rsidRPr="00D60A1C" w:rsidRDefault="0047332E" w:rsidP="0047332E">
      <w:pPr>
        <w:pStyle w:val="Corpsdetexte"/>
        <w:jc w:val="both"/>
        <w:rPr>
          <w:rFonts w:ascii="Arial" w:hAnsi="Arial" w:cs="Arial"/>
          <w:sz w:val="20"/>
          <w:szCs w:val="20"/>
        </w:rPr>
      </w:pPr>
      <w:r w:rsidRPr="0047332E">
        <w:rPr>
          <w:rFonts w:ascii="Arial" w:hAnsi="Arial" w:cs="Arial"/>
          <w:sz w:val="20"/>
          <w:szCs w:val="20"/>
        </w:rPr>
        <w:t xml:space="preserve"> </w:t>
      </w:r>
      <w:r w:rsidRPr="00D60A1C">
        <w:rPr>
          <w:rFonts w:ascii="Arial" w:hAnsi="Arial" w:cs="Arial"/>
          <w:sz w:val="20"/>
          <w:szCs w:val="20"/>
        </w:rPr>
        <w:t xml:space="preserve">Les données des patients suivis dans le cadre du CPC seront saisies par le médecin prescripteur dans un cahier de recueil de données informatisé accessible via une connexion internet sécurisée (avec login et mot de passe) à l’adresse suivante : </w:t>
      </w:r>
      <w:hyperlink r:id="rId23" w:history="1">
        <w:r w:rsidR="00FE3120" w:rsidRPr="00B60BAE">
          <w:rPr>
            <w:rStyle w:val="Lienhypertexte"/>
            <w:rFonts w:ascii="Arial" w:hAnsi="Arial" w:cs="Arial"/>
            <w:sz w:val="20"/>
            <w:szCs w:val="20"/>
          </w:rPr>
          <w:t>https://vraie-vie.abbvie.fr/</w:t>
        </w:r>
      </w:hyperlink>
      <w:r w:rsidRPr="00D60A1C">
        <w:rPr>
          <w:rFonts w:ascii="Arial" w:hAnsi="Arial" w:cs="Arial"/>
          <w:sz w:val="20"/>
          <w:szCs w:val="20"/>
        </w:rPr>
        <w:t>. La plateforme porte le nom d’AbbVie Vraie Vie.</w:t>
      </w:r>
    </w:p>
    <w:p w14:paraId="0B3D3BDB" w14:textId="77777777" w:rsidR="0047332E" w:rsidRPr="00D60A1C" w:rsidRDefault="0047332E" w:rsidP="0047332E">
      <w:pPr>
        <w:pStyle w:val="Corpsdetexte"/>
        <w:jc w:val="both"/>
        <w:rPr>
          <w:rFonts w:ascii="Arial" w:hAnsi="Arial" w:cs="Arial"/>
          <w:sz w:val="20"/>
          <w:szCs w:val="20"/>
        </w:rPr>
      </w:pPr>
      <w:r w:rsidRPr="00D60A1C">
        <w:rPr>
          <w:rFonts w:ascii="Arial" w:hAnsi="Arial" w:cs="Arial"/>
          <w:sz w:val="20"/>
          <w:szCs w:val="20"/>
        </w:rPr>
        <w:t>L’identification et l’authentification à la plateforme peuvent s’effectuer par l’intermédiaire du service Pasrel/Plage mis en œuvre par l’ATIH dès lors que le professionnel de santé y a son compte personnel activé pour le domaine « MED-ACCES ». L’accès peut également s’effectuer après création directement sur la plateforme de son identifiant et de son mot de passe via une procédure d’authentification forte et sécurisée.</w:t>
      </w:r>
    </w:p>
    <w:p w14:paraId="46064BBE" w14:textId="68DBC738" w:rsidR="0047332E" w:rsidRDefault="0047332E" w:rsidP="00FE3120">
      <w:pPr>
        <w:pStyle w:val="Corpsdetexte"/>
        <w:jc w:val="both"/>
        <w:rPr>
          <w:rFonts w:ascii="Arial" w:hAnsi="Arial" w:cs="Arial"/>
          <w:sz w:val="20"/>
          <w:szCs w:val="20"/>
        </w:rPr>
      </w:pPr>
      <w:r w:rsidRPr="00D60A1C">
        <w:rPr>
          <w:rFonts w:ascii="Arial" w:hAnsi="Arial" w:cs="Arial"/>
          <w:sz w:val="20"/>
          <w:szCs w:val="20"/>
        </w:rPr>
        <w:t xml:space="preserve">La saisie électronique est à privilégier. Si toutefois, des difficultés de connexion au portail sont rencontrées, les fiches pourront être envoyées </w:t>
      </w:r>
      <w:r w:rsidR="00FE3120">
        <w:rPr>
          <w:rFonts w:ascii="Arial" w:hAnsi="Arial" w:cs="Arial"/>
          <w:sz w:val="20"/>
          <w:szCs w:val="20"/>
        </w:rPr>
        <w:t xml:space="preserve">à </w:t>
      </w:r>
      <w:hyperlink r:id="rId24" w:history="1">
        <w:r w:rsidR="00FE3120" w:rsidRPr="00B60BAE">
          <w:rPr>
            <w:rStyle w:val="Lienhypertexte"/>
            <w:rFonts w:ascii="Arial" w:hAnsi="Arial" w:cs="Arial"/>
            <w:sz w:val="20"/>
            <w:szCs w:val="20"/>
          </w:rPr>
          <w:t>cpc-botox@axonal.com</w:t>
        </w:r>
      </w:hyperlink>
      <w:r w:rsidR="00FE3120">
        <w:rPr>
          <w:rFonts w:ascii="Arial" w:hAnsi="Arial" w:cs="Arial"/>
          <w:sz w:val="20"/>
          <w:szCs w:val="20"/>
        </w:rPr>
        <w:t>.</w:t>
      </w:r>
    </w:p>
    <w:p w14:paraId="7A9493F5" w14:textId="77777777" w:rsidR="0047332E" w:rsidRPr="00B37CEA" w:rsidRDefault="0047332E" w:rsidP="0047332E">
      <w:pPr>
        <w:pStyle w:val="Corpsdetexte"/>
        <w:ind w:left="720"/>
        <w:jc w:val="both"/>
        <w:rPr>
          <w:rFonts w:ascii="Arial" w:hAnsi="Arial" w:cs="Arial"/>
          <w:sz w:val="20"/>
          <w:szCs w:val="20"/>
        </w:rPr>
      </w:pPr>
    </w:p>
    <w:p w14:paraId="30FD1956" w14:textId="4A87D757" w:rsidR="0047332E" w:rsidRPr="00D60A1C" w:rsidRDefault="0047332E" w:rsidP="0047332E">
      <w:pPr>
        <w:pStyle w:val="Corpsdetexte"/>
        <w:jc w:val="both"/>
        <w:rPr>
          <w:rFonts w:ascii="Arial" w:hAnsi="Arial" w:cs="Arial"/>
          <w:sz w:val="20"/>
          <w:szCs w:val="20"/>
        </w:rPr>
      </w:pPr>
      <w:r w:rsidRPr="00D60A1C">
        <w:rPr>
          <w:rFonts w:ascii="Arial" w:hAnsi="Arial" w:cs="Arial"/>
          <w:sz w:val="20"/>
          <w:szCs w:val="20"/>
        </w:rPr>
        <w:t>Lorsque le médecin prescripteur souhaite instaurer un traitement pour un patient donné, il est invité à prendre connaissance du PUT-SP et du RCP. Le médecin prescripteur vérifie l’indication du CPC, la capacité de son centre hospitalier à administrer le traitement par BOTOX, l’absence de contre-indication, explique le traitement à son patient, les effets indésirables, lui remet la note d’information et s’assure de la bonne compréhension de ces informations et de son accord à y participer.</w:t>
      </w:r>
    </w:p>
    <w:p w14:paraId="78C1D17B" w14:textId="77777777" w:rsidR="0047332E" w:rsidRDefault="0047332E" w:rsidP="0047332E">
      <w:pPr>
        <w:pStyle w:val="Corpsdetexte"/>
        <w:jc w:val="both"/>
        <w:rPr>
          <w:rFonts w:ascii="Arial" w:hAnsi="Arial" w:cs="Arial"/>
          <w:sz w:val="20"/>
          <w:szCs w:val="20"/>
        </w:rPr>
      </w:pPr>
      <w:r w:rsidRPr="00D60A1C">
        <w:rPr>
          <w:rFonts w:ascii="Arial" w:hAnsi="Arial" w:cs="Arial"/>
          <w:sz w:val="20"/>
          <w:szCs w:val="20"/>
        </w:rPr>
        <w:t>Un numéro unique est attribué automatiquement à chaque patient inclus dans le programme de CPC. Ce numéro est à indiquer par le médecin prescripteur dans le dossier médical de son patient.</w:t>
      </w:r>
    </w:p>
    <w:p w14:paraId="3E8E4256" w14:textId="77777777" w:rsidR="0003588D" w:rsidRPr="00970766" w:rsidRDefault="0003588D" w:rsidP="002D4402">
      <w:pPr>
        <w:pStyle w:val="Corpsdetexte"/>
        <w:jc w:val="both"/>
        <w:rPr>
          <w:rFonts w:ascii="Arial" w:hAnsi="Arial" w:cs="Arial"/>
          <w:sz w:val="20"/>
          <w:szCs w:val="20"/>
        </w:rPr>
      </w:pPr>
      <w:r w:rsidRPr="00970766">
        <w:rPr>
          <w:rFonts w:ascii="Arial" w:hAnsi="Arial" w:cs="Arial"/>
          <w:sz w:val="20"/>
          <w:szCs w:val="20"/>
        </w:rPr>
        <w:t xml:space="preserve"> </w:t>
      </w:r>
    </w:p>
    <w:p w14:paraId="7293B162" w14:textId="77777777" w:rsidR="00953F42" w:rsidRPr="00970766" w:rsidRDefault="00F1247C" w:rsidP="00591264">
      <w:pPr>
        <w:pStyle w:val="Corpsdetexte"/>
        <w:spacing w:after="160" w:line="259" w:lineRule="auto"/>
        <w:jc w:val="both"/>
        <w:rPr>
          <w:rFonts w:ascii="Arial" w:hAnsi="Arial" w:cs="Arial"/>
          <w:color w:val="0563C1" w:themeColor="hyperlink"/>
          <w:sz w:val="20"/>
          <w:szCs w:val="20"/>
          <w:u w:val="single"/>
        </w:rPr>
      </w:pPr>
      <w:r w:rsidRPr="00970766">
        <w:rPr>
          <w:rStyle w:val="markedcontent"/>
          <w:rFonts w:ascii="Arial" w:hAnsi="Arial" w:cs="Arial"/>
          <w:sz w:val="20"/>
          <w:szCs w:val="20"/>
        </w:rPr>
        <w:t>Les données collectées par le prescripteur dans le contexte du CPC sont re</w:t>
      </w:r>
      <w:r w:rsidR="00EA45C7" w:rsidRPr="00970766">
        <w:rPr>
          <w:rStyle w:val="markedcontent"/>
          <w:rFonts w:ascii="Arial" w:hAnsi="Arial" w:cs="Arial"/>
          <w:sz w:val="20"/>
          <w:szCs w:val="20"/>
        </w:rPr>
        <w:t>cueillies et analysées par le laboratoire concerné</w:t>
      </w:r>
      <w:r w:rsidRPr="00970766">
        <w:rPr>
          <w:rStyle w:val="markedcontent"/>
          <w:rFonts w:ascii="Arial" w:hAnsi="Arial" w:cs="Arial"/>
          <w:sz w:val="20"/>
          <w:szCs w:val="20"/>
        </w:rPr>
        <w:t xml:space="preserve"> et font l’objet de rapports périodiques transmis à l’ANSM</w:t>
      </w:r>
      <w:r w:rsidR="00591264" w:rsidRPr="00970766">
        <w:t xml:space="preserve"> </w:t>
      </w:r>
      <w:r w:rsidR="00591264" w:rsidRPr="00970766">
        <w:rPr>
          <w:rStyle w:val="markedcontent"/>
          <w:rFonts w:ascii="Arial" w:hAnsi="Arial" w:cs="Arial"/>
          <w:sz w:val="20"/>
          <w:szCs w:val="20"/>
        </w:rPr>
        <w:t xml:space="preserve">en collaboration avec le </w:t>
      </w:r>
      <w:r w:rsidR="00591264" w:rsidRPr="00225E14">
        <w:rPr>
          <w:rStyle w:val="markedcontent"/>
          <w:rFonts w:ascii="Arial" w:hAnsi="Arial" w:cs="Arial"/>
          <w:sz w:val="20"/>
          <w:szCs w:val="20"/>
        </w:rPr>
        <w:t>Centre Régional d</w:t>
      </w:r>
      <w:r w:rsidR="00225E14" w:rsidRPr="00225E14">
        <w:rPr>
          <w:rStyle w:val="markedcontent"/>
          <w:rFonts w:ascii="Arial" w:hAnsi="Arial" w:cs="Arial"/>
          <w:sz w:val="20"/>
          <w:szCs w:val="20"/>
        </w:rPr>
        <w:t>e Pharmacovigilance (CRPV) de Strasbourg</w:t>
      </w:r>
      <w:r w:rsidR="00591264" w:rsidRPr="00970766">
        <w:rPr>
          <w:rStyle w:val="markedcontent"/>
          <w:rFonts w:ascii="Arial" w:hAnsi="Arial" w:cs="Arial"/>
          <w:sz w:val="20"/>
          <w:szCs w:val="20"/>
        </w:rPr>
        <w:t>,</w:t>
      </w:r>
      <w:r w:rsidRPr="00970766">
        <w:rPr>
          <w:rStyle w:val="markedcontent"/>
          <w:rFonts w:ascii="Arial" w:hAnsi="Arial" w:cs="Arial"/>
          <w:sz w:val="20"/>
          <w:szCs w:val="20"/>
        </w:rPr>
        <w:t xml:space="preserve"> </w:t>
      </w:r>
      <w:r w:rsidR="003D5FC8" w:rsidRPr="00970766">
        <w:rPr>
          <w:rFonts w:ascii="Arial" w:eastAsiaTheme="minorHAnsi" w:hAnsi="Arial" w:cs="Arial"/>
          <w:sz w:val="20"/>
          <w:szCs w:val="20"/>
        </w:rPr>
        <w:t>tous les 6 mois,</w:t>
      </w:r>
      <w:r w:rsidR="003D5FC8" w:rsidRPr="00970766">
        <w:rPr>
          <w:rFonts w:ascii="Arial" w:eastAsiaTheme="minorHAnsi" w:hAnsi="Arial" w:cs="Arial"/>
          <w:i/>
          <w:sz w:val="20"/>
          <w:szCs w:val="20"/>
        </w:rPr>
        <w:t xml:space="preserve"> </w:t>
      </w:r>
      <w:r w:rsidRPr="00970766">
        <w:rPr>
          <w:rFonts w:ascii="Arial" w:eastAsiaTheme="minorHAnsi" w:hAnsi="Arial" w:cs="Arial"/>
          <w:sz w:val="20"/>
          <w:szCs w:val="20"/>
        </w:rPr>
        <w:t>ainsi qu’à la fin du CPC</w:t>
      </w:r>
      <w:r w:rsidRPr="00970766">
        <w:rPr>
          <w:rStyle w:val="markedcontent"/>
          <w:rFonts w:ascii="Arial" w:hAnsi="Arial" w:cs="Arial"/>
          <w:sz w:val="20"/>
          <w:szCs w:val="20"/>
        </w:rPr>
        <w:t>. Les résumés de ces rapports, validés par l’ANSM, sont</w:t>
      </w:r>
      <w:r w:rsidR="00B20A7A" w:rsidRPr="00970766">
        <w:rPr>
          <w:rStyle w:val="markedcontent"/>
          <w:rFonts w:ascii="Arial" w:hAnsi="Arial" w:cs="Arial"/>
          <w:sz w:val="20"/>
          <w:szCs w:val="20"/>
        </w:rPr>
        <w:t xml:space="preserve"> publiés</w:t>
      </w:r>
      <w:r w:rsidRPr="00970766">
        <w:rPr>
          <w:rStyle w:val="markedcontent"/>
          <w:rFonts w:ascii="Arial" w:hAnsi="Arial" w:cs="Arial"/>
          <w:sz w:val="20"/>
          <w:szCs w:val="20"/>
        </w:rPr>
        <w:t xml:space="preserve"> sur son site Internet : </w:t>
      </w:r>
      <w:hyperlink r:id="rId25" w:history="1">
        <w:r w:rsidR="009E26D9" w:rsidRPr="00970766">
          <w:rPr>
            <w:rStyle w:val="Lienhypertexte"/>
            <w:rFonts w:ascii="Arial" w:hAnsi="Arial" w:cs="Arial"/>
            <w:sz w:val="20"/>
            <w:szCs w:val="20"/>
          </w:rPr>
          <w:t>www.ansm.sante.fr</w:t>
        </w:r>
      </w:hyperlink>
    </w:p>
    <w:p w14:paraId="2708FC22" w14:textId="77777777" w:rsidR="00953F42" w:rsidRPr="00970766" w:rsidDel="004F1EAF" w:rsidRDefault="00953F42" w:rsidP="00953F42">
      <w:pPr>
        <w:rPr>
          <w:rStyle w:val="lev"/>
          <w:rFonts w:ascii="Arial Narrow" w:eastAsiaTheme="majorEastAsia" w:hAnsi="Arial Narrow" w:cstheme="majorBidi"/>
          <w:color w:val="2E74B5" w:themeColor="accent1" w:themeShade="BF"/>
          <w:sz w:val="26"/>
          <w:szCs w:val="26"/>
        </w:rPr>
      </w:pPr>
      <w:r w:rsidRPr="00970766" w:rsidDel="004F1EAF">
        <w:rPr>
          <w:rStyle w:val="lev"/>
          <w:rFonts w:ascii="Arial Narrow" w:eastAsiaTheme="majorEastAsia" w:hAnsi="Arial Narrow" w:cstheme="majorBidi"/>
          <w:color w:val="2E74B5" w:themeColor="accent1" w:themeShade="BF"/>
          <w:sz w:val="26"/>
          <w:szCs w:val="26"/>
        </w:rPr>
        <w:t xml:space="preserve">Traitement </w:t>
      </w:r>
      <w:r w:rsidR="00E35767" w:rsidRPr="00970766">
        <w:rPr>
          <w:rStyle w:val="lev"/>
          <w:rFonts w:ascii="Arial Narrow" w:eastAsiaTheme="majorEastAsia" w:hAnsi="Arial Narrow" w:cstheme="majorBidi"/>
          <w:color w:val="2E74B5" w:themeColor="accent1" w:themeShade="BF"/>
          <w:sz w:val="26"/>
          <w:szCs w:val="26"/>
        </w:rPr>
        <w:t>des</w:t>
      </w:r>
      <w:r w:rsidRPr="00970766" w:rsidDel="004F1EAF">
        <w:rPr>
          <w:rStyle w:val="lev"/>
          <w:rFonts w:ascii="Arial Narrow" w:eastAsiaTheme="majorEastAsia" w:hAnsi="Arial Narrow" w:cstheme="majorBidi"/>
          <w:color w:val="2E74B5" w:themeColor="accent1" w:themeShade="BF"/>
          <w:sz w:val="26"/>
          <w:szCs w:val="26"/>
        </w:rPr>
        <w:t xml:space="preserve"> données personnelles </w:t>
      </w:r>
    </w:p>
    <w:p w14:paraId="1EBD5DD3" w14:textId="77777777" w:rsidR="0003588D" w:rsidRPr="00970766" w:rsidRDefault="00343799" w:rsidP="0003588D">
      <w:pPr>
        <w:jc w:val="both"/>
        <w:rPr>
          <w:rFonts w:ascii="Arial" w:hAnsi="Arial" w:cs="Arial"/>
          <w:sz w:val="20"/>
        </w:rPr>
      </w:pPr>
      <w:r w:rsidRPr="00970766">
        <w:rPr>
          <w:rFonts w:ascii="Arial" w:eastAsia="Calibri" w:hAnsi="Arial" w:cs="Arial"/>
          <w:sz w:val="20"/>
        </w:rPr>
        <w:t>Le traitement par un médicament dans le cadre d</w:t>
      </w:r>
      <w:r w:rsidR="00C424E6" w:rsidRPr="00970766">
        <w:rPr>
          <w:rFonts w:ascii="Arial" w:eastAsia="Calibri" w:hAnsi="Arial" w:cs="Arial"/>
          <w:sz w:val="20"/>
        </w:rPr>
        <w:t>e</w:t>
      </w:r>
      <w:r w:rsidRPr="00970766">
        <w:rPr>
          <w:rFonts w:ascii="Arial" w:eastAsia="Calibri" w:hAnsi="Arial" w:cs="Arial"/>
          <w:sz w:val="20"/>
        </w:rPr>
        <w:t xml:space="preserve"> prescription compassionnelle avec un protocole d’utilisation thérapeutique et </w:t>
      </w:r>
      <w:r w:rsidR="00117EB3" w:rsidRPr="00970766">
        <w:rPr>
          <w:rFonts w:ascii="Arial" w:eastAsia="Calibri" w:hAnsi="Arial" w:cs="Arial"/>
          <w:sz w:val="20"/>
        </w:rPr>
        <w:t xml:space="preserve">de suivi des patients (PUT-SP) </w:t>
      </w:r>
      <w:r w:rsidRPr="00970766">
        <w:rPr>
          <w:rFonts w:ascii="Arial" w:eastAsia="Calibri" w:hAnsi="Arial" w:cs="Arial"/>
          <w:sz w:val="20"/>
        </w:rPr>
        <w:t xml:space="preserve">implique le recueil de données personnelles concernant </w:t>
      </w:r>
      <w:r w:rsidR="00E35767" w:rsidRPr="00970766">
        <w:rPr>
          <w:rFonts w:ascii="Arial" w:eastAsia="Calibri" w:hAnsi="Arial" w:cs="Arial"/>
          <w:sz w:val="20"/>
        </w:rPr>
        <w:t>la santé des patients</w:t>
      </w:r>
      <w:r w:rsidRPr="00970766">
        <w:rPr>
          <w:rFonts w:ascii="Arial" w:eastAsia="Calibri" w:hAnsi="Arial" w:cs="Arial"/>
          <w:sz w:val="20"/>
        </w:rPr>
        <w:t>.</w:t>
      </w:r>
    </w:p>
    <w:p w14:paraId="61C52757" w14:textId="3FCB39C7" w:rsidR="00FF158E" w:rsidRDefault="00953F42" w:rsidP="0038457E">
      <w:pPr>
        <w:jc w:val="both"/>
        <w:rPr>
          <w:rFonts w:ascii="Arial" w:hAnsi="Arial" w:cs="Arial"/>
          <w:sz w:val="20"/>
          <w:szCs w:val="20"/>
        </w:rPr>
      </w:pPr>
      <w:r w:rsidRPr="00970766">
        <w:rPr>
          <w:rFonts w:ascii="Arial" w:hAnsi="Arial" w:cs="Arial"/>
          <w:sz w:val="20"/>
          <w:szCs w:val="20"/>
        </w:rPr>
        <w:t xml:space="preserve">Vous trouverez des informations complémentaires relatives </w:t>
      </w:r>
      <w:r w:rsidR="00965C17" w:rsidRPr="00970766">
        <w:rPr>
          <w:rFonts w:ascii="Arial" w:hAnsi="Arial" w:cs="Arial"/>
          <w:sz w:val="20"/>
          <w:szCs w:val="20"/>
        </w:rPr>
        <w:t>au traitement des données personnelles dans</w:t>
      </w:r>
      <w:r w:rsidRPr="00970766">
        <w:rPr>
          <w:rFonts w:ascii="Arial" w:hAnsi="Arial" w:cs="Arial"/>
          <w:sz w:val="20"/>
          <w:szCs w:val="20"/>
        </w:rPr>
        <w:t xml:space="preserve"> </w:t>
      </w:r>
      <w:r w:rsidR="00AF3781" w:rsidRPr="00970766">
        <w:rPr>
          <w:rFonts w:ascii="Arial" w:hAnsi="Arial" w:cs="Arial"/>
          <w:sz w:val="20"/>
          <w:szCs w:val="20"/>
        </w:rPr>
        <w:t>l’</w:t>
      </w:r>
      <w:r w:rsidR="00785084">
        <w:rPr>
          <w:rFonts w:ascii="Arial" w:hAnsi="Arial" w:cs="Arial"/>
          <w:sz w:val="20"/>
          <w:szCs w:val="20"/>
        </w:rPr>
        <w:t>A</w:t>
      </w:r>
      <w:r w:rsidR="00AF3781" w:rsidRPr="00970766">
        <w:rPr>
          <w:rFonts w:ascii="Arial" w:hAnsi="Arial" w:cs="Arial"/>
          <w:sz w:val="20"/>
          <w:szCs w:val="20"/>
        </w:rPr>
        <w:t>nnexe</w:t>
      </w:r>
      <w:r w:rsidRPr="00970766">
        <w:rPr>
          <w:rFonts w:ascii="Arial" w:hAnsi="Arial" w:cs="Arial"/>
          <w:sz w:val="20"/>
          <w:szCs w:val="20"/>
        </w:rPr>
        <w:t xml:space="preserve"> </w:t>
      </w:r>
      <w:r w:rsidR="009E4593" w:rsidRPr="00970766">
        <w:rPr>
          <w:rFonts w:ascii="Arial" w:hAnsi="Arial" w:cs="Arial"/>
          <w:sz w:val="20"/>
          <w:szCs w:val="20"/>
        </w:rPr>
        <w:t>4</w:t>
      </w:r>
      <w:r w:rsidR="00DB310C">
        <w:rPr>
          <w:rFonts w:ascii="Arial" w:hAnsi="Arial" w:cs="Arial"/>
          <w:sz w:val="20"/>
          <w:szCs w:val="20"/>
        </w:rPr>
        <w:t>.1</w:t>
      </w:r>
      <w:r w:rsidR="009E4593" w:rsidRPr="00970766">
        <w:rPr>
          <w:rFonts w:ascii="Arial" w:hAnsi="Arial" w:cs="Arial"/>
          <w:sz w:val="20"/>
          <w:szCs w:val="20"/>
        </w:rPr>
        <w:t xml:space="preserve"> </w:t>
      </w:r>
      <w:r w:rsidRPr="00970766">
        <w:rPr>
          <w:rFonts w:ascii="Arial" w:hAnsi="Arial" w:cs="Arial"/>
          <w:sz w:val="20"/>
          <w:szCs w:val="20"/>
        </w:rPr>
        <w:t xml:space="preserve">: « </w:t>
      </w:r>
      <w:hyperlink w:anchor="_ANNEXE_4_:" w:history="1">
        <w:r w:rsidRPr="00970766">
          <w:rPr>
            <w:rStyle w:val="Lienhypertexte"/>
            <w:rFonts w:ascii="Arial" w:hAnsi="Arial" w:cs="Arial"/>
            <w:sz w:val="20"/>
            <w:szCs w:val="20"/>
          </w:rPr>
          <w:t xml:space="preserve">Note d’information </w:t>
        </w:r>
        <w:r w:rsidR="003B3EA7" w:rsidRPr="00970766">
          <w:rPr>
            <w:rStyle w:val="Lienhypertexte"/>
            <w:rFonts w:ascii="Arial" w:hAnsi="Arial" w:cs="Arial"/>
            <w:sz w:val="20"/>
            <w:szCs w:val="20"/>
          </w:rPr>
          <w:t>sur le traitement de</w:t>
        </w:r>
        <w:r w:rsidRPr="00970766">
          <w:rPr>
            <w:rStyle w:val="Lienhypertexte"/>
            <w:rFonts w:ascii="Arial" w:hAnsi="Arial" w:cs="Arial"/>
            <w:sz w:val="20"/>
            <w:szCs w:val="20"/>
          </w:rPr>
          <w:t>s données personnelles</w:t>
        </w:r>
      </w:hyperlink>
      <w:r w:rsidR="00FF158E">
        <w:rPr>
          <w:rFonts w:ascii="Arial" w:hAnsi="Arial" w:cs="Arial"/>
          <w:sz w:val="20"/>
          <w:szCs w:val="20"/>
        </w:rPr>
        <w:t xml:space="preserve"> ».</w:t>
      </w:r>
    </w:p>
    <w:p w14:paraId="6B36C873" w14:textId="732FC482" w:rsidR="004B032A" w:rsidRPr="004B032A" w:rsidRDefault="004B032A" w:rsidP="0038457E">
      <w:pPr>
        <w:jc w:val="both"/>
        <w:rPr>
          <w:rFonts w:ascii="Arial" w:hAnsi="Arial" w:cs="Arial"/>
          <w:sz w:val="20"/>
          <w:szCs w:val="20"/>
        </w:rPr>
      </w:pPr>
      <w:r w:rsidRPr="004B032A">
        <w:rPr>
          <w:rFonts w:ascii="Arial" w:hAnsi="Arial" w:cs="Arial"/>
          <w:sz w:val="20"/>
          <w:szCs w:val="20"/>
        </w:rPr>
        <w:t xml:space="preserve">Une note d’information relative au traitement des données personnelles des professionnels de santé est </w:t>
      </w:r>
      <w:r w:rsidR="00DB310C">
        <w:rPr>
          <w:rFonts w:ascii="Arial" w:hAnsi="Arial" w:cs="Arial"/>
          <w:sz w:val="20"/>
          <w:szCs w:val="20"/>
        </w:rPr>
        <w:t xml:space="preserve">disponible en </w:t>
      </w:r>
      <w:r w:rsidR="00785084">
        <w:rPr>
          <w:rFonts w:ascii="Arial" w:hAnsi="Arial" w:cs="Arial"/>
          <w:sz w:val="20"/>
          <w:szCs w:val="20"/>
        </w:rPr>
        <w:t>A</w:t>
      </w:r>
      <w:r w:rsidR="00DB310C">
        <w:rPr>
          <w:rFonts w:ascii="Arial" w:hAnsi="Arial" w:cs="Arial"/>
          <w:sz w:val="20"/>
          <w:szCs w:val="20"/>
        </w:rPr>
        <w:t>nnexe 4.2</w:t>
      </w:r>
      <w:r w:rsidRPr="004B032A">
        <w:rPr>
          <w:rFonts w:ascii="Arial" w:hAnsi="Arial" w:cs="Arial"/>
          <w:sz w:val="20"/>
          <w:szCs w:val="20"/>
        </w:rPr>
        <w:t>.</w:t>
      </w:r>
    </w:p>
    <w:p w14:paraId="63831D94" w14:textId="77777777" w:rsidR="0003588D" w:rsidRPr="00FF158E" w:rsidRDefault="00FF158E" w:rsidP="0038457E">
      <w:pPr>
        <w:jc w:val="both"/>
        <w:rPr>
          <w:rFonts w:ascii="Arial" w:hAnsi="Arial" w:cs="Arial"/>
          <w:sz w:val="20"/>
          <w:szCs w:val="20"/>
        </w:rPr>
      </w:pPr>
      <w:r w:rsidRPr="00FF158E">
        <w:rPr>
          <w:rFonts w:ascii="Arial" w:hAnsi="Arial" w:cs="Arial"/>
          <w:sz w:val="20"/>
        </w:rPr>
        <w:t xml:space="preserve">Vous pouvez, par ailleurs, contacter le délégué à la protection des données (DPO) du laboratoire à l’adresse suivante </w:t>
      </w:r>
      <w:hyperlink r:id="rId26" w:history="1">
        <w:r w:rsidR="008D6C7B" w:rsidRPr="001B3FF4">
          <w:rPr>
            <w:rStyle w:val="Lienhypertexte"/>
            <w:rFonts w:ascii="Arial" w:hAnsi="Arial" w:cs="Arial"/>
            <w:sz w:val="20"/>
          </w:rPr>
          <w:t>privacyoffice@abbvie.com</w:t>
        </w:r>
      </w:hyperlink>
      <w:r w:rsidRPr="00FF158E">
        <w:rPr>
          <w:rFonts w:ascii="Arial" w:hAnsi="Arial" w:cs="Arial"/>
          <w:sz w:val="20"/>
        </w:rPr>
        <w:t xml:space="preserve">. </w:t>
      </w:r>
      <w:r w:rsidR="0003588D" w:rsidRPr="00FF158E">
        <w:rPr>
          <w:rFonts w:ascii="Arial" w:hAnsi="Arial" w:cs="Arial"/>
        </w:rPr>
        <w:br w:type="page"/>
      </w:r>
    </w:p>
    <w:p w14:paraId="3812A2F6" w14:textId="77777777" w:rsidR="00AA7CC4" w:rsidRPr="00970766" w:rsidRDefault="00100401" w:rsidP="00AA7CC4">
      <w:pPr>
        <w:pStyle w:val="Titre2"/>
        <w:numPr>
          <w:ilvl w:val="0"/>
          <w:numId w:val="11"/>
        </w:numPr>
        <w:rPr>
          <w:rStyle w:val="lev"/>
          <w:rFonts w:ascii="Arial Narrow" w:hAnsi="Arial Narrow"/>
          <w:bCs w:val="0"/>
          <w:sz w:val="28"/>
          <w:szCs w:val="28"/>
        </w:rPr>
      </w:pPr>
      <w:bookmarkStart w:id="10" w:name="_Toc158900877"/>
      <w:r w:rsidRPr="00970766">
        <w:rPr>
          <w:rStyle w:val="lev"/>
          <w:rFonts w:ascii="Arial Narrow" w:hAnsi="Arial Narrow"/>
          <w:bCs w:val="0"/>
          <w:sz w:val="28"/>
          <w:szCs w:val="28"/>
        </w:rPr>
        <w:lastRenderedPageBreak/>
        <w:t>ANNEXE</w:t>
      </w:r>
      <w:r w:rsidR="00222B6B" w:rsidRPr="00970766">
        <w:rPr>
          <w:rStyle w:val="lev"/>
          <w:rFonts w:ascii="Arial Narrow" w:hAnsi="Arial Narrow"/>
          <w:bCs w:val="0"/>
          <w:sz w:val="28"/>
          <w:szCs w:val="28"/>
        </w:rPr>
        <w:t>S</w:t>
      </w:r>
      <w:bookmarkEnd w:id="10"/>
    </w:p>
    <w:p w14:paraId="3E029C4C" w14:textId="77777777" w:rsidR="00AA7CC4" w:rsidRPr="00970766" w:rsidRDefault="00AA7CC4" w:rsidP="00AA7CC4">
      <w:pPr>
        <w:pStyle w:val="Corpsdetexte"/>
        <w:spacing w:before="3"/>
        <w:rPr>
          <w:rFonts w:ascii="Arial" w:hAnsi="Arial" w:cs="Arial"/>
          <w:sz w:val="20"/>
          <w:szCs w:val="20"/>
        </w:rPr>
      </w:pPr>
    </w:p>
    <w:p w14:paraId="0532DCCA" w14:textId="77777777" w:rsidR="00AA7CC4" w:rsidRPr="00544A4A" w:rsidRDefault="00AA7CC4" w:rsidP="00AA7CC4">
      <w:pPr>
        <w:pStyle w:val="Paragraphedeliste"/>
        <w:widowControl w:val="0"/>
        <w:numPr>
          <w:ilvl w:val="0"/>
          <w:numId w:val="17"/>
        </w:numPr>
        <w:autoSpaceDE w:val="0"/>
        <w:autoSpaceDN w:val="0"/>
        <w:spacing w:after="0" w:line="240" w:lineRule="auto"/>
        <w:ind w:left="567" w:hanging="568"/>
        <w:contextualSpacing w:val="0"/>
        <w:rPr>
          <w:rFonts w:ascii="Arial" w:hAnsi="Arial" w:cs="Arial"/>
          <w:sz w:val="20"/>
          <w:szCs w:val="20"/>
        </w:rPr>
      </w:pPr>
      <w:r w:rsidRPr="00544A4A">
        <w:rPr>
          <w:rFonts w:ascii="Arial" w:hAnsi="Arial" w:cs="Arial"/>
          <w:sz w:val="20"/>
          <w:szCs w:val="20"/>
        </w:rPr>
        <w:t xml:space="preserve">ANNEXE </w:t>
      </w:r>
      <w:r w:rsidR="000B6907" w:rsidRPr="00544A4A">
        <w:rPr>
          <w:rFonts w:ascii="Arial" w:hAnsi="Arial" w:cs="Arial"/>
          <w:sz w:val="20"/>
          <w:szCs w:val="20"/>
        </w:rPr>
        <w:t>1</w:t>
      </w:r>
      <w:r w:rsidRPr="00544A4A">
        <w:rPr>
          <w:rFonts w:ascii="Arial" w:hAnsi="Arial" w:cs="Arial"/>
          <w:spacing w:val="-6"/>
          <w:sz w:val="20"/>
          <w:szCs w:val="20"/>
        </w:rPr>
        <w:t xml:space="preserve"> </w:t>
      </w:r>
      <w:r w:rsidRPr="00544A4A">
        <w:rPr>
          <w:rFonts w:ascii="Arial" w:hAnsi="Arial" w:cs="Arial"/>
          <w:sz w:val="20"/>
          <w:szCs w:val="20"/>
        </w:rPr>
        <w:t>:</w:t>
      </w:r>
      <w:r w:rsidRPr="00544A4A">
        <w:rPr>
          <w:rFonts w:ascii="Arial" w:hAnsi="Arial" w:cs="Arial"/>
          <w:spacing w:val="27"/>
          <w:sz w:val="20"/>
          <w:szCs w:val="20"/>
        </w:rPr>
        <w:t xml:space="preserve"> </w:t>
      </w:r>
      <w:r w:rsidRPr="00544A4A">
        <w:rPr>
          <w:rFonts w:ascii="Arial" w:hAnsi="Arial" w:cs="Arial"/>
          <w:sz w:val="20"/>
          <w:szCs w:val="20"/>
        </w:rPr>
        <w:t>Fiches</w:t>
      </w:r>
      <w:r w:rsidRPr="00544A4A">
        <w:rPr>
          <w:rFonts w:ascii="Arial" w:hAnsi="Arial" w:cs="Arial"/>
          <w:spacing w:val="-2"/>
          <w:sz w:val="20"/>
          <w:szCs w:val="20"/>
        </w:rPr>
        <w:t xml:space="preserve"> </w:t>
      </w:r>
      <w:r w:rsidRPr="00544A4A">
        <w:rPr>
          <w:rFonts w:ascii="Arial" w:hAnsi="Arial" w:cs="Arial"/>
          <w:sz w:val="20"/>
          <w:szCs w:val="20"/>
        </w:rPr>
        <w:t>de</w:t>
      </w:r>
      <w:r w:rsidRPr="00544A4A">
        <w:rPr>
          <w:rFonts w:ascii="Arial" w:hAnsi="Arial" w:cs="Arial"/>
          <w:spacing w:val="-1"/>
          <w:sz w:val="20"/>
          <w:szCs w:val="20"/>
        </w:rPr>
        <w:t xml:space="preserve"> </w:t>
      </w:r>
      <w:r w:rsidRPr="00544A4A">
        <w:rPr>
          <w:rFonts w:ascii="Arial" w:hAnsi="Arial" w:cs="Arial"/>
          <w:sz w:val="20"/>
          <w:szCs w:val="20"/>
        </w:rPr>
        <w:t>suivi</w:t>
      </w:r>
    </w:p>
    <w:p w14:paraId="0B4CE84F" w14:textId="77777777" w:rsidR="00AA7CC4" w:rsidRPr="00544A4A" w:rsidRDefault="00AA7CC4" w:rsidP="00AA7CC4">
      <w:pPr>
        <w:pStyle w:val="Corpsdetexte"/>
        <w:rPr>
          <w:rFonts w:ascii="Arial" w:hAnsi="Arial" w:cs="Arial"/>
          <w:sz w:val="20"/>
          <w:szCs w:val="20"/>
        </w:rPr>
      </w:pPr>
    </w:p>
    <w:p w14:paraId="2078D7A6" w14:textId="77777777" w:rsidR="00AA7CC4" w:rsidRPr="00544A4A" w:rsidRDefault="00AA7CC4" w:rsidP="00AA7CC4">
      <w:pPr>
        <w:pStyle w:val="Corpsdetexte"/>
        <w:numPr>
          <w:ilvl w:val="0"/>
          <w:numId w:val="18"/>
        </w:numPr>
        <w:spacing w:line="249" w:lineRule="auto"/>
        <w:ind w:right="-72"/>
        <w:rPr>
          <w:rFonts w:ascii="Arial" w:hAnsi="Arial" w:cs="Arial"/>
          <w:sz w:val="20"/>
          <w:szCs w:val="20"/>
        </w:rPr>
      </w:pPr>
      <w:r w:rsidRPr="00544A4A">
        <w:rPr>
          <w:rFonts w:ascii="Arial" w:hAnsi="Arial" w:cs="Arial"/>
          <w:sz w:val="20"/>
          <w:szCs w:val="20"/>
        </w:rPr>
        <w:t>ANNEXE</w:t>
      </w:r>
      <w:r w:rsidRPr="00544A4A">
        <w:rPr>
          <w:rFonts w:ascii="Arial" w:hAnsi="Arial" w:cs="Arial"/>
          <w:spacing w:val="-1"/>
          <w:sz w:val="20"/>
          <w:szCs w:val="20"/>
        </w:rPr>
        <w:t xml:space="preserve"> </w:t>
      </w:r>
      <w:r w:rsidR="000B6907" w:rsidRPr="00544A4A">
        <w:rPr>
          <w:rFonts w:ascii="Arial" w:hAnsi="Arial" w:cs="Arial"/>
          <w:sz w:val="20"/>
          <w:szCs w:val="20"/>
        </w:rPr>
        <w:t>1</w:t>
      </w:r>
      <w:r w:rsidRPr="00544A4A">
        <w:rPr>
          <w:rFonts w:ascii="Arial" w:hAnsi="Arial" w:cs="Arial"/>
          <w:sz w:val="20"/>
          <w:szCs w:val="20"/>
        </w:rPr>
        <w:t>.1</w:t>
      </w:r>
      <w:r w:rsidRPr="00544A4A">
        <w:rPr>
          <w:rFonts w:ascii="Arial" w:hAnsi="Arial" w:cs="Arial"/>
          <w:spacing w:val="49"/>
          <w:sz w:val="20"/>
          <w:szCs w:val="20"/>
        </w:rPr>
        <w:t xml:space="preserve"> </w:t>
      </w:r>
      <w:r w:rsidRPr="00544A4A">
        <w:rPr>
          <w:rFonts w:ascii="Arial" w:hAnsi="Arial" w:cs="Arial"/>
          <w:sz w:val="20"/>
          <w:szCs w:val="20"/>
        </w:rPr>
        <w:t>Fiche</w:t>
      </w:r>
      <w:r w:rsidRPr="00544A4A">
        <w:rPr>
          <w:rFonts w:ascii="Arial" w:hAnsi="Arial" w:cs="Arial"/>
          <w:spacing w:val="-3"/>
          <w:sz w:val="20"/>
          <w:szCs w:val="20"/>
        </w:rPr>
        <w:t xml:space="preserve"> </w:t>
      </w:r>
      <w:r w:rsidRPr="00544A4A">
        <w:rPr>
          <w:rFonts w:ascii="Arial" w:hAnsi="Arial" w:cs="Arial"/>
          <w:sz w:val="20"/>
          <w:szCs w:val="20"/>
        </w:rPr>
        <w:t>d’initiation</w:t>
      </w:r>
      <w:r w:rsidRPr="00544A4A">
        <w:rPr>
          <w:rFonts w:ascii="Arial" w:hAnsi="Arial" w:cs="Arial"/>
          <w:spacing w:val="-3"/>
          <w:sz w:val="20"/>
          <w:szCs w:val="20"/>
        </w:rPr>
        <w:t xml:space="preserve"> </w:t>
      </w:r>
      <w:r w:rsidRPr="00544A4A">
        <w:rPr>
          <w:rFonts w:ascii="Arial" w:hAnsi="Arial" w:cs="Arial"/>
          <w:sz w:val="20"/>
          <w:szCs w:val="20"/>
        </w:rPr>
        <w:t>de</w:t>
      </w:r>
      <w:r w:rsidRPr="00544A4A">
        <w:rPr>
          <w:rFonts w:ascii="Arial" w:hAnsi="Arial" w:cs="Arial"/>
          <w:spacing w:val="-3"/>
          <w:sz w:val="20"/>
          <w:szCs w:val="20"/>
        </w:rPr>
        <w:t xml:space="preserve"> </w:t>
      </w:r>
      <w:r w:rsidRPr="00544A4A">
        <w:rPr>
          <w:rFonts w:ascii="Arial" w:hAnsi="Arial" w:cs="Arial"/>
          <w:sz w:val="20"/>
          <w:szCs w:val="20"/>
        </w:rPr>
        <w:t>traitement – V0</w:t>
      </w:r>
    </w:p>
    <w:p w14:paraId="56F5B094" w14:textId="77777777" w:rsidR="00AA7CC4" w:rsidRPr="00544A4A" w:rsidRDefault="00AA7CC4" w:rsidP="00AA7CC4">
      <w:pPr>
        <w:pStyle w:val="Corpsdetexte"/>
        <w:numPr>
          <w:ilvl w:val="0"/>
          <w:numId w:val="18"/>
        </w:numPr>
        <w:spacing w:line="249" w:lineRule="auto"/>
        <w:ind w:right="-72"/>
        <w:rPr>
          <w:rFonts w:ascii="Arial" w:hAnsi="Arial" w:cs="Arial"/>
          <w:sz w:val="20"/>
          <w:szCs w:val="20"/>
        </w:rPr>
      </w:pPr>
      <w:r w:rsidRPr="00544A4A">
        <w:rPr>
          <w:rFonts w:ascii="Arial" w:hAnsi="Arial" w:cs="Arial"/>
          <w:sz w:val="20"/>
          <w:szCs w:val="20"/>
        </w:rPr>
        <w:t>ANNEXE</w:t>
      </w:r>
      <w:r w:rsidRPr="00544A4A">
        <w:rPr>
          <w:rFonts w:ascii="Arial" w:hAnsi="Arial" w:cs="Arial"/>
          <w:spacing w:val="1"/>
          <w:sz w:val="20"/>
          <w:szCs w:val="20"/>
        </w:rPr>
        <w:t xml:space="preserve"> </w:t>
      </w:r>
      <w:r w:rsidR="000B6907" w:rsidRPr="00544A4A">
        <w:rPr>
          <w:rFonts w:ascii="Arial" w:hAnsi="Arial" w:cs="Arial"/>
          <w:sz w:val="20"/>
          <w:szCs w:val="20"/>
        </w:rPr>
        <w:t>1</w:t>
      </w:r>
      <w:r w:rsidRPr="00544A4A">
        <w:rPr>
          <w:rFonts w:ascii="Arial" w:hAnsi="Arial" w:cs="Arial"/>
          <w:sz w:val="20"/>
          <w:szCs w:val="20"/>
        </w:rPr>
        <w:t>.2</w:t>
      </w:r>
      <w:r w:rsidRPr="00544A4A">
        <w:rPr>
          <w:rFonts w:ascii="Arial" w:hAnsi="Arial" w:cs="Arial"/>
          <w:spacing w:val="55"/>
          <w:sz w:val="20"/>
          <w:szCs w:val="20"/>
        </w:rPr>
        <w:t xml:space="preserve"> </w:t>
      </w:r>
      <w:r w:rsidRPr="00544A4A">
        <w:rPr>
          <w:rFonts w:ascii="Arial" w:hAnsi="Arial" w:cs="Arial"/>
          <w:sz w:val="20"/>
          <w:szCs w:val="20"/>
        </w:rPr>
        <w:t>Fiche</w:t>
      </w:r>
      <w:r w:rsidRPr="00544A4A">
        <w:rPr>
          <w:rFonts w:ascii="Arial" w:hAnsi="Arial" w:cs="Arial"/>
          <w:spacing w:val="-1"/>
          <w:sz w:val="20"/>
          <w:szCs w:val="20"/>
        </w:rPr>
        <w:t xml:space="preserve"> </w:t>
      </w:r>
      <w:r w:rsidRPr="00544A4A">
        <w:rPr>
          <w:rFonts w:ascii="Arial" w:hAnsi="Arial" w:cs="Arial"/>
          <w:sz w:val="20"/>
          <w:szCs w:val="20"/>
        </w:rPr>
        <w:t>de</w:t>
      </w:r>
      <w:r w:rsidRPr="00544A4A">
        <w:rPr>
          <w:rFonts w:ascii="Arial" w:hAnsi="Arial" w:cs="Arial"/>
          <w:spacing w:val="-1"/>
          <w:sz w:val="20"/>
          <w:szCs w:val="20"/>
        </w:rPr>
        <w:t xml:space="preserve"> </w:t>
      </w:r>
      <w:r w:rsidRPr="00544A4A">
        <w:rPr>
          <w:rFonts w:ascii="Arial" w:hAnsi="Arial" w:cs="Arial"/>
          <w:sz w:val="20"/>
          <w:szCs w:val="20"/>
        </w:rPr>
        <w:t xml:space="preserve">suivi – </w:t>
      </w:r>
      <w:r w:rsidR="000D0671">
        <w:rPr>
          <w:rFonts w:ascii="Arial" w:hAnsi="Arial" w:cs="Arial"/>
          <w:sz w:val="20"/>
          <w:szCs w:val="20"/>
        </w:rPr>
        <w:t>V</w:t>
      </w:r>
      <w:r w:rsidRPr="00544A4A">
        <w:rPr>
          <w:rFonts w:ascii="Arial" w:hAnsi="Arial" w:cs="Arial"/>
          <w:sz w:val="20"/>
          <w:szCs w:val="20"/>
        </w:rPr>
        <w:t>isites initiales V1 et V2</w:t>
      </w:r>
    </w:p>
    <w:p w14:paraId="2A83FD3A" w14:textId="77777777" w:rsidR="00AA7CC4" w:rsidRPr="00544A4A" w:rsidRDefault="00AA7CC4" w:rsidP="00AA7CC4">
      <w:pPr>
        <w:pStyle w:val="Corpsdetexte"/>
        <w:numPr>
          <w:ilvl w:val="0"/>
          <w:numId w:val="18"/>
        </w:numPr>
        <w:spacing w:line="249" w:lineRule="auto"/>
        <w:ind w:right="70"/>
        <w:rPr>
          <w:rFonts w:ascii="Arial" w:hAnsi="Arial" w:cs="Arial"/>
          <w:sz w:val="20"/>
          <w:szCs w:val="20"/>
        </w:rPr>
      </w:pPr>
      <w:r w:rsidRPr="00544A4A">
        <w:rPr>
          <w:rFonts w:ascii="Arial" w:hAnsi="Arial" w:cs="Arial"/>
          <w:sz w:val="20"/>
          <w:szCs w:val="20"/>
        </w:rPr>
        <w:t>ANNEXE</w:t>
      </w:r>
      <w:r w:rsidRPr="00544A4A">
        <w:rPr>
          <w:rFonts w:ascii="Arial" w:hAnsi="Arial" w:cs="Arial"/>
          <w:spacing w:val="1"/>
          <w:sz w:val="20"/>
          <w:szCs w:val="20"/>
        </w:rPr>
        <w:t xml:space="preserve"> </w:t>
      </w:r>
      <w:r w:rsidR="000B6907" w:rsidRPr="00544A4A">
        <w:rPr>
          <w:rFonts w:ascii="Arial" w:hAnsi="Arial" w:cs="Arial"/>
          <w:sz w:val="20"/>
          <w:szCs w:val="20"/>
        </w:rPr>
        <w:t>1</w:t>
      </w:r>
      <w:r w:rsidRPr="00544A4A">
        <w:rPr>
          <w:rFonts w:ascii="Arial" w:hAnsi="Arial" w:cs="Arial"/>
          <w:sz w:val="20"/>
          <w:szCs w:val="20"/>
        </w:rPr>
        <w:t>.3</w:t>
      </w:r>
      <w:r w:rsidRPr="00544A4A">
        <w:rPr>
          <w:rFonts w:ascii="Arial" w:hAnsi="Arial" w:cs="Arial"/>
          <w:spacing w:val="55"/>
          <w:sz w:val="20"/>
          <w:szCs w:val="20"/>
        </w:rPr>
        <w:t xml:space="preserve"> </w:t>
      </w:r>
      <w:r w:rsidRPr="00544A4A">
        <w:rPr>
          <w:rFonts w:ascii="Arial" w:hAnsi="Arial" w:cs="Arial"/>
          <w:sz w:val="20"/>
          <w:szCs w:val="20"/>
        </w:rPr>
        <w:t>Fiche</w:t>
      </w:r>
      <w:r w:rsidRPr="00544A4A">
        <w:rPr>
          <w:rFonts w:ascii="Arial" w:hAnsi="Arial" w:cs="Arial"/>
          <w:spacing w:val="-1"/>
          <w:sz w:val="20"/>
          <w:szCs w:val="20"/>
        </w:rPr>
        <w:t xml:space="preserve"> </w:t>
      </w:r>
      <w:r w:rsidRPr="00544A4A">
        <w:rPr>
          <w:rFonts w:ascii="Arial" w:hAnsi="Arial" w:cs="Arial"/>
          <w:sz w:val="20"/>
          <w:szCs w:val="20"/>
        </w:rPr>
        <w:t>de</w:t>
      </w:r>
      <w:r w:rsidRPr="00544A4A">
        <w:rPr>
          <w:rFonts w:ascii="Arial" w:hAnsi="Arial" w:cs="Arial"/>
          <w:spacing w:val="-1"/>
          <w:sz w:val="20"/>
          <w:szCs w:val="20"/>
        </w:rPr>
        <w:t xml:space="preserve"> </w:t>
      </w:r>
      <w:r w:rsidRPr="00544A4A">
        <w:rPr>
          <w:rFonts w:ascii="Arial" w:hAnsi="Arial" w:cs="Arial"/>
          <w:sz w:val="20"/>
          <w:szCs w:val="20"/>
        </w:rPr>
        <w:t>suivi – Visites trimestrielles – Vx</w:t>
      </w:r>
    </w:p>
    <w:p w14:paraId="24965D48" w14:textId="77777777" w:rsidR="00AA7CC4" w:rsidRDefault="000B6907" w:rsidP="00AA7CC4">
      <w:pPr>
        <w:pStyle w:val="Corpsdetexte"/>
        <w:numPr>
          <w:ilvl w:val="0"/>
          <w:numId w:val="18"/>
        </w:numPr>
        <w:spacing w:before="2"/>
        <w:rPr>
          <w:rFonts w:ascii="Arial" w:hAnsi="Arial" w:cs="Arial"/>
          <w:sz w:val="20"/>
          <w:szCs w:val="20"/>
        </w:rPr>
      </w:pPr>
      <w:r w:rsidRPr="00544A4A">
        <w:rPr>
          <w:rFonts w:ascii="Arial" w:hAnsi="Arial" w:cs="Arial"/>
          <w:sz w:val="20"/>
          <w:szCs w:val="20"/>
        </w:rPr>
        <w:t>ANNEXE 1</w:t>
      </w:r>
      <w:r w:rsidR="00AA7CC4" w:rsidRPr="00544A4A">
        <w:rPr>
          <w:rFonts w:ascii="Arial" w:hAnsi="Arial" w:cs="Arial"/>
          <w:sz w:val="20"/>
          <w:szCs w:val="20"/>
        </w:rPr>
        <w:t>.4</w:t>
      </w:r>
      <w:r w:rsidR="00AA7CC4" w:rsidRPr="00544A4A">
        <w:rPr>
          <w:rFonts w:ascii="Arial" w:hAnsi="Arial" w:cs="Arial"/>
          <w:spacing w:val="52"/>
          <w:sz w:val="20"/>
          <w:szCs w:val="20"/>
        </w:rPr>
        <w:t xml:space="preserve"> </w:t>
      </w:r>
      <w:r w:rsidR="00AA7CC4" w:rsidRPr="00544A4A">
        <w:rPr>
          <w:rFonts w:ascii="Arial" w:hAnsi="Arial" w:cs="Arial"/>
          <w:sz w:val="20"/>
          <w:szCs w:val="20"/>
        </w:rPr>
        <w:t>Fiche</w:t>
      </w:r>
      <w:r w:rsidR="00AA7CC4" w:rsidRPr="00544A4A">
        <w:rPr>
          <w:rFonts w:ascii="Arial" w:hAnsi="Arial" w:cs="Arial"/>
          <w:spacing w:val="-2"/>
          <w:sz w:val="20"/>
          <w:szCs w:val="20"/>
        </w:rPr>
        <w:t xml:space="preserve"> </w:t>
      </w:r>
      <w:r w:rsidR="00AA7CC4" w:rsidRPr="00544A4A">
        <w:rPr>
          <w:rFonts w:ascii="Arial" w:hAnsi="Arial" w:cs="Arial"/>
          <w:sz w:val="20"/>
          <w:szCs w:val="20"/>
        </w:rPr>
        <w:t>de</w:t>
      </w:r>
      <w:r w:rsidR="00AA7CC4" w:rsidRPr="00544A4A">
        <w:rPr>
          <w:rFonts w:ascii="Arial" w:hAnsi="Arial" w:cs="Arial"/>
          <w:spacing w:val="-2"/>
          <w:sz w:val="20"/>
          <w:szCs w:val="20"/>
        </w:rPr>
        <w:t xml:space="preserve"> </w:t>
      </w:r>
      <w:r w:rsidR="00AA7CC4" w:rsidRPr="00544A4A">
        <w:rPr>
          <w:rFonts w:ascii="Arial" w:hAnsi="Arial" w:cs="Arial"/>
          <w:sz w:val="20"/>
          <w:szCs w:val="20"/>
        </w:rPr>
        <w:t>fin</w:t>
      </w:r>
      <w:r w:rsidR="00AA7CC4" w:rsidRPr="00544A4A">
        <w:rPr>
          <w:rFonts w:ascii="Arial" w:hAnsi="Arial" w:cs="Arial"/>
          <w:spacing w:val="-2"/>
          <w:sz w:val="20"/>
          <w:szCs w:val="20"/>
        </w:rPr>
        <w:t xml:space="preserve"> </w:t>
      </w:r>
      <w:r w:rsidR="00AA7CC4" w:rsidRPr="00544A4A">
        <w:rPr>
          <w:rFonts w:ascii="Arial" w:hAnsi="Arial" w:cs="Arial"/>
          <w:sz w:val="20"/>
          <w:szCs w:val="20"/>
        </w:rPr>
        <w:t>de</w:t>
      </w:r>
      <w:r w:rsidR="00AA7CC4" w:rsidRPr="00544A4A">
        <w:rPr>
          <w:rFonts w:ascii="Arial" w:hAnsi="Arial" w:cs="Arial"/>
          <w:spacing w:val="-2"/>
          <w:sz w:val="20"/>
          <w:szCs w:val="20"/>
        </w:rPr>
        <w:t xml:space="preserve"> </w:t>
      </w:r>
      <w:r w:rsidR="00AA7CC4" w:rsidRPr="00544A4A">
        <w:rPr>
          <w:rFonts w:ascii="Arial" w:hAnsi="Arial" w:cs="Arial"/>
          <w:sz w:val="20"/>
          <w:szCs w:val="20"/>
        </w:rPr>
        <w:t>traitement</w:t>
      </w:r>
    </w:p>
    <w:p w14:paraId="3E3537FE" w14:textId="77777777" w:rsidR="008B1CC0" w:rsidRPr="00544A4A" w:rsidRDefault="008B1CC0" w:rsidP="008B1CC0">
      <w:pPr>
        <w:pStyle w:val="Corpsdetexte"/>
        <w:spacing w:before="2"/>
        <w:rPr>
          <w:rFonts w:ascii="Arial" w:hAnsi="Arial" w:cs="Arial"/>
          <w:sz w:val="20"/>
          <w:szCs w:val="20"/>
        </w:rPr>
      </w:pPr>
    </w:p>
    <w:p w14:paraId="37856A60" w14:textId="585CF7DA" w:rsidR="00AA7CC4" w:rsidRPr="00544A4A" w:rsidRDefault="00AA7CC4" w:rsidP="008B1CC0">
      <w:pPr>
        <w:pStyle w:val="Paragraphedeliste"/>
        <w:widowControl w:val="0"/>
        <w:numPr>
          <w:ilvl w:val="0"/>
          <w:numId w:val="17"/>
        </w:numPr>
        <w:autoSpaceDE w:val="0"/>
        <w:autoSpaceDN w:val="0"/>
        <w:spacing w:before="15" w:after="0" w:line="240" w:lineRule="auto"/>
        <w:ind w:left="567" w:right="-74" w:hanging="584"/>
        <w:contextualSpacing w:val="0"/>
        <w:rPr>
          <w:rFonts w:ascii="Arial" w:hAnsi="Arial" w:cs="Arial"/>
          <w:sz w:val="20"/>
          <w:szCs w:val="20"/>
        </w:rPr>
      </w:pPr>
      <w:r w:rsidRPr="00544A4A">
        <w:rPr>
          <w:rFonts w:ascii="Arial" w:hAnsi="Arial" w:cs="Arial"/>
          <w:sz w:val="20"/>
          <w:szCs w:val="20"/>
        </w:rPr>
        <w:t>ANNEXE</w:t>
      </w:r>
      <w:r w:rsidRPr="00544A4A">
        <w:rPr>
          <w:rFonts w:ascii="Arial" w:hAnsi="Arial" w:cs="Arial"/>
          <w:spacing w:val="-1"/>
          <w:sz w:val="20"/>
          <w:szCs w:val="20"/>
        </w:rPr>
        <w:t xml:space="preserve"> </w:t>
      </w:r>
      <w:r w:rsidR="000B6907" w:rsidRPr="00544A4A">
        <w:rPr>
          <w:rFonts w:ascii="Arial" w:hAnsi="Arial" w:cs="Arial"/>
          <w:sz w:val="20"/>
          <w:szCs w:val="20"/>
        </w:rPr>
        <w:t>2</w:t>
      </w:r>
      <w:r w:rsidRPr="00544A4A">
        <w:rPr>
          <w:rFonts w:ascii="Arial" w:hAnsi="Arial" w:cs="Arial"/>
          <w:spacing w:val="-4"/>
          <w:sz w:val="20"/>
          <w:szCs w:val="20"/>
        </w:rPr>
        <w:t xml:space="preserve"> </w:t>
      </w:r>
      <w:r w:rsidRPr="00544A4A">
        <w:rPr>
          <w:rFonts w:ascii="Arial" w:hAnsi="Arial" w:cs="Arial"/>
          <w:sz w:val="20"/>
          <w:szCs w:val="20"/>
        </w:rPr>
        <w:t>:</w:t>
      </w:r>
      <w:r w:rsidRPr="00544A4A">
        <w:rPr>
          <w:rFonts w:ascii="Arial" w:hAnsi="Arial" w:cs="Arial"/>
          <w:spacing w:val="21"/>
          <w:sz w:val="20"/>
          <w:szCs w:val="20"/>
        </w:rPr>
        <w:t xml:space="preserve"> </w:t>
      </w:r>
      <w:r w:rsidRPr="00544A4A">
        <w:rPr>
          <w:rFonts w:ascii="Arial" w:hAnsi="Arial" w:cs="Arial"/>
          <w:sz w:val="20"/>
          <w:szCs w:val="20"/>
        </w:rPr>
        <w:t>Argumentaire</w:t>
      </w:r>
      <w:r w:rsidRPr="00544A4A">
        <w:rPr>
          <w:rFonts w:ascii="Arial" w:hAnsi="Arial" w:cs="Arial"/>
          <w:spacing w:val="-2"/>
          <w:sz w:val="20"/>
          <w:szCs w:val="20"/>
        </w:rPr>
        <w:t xml:space="preserve"> </w:t>
      </w:r>
      <w:r w:rsidRPr="00544A4A">
        <w:rPr>
          <w:rFonts w:ascii="Arial" w:hAnsi="Arial" w:cs="Arial"/>
          <w:sz w:val="20"/>
          <w:szCs w:val="20"/>
        </w:rPr>
        <w:t>et</w:t>
      </w:r>
      <w:r w:rsidRPr="00544A4A">
        <w:rPr>
          <w:rFonts w:ascii="Arial" w:hAnsi="Arial" w:cs="Arial"/>
          <w:spacing w:val="-2"/>
          <w:sz w:val="20"/>
          <w:szCs w:val="20"/>
        </w:rPr>
        <w:t xml:space="preserve"> </w:t>
      </w:r>
      <w:r w:rsidRPr="00544A4A">
        <w:rPr>
          <w:rFonts w:ascii="Arial" w:hAnsi="Arial" w:cs="Arial"/>
          <w:sz w:val="20"/>
          <w:szCs w:val="20"/>
        </w:rPr>
        <w:t>références</w:t>
      </w:r>
      <w:r w:rsidRPr="00544A4A">
        <w:rPr>
          <w:rFonts w:ascii="Arial" w:hAnsi="Arial" w:cs="Arial"/>
          <w:spacing w:val="-3"/>
          <w:sz w:val="20"/>
          <w:szCs w:val="20"/>
        </w:rPr>
        <w:t xml:space="preserve"> </w:t>
      </w:r>
      <w:r w:rsidRPr="00544A4A">
        <w:rPr>
          <w:rFonts w:ascii="Arial" w:hAnsi="Arial" w:cs="Arial"/>
          <w:sz w:val="20"/>
          <w:szCs w:val="20"/>
        </w:rPr>
        <w:t>bibliographiques</w:t>
      </w:r>
      <w:r w:rsidR="00305007">
        <w:rPr>
          <w:rFonts w:ascii="Arial" w:hAnsi="Arial" w:cs="Arial"/>
          <w:sz w:val="20"/>
          <w:szCs w:val="20"/>
        </w:rPr>
        <w:t xml:space="preserve"> pour l’utilisation de BOTOX 50/100/200 unités ALLERGAN, poudre pour solution injectable dans les indications du CPC </w:t>
      </w:r>
    </w:p>
    <w:p w14:paraId="2AC1453C" w14:textId="77777777" w:rsidR="00531808" w:rsidRDefault="00AA7CC4" w:rsidP="00531808">
      <w:pPr>
        <w:pStyle w:val="Paragraphedeliste"/>
        <w:widowControl w:val="0"/>
        <w:numPr>
          <w:ilvl w:val="0"/>
          <w:numId w:val="17"/>
        </w:numPr>
        <w:autoSpaceDE w:val="0"/>
        <w:autoSpaceDN w:val="0"/>
        <w:spacing w:before="15" w:after="0" w:line="240" w:lineRule="auto"/>
        <w:ind w:left="567" w:right="261" w:hanging="586"/>
        <w:contextualSpacing w:val="0"/>
        <w:rPr>
          <w:rFonts w:ascii="Arial" w:hAnsi="Arial" w:cs="Arial"/>
          <w:sz w:val="20"/>
          <w:szCs w:val="20"/>
        </w:rPr>
      </w:pPr>
      <w:r w:rsidRPr="00544A4A">
        <w:rPr>
          <w:rFonts w:ascii="Arial" w:hAnsi="Arial" w:cs="Arial"/>
          <w:sz w:val="20"/>
          <w:szCs w:val="20"/>
        </w:rPr>
        <w:t>ANNEXE</w:t>
      </w:r>
      <w:r w:rsidRPr="00544A4A">
        <w:rPr>
          <w:rFonts w:ascii="Arial" w:hAnsi="Arial" w:cs="Arial"/>
          <w:spacing w:val="-1"/>
          <w:sz w:val="20"/>
          <w:szCs w:val="20"/>
        </w:rPr>
        <w:t xml:space="preserve"> </w:t>
      </w:r>
      <w:r w:rsidR="000B6907" w:rsidRPr="00544A4A">
        <w:rPr>
          <w:rFonts w:ascii="Arial" w:hAnsi="Arial" w:cs="Arial"/>
          <w:sz w:val="20"/>
          <w:szCs w:val="20"/>
        </w:rPr>
        <w:t>3</w:t>
      </w:r>
      <w:r w:rsidRPr="00544A4A">
        <w:rPr>
          <w:rFonts w:ascii="Arial" w:hAnsi="Arial" w:cs="Arial"/>
          <w:sz w:val="20"/>
          <w:szCs w:val="20"/>
        </w:rPr>
        <w:t> : Note</w:t>
      </w:r>
      <w:r w:rsidRPr="00544A4A">
        <w:rPr>
          <w:rFonts w:ascii="Arial" w:hAnsi="Arial" w:cs="Arial"/>
          <w:spacing w:val="-3"/>
          <w:sz w:val="20"/>
          <w:szCs w:val="20"/>
        </w:rPr>
        <w:t xml:space="preserve"> </w:t>
      </w:r>
      <w:r w:rsidRPr="00544A4A">
        <w:rPr>
          <w:rFonts w:ascii="Arial" w:hAnsi="Arial" w:cs="Arial"/>
          <w:sz w:val="20"/>
          <w:szCs w:val="20"/>
        </w:rPr>
        <w:t>d'information</w:t>
      </w:r>
      <w:r w:rsidRPr="00544A4A">
        <w:rPr>
          <w:rFonts w:ascii="Arial" w:hAnsi="Arial" w:cs="Arial"/>
          <w:spacing w:val="-2"/>
          <w:sz w:val="20"/>
          <w:szCs w:val="20"/>
        </w:rPr>
        <w:t xml:space="preserve"> </w:t>
      </w:r>
      <w:r w:rsidRPr="00544A4A">
        <w:rPr>
          <w:rFonts w:ascii="Arial" w:hAnsi="Arial" w:cs="Arial"/>
          <w:sz w:val="20"/>
          <w:szCs w:val="20"/>
        </w:rPr>
        <w:t>à</w:t>
      </w:r>
      <w:r w:rsidRPr="00544A4A">
        <w:rPr>
          <w:rFonts w:ascii="Arial" w:hAnsi="Arial" w:cs="Arial"/>
          <w:spacing w:val="-3"/>
          <w:sz w:val="20"/>
          <w:szCs w:val="20"/>
        </w:rPr>
        <w:t xml:space="preserve"> </w:t>
      </w:r>
      <w:r w:rsidRPr="00544A4A">
        <w:rPr>
          <w:rFonts w:ascii="Arial" w:hAnsi="Arial" w:cs="Arial"/>
          <w:sz w:val="20"/>
          <w:szCs w:val="20"/>
        </w:rPr>
        <w:t>l’attention</w:t>
      </w:r>
      <w:r w:rsidRPr="00544A4A">
        <w:rPr>
          <w:rFonts w:ascii="Arial" w:hAnsi="Arial" w:cs="Arial"/>
          <w:spacing w:val="-2"/>
          <w:sz w:val="20"/>
          <w:szCs w:val="20"/>
        </w:rPr>
        <w:t xml:space="preserve"> </w:t>
      </w:r>
      <w:r w:rsidRPr="00544A4A">
        <w:rPr>
          <w:rFonts w:ascii="Arial" w:hAnsi="Arial" w:cs="Arial"/>
          <w:sz w:val="20"/>
          <w:szCs w:val="20"/>
        </w:rPr>
        <w:t>des</w:t>
      </w:r>
      <w:r w:rsidRPr="00544A4A">
        <w:rPr>
          <w:rFonts w:ascii="Arial" w:hAnsi="Arial" w:cs="Arial"/>
          <w:spacing w:val="-2"/>
          <w:sz w:val="20"/>
          <w:szCs w:val="20"/>
        </w:rPr>
        <w:t xml:space="preserve"> </w:t>
      </w:r>
      <w:r w:rsidRPr="00544A4A">
        <w:rPr>
          <w:rFonts w:ascii="Arial" w:hAnsi="Arial" w:cs="Arial"/>
          <w:sz w:val="20"/>
          <w:szCs w:val="20"/>
        </w:rPr>
        <w:t>patients</w:t>
      </w:r>
      <w:r w:rsidR="00BF3777">
        <w:rPr>
          <w:rFonts w:ascii="Arial" w:hAnsi="Arial" w:cs="Arial"/>
          <w:sz w:val="20"/>
          <w:szCs w:val="20"/>
        </w:rPr>
        <w:t xml:space="preserve"> bénéficiant d’un médicament dans un CPC</w:t>
      </w:r>
    </w:p>
    <w:p w14:paraId="7FAD9D7B" w14:textId="2E6BC336" w:rsidR="00AA7CC4" w:rsidRPr="00531808" w:rsidRDefault="00F224F2" w:rsidP="00531808">
      <w:pPr>
        <w:pStyle w:val="Paragraphedeliste"/>
        <w:widowControl w:val="0"/>
        <w:numPr>
          <w:ilvl w:val="0"/>
          <w:numId w:val="17"/>
        </w:numPr>
        <w:autoSpaceDE w:val="0"/>
        <w:autoSpaceDN w:val="0"/>
        <w:spacing w:before="15" w:after="0" w:line="240" w:lineRule="auto"/>
        <w:ind w:left="567" w:right="261" w:hanging="586"/>
        <w:contextualSpacing w:val="0"/>
        <w:rPr>
          <w:rFonts w:ascii="Arial" w:hAnsi="Arial" w:cs="Arial"/>
          <w:sz w:val="20"/>
          <w:szCs w:val="20"/>
        </w:rPr>
      </w:pPr>
      <w:r w:rsidRPr="00531808">
        <w:rPr>
          <w:rFonts w:ascii="Arial" w:hAnsi="Arial" w:cs="Arial"/>
          <w:sz w:val="20"/>
          <w:szCs w:val="20"/>
        </w:rPr>
        <w:t>ANNEXE 4</w:t>
      </w:r>
      <w:r w:rsidR="00DB310C">
        <w:rPr>
          <w:rFonts w:ascii="Arial" w:hAnsi="Arial" w:cs="Arial"/>
          <w:sz w:val="20"/>
          <w:szCs w:val="20"/>
        </w:rPr>
        <w:t>.1</w:t>
      </w:r>
      <w:r w:rsidRPr="00531808">
        <w:rPr>
          <w:rFonts w:ascii="Arial" w:hAnsi="Arial" w:cs="Arial"/>
          <w:sz w:val="20"/>
          <w:szCs w:val="20"/>
        </w:rPr>
        <w:t> : Note d’information sur le traitement des données personnelles</w:t>
      </w:r>
      <w:r w:rsidR="00531808" w:rsidRPr="00531808">
        <w:t xml:space="preserve"> </w:t>
      </w:r>
      <w:r w:rsidR="00531808" w:rsidRPr="00531808">
        <w:rPr>
          <w:rFonts w:ascii="Arial" w:hAnsi="Arial" w:cs="Arial"/>
          <w:sz w:val="20"/>
          <w:szCs w:val="20"/>
        </w:rPr>
        <w:t>à destination des patients</w:t>
      </w:r>
    </w:p>
    <w:p w14:paraId="41E59380" w14:textId="77777777" w:rsidR="00DB310C" w:rsidRPr="00531808" w:rsidRDefault="00DB310C" w:rsidP="00DB310C">
      <w:pPr>
        <w:pStyle w:val="Paragraphedeliste"/>
        <w:widowControl w:val="0"/>
        <w:numPr>
          <w:ilvl w:val="0"/>
          <w:numId w:val="17"/>
        </w:numPr>
        <w:autoSpaceDE w:val="0"/>
        <w:autoSpaceDN w:val="0"/>
        <w:spacing w:after="0" w:line="240" w:lineRule="auto"/>
        <w:ind w:left="567" w:hanging="568"/>
        <w:contextualSpacing w:val="0"/>
        <w:rPr>
          <w:rFonts w:ascii="Arial" w:hAnsi="Arial" w:cs="Arial"/>
          <w:sz w:val="20"/>
          <w:szCs w:val="20"/>
        </w:rPr>
      </w:pPr>
      <w:r>
        <w:rPr>
          <w:rFonts w:ascii="Arial" w:hAnsi="Arial" w:cs="Arial"/>
          <w:sz w:val="20"/>
          <w:szCs w:val="20"/>
        </w:rPr>
        <w:t>ANNEXE 4.2</w:t>
      </w:r>
      <w:r w:rsidRPr="00531808">
        <w:rPr>
          <w:rFonts w:ascii="Arial" w:hAnsi="Arial" w:cs="Arial"/>
          <w:sz w:val="20"/>
          <w:szCs w:val="20"/>
        </w:rPr>
        <w:t xml:space="preserve"> : Note d’information à destination des professionnels de santé sur le traitement des données personnelles</w:t>
      </w:r>
    </w:p>
    <w:p w14:paraId="2E43FB5B" w14:textId="6E9371AA" w:rsidR="00AA7CC4" w:rsidRPr="00531808" w:rsidRDefault="00AA7CC4" w:rsidP="00531808">
      <w:pPr>
        <w:pStyle w:val="Paragraphedeliste"/>
        <w:widowControl w:val="0"/>
        <w:numPr>
          <w:ilvl w:val="0"/>
          <w:numId w:val="17"/>
        </w:numPr>
        <w:autoSpaceDE w:val="0"/>
        <w:autoSpaceDN w:val="0"/>
        <w:spacing w:after="0" w:line="240" w:lineRule="auto"/>
        <w:ind w:left="567" w:hanging="568"/>
        <w:contextualSpacing w:val="0"/>
        <w:rPr>
          <w:rFonts w:ascii="Arial" w:hAnsi="Arial" w:cs="Arial"/>
          <w:sz w:val="20"/>
          <w:szCs w:val="20"/>
        </w:rPr>
      </w:pPr>
      <w:r w:rsidRPr="00544A4A">
        <w:rPr>
          <w:rFonts w:ascii="Arial" w:hAnsi="Arial" w:cs="Arial"/>
          <w:sz w:val="20"/>
          <w:szCs w:val="20"/>
        </w:rPr>
        <w:t>ANNEXE</w:t>
      </w:r>
      <w:r w:rsidR="000B6907" w:rsidRPr="00544A4A">
        <w:rPr>
          <w:rFonts w:ascii="Arial" w:hAnsi="Arial" w:cs="Arial"/>
          <w:spacing w:val="-3"/>
          <w:sz w:val="20"/>
          <w:szCs w:val="20"/>
        </w:rPr>
        <w:t xml:space="preserve"> </w:t>
      </w:r>
      <w:r w:rsidR="00F224F2">
        <w:rPr>
          <w:rFonts w:ascii="Arial" w:hAnsi="Arial" w:cs="Arial"/>
          <w:spacing w:val="-3"/>
          <w:sz w:val="20"/>
          <w:szCs w:val="20"/>
        </w:rPr>
        <w:t>5</w:t>
      </w:r>
      <w:r w:rsidRPr="00544A4A">
        <w:rPr>
          <w:rFonts w:ascii="Arial" w:hAnsi="Arial" w:cs="Arial"/>
          <w:spacing w:val="-2"/>
          <w:sz w:val="20"/>
          <w:szCs w:val="20"/>
        </w:rPr>
        <w:t xml:space="preserve"> </w:t>
      </w:r>
      <w:r w:rsidRPr="00544A4A">
        <w:rPr>
          <w:rFonts w:ascii="Arial" w:hAnsi="Arial" w:cs="Arial"/>
          <w:sz w:val="20"/>
          <w:szCs w:val="20"/>
        </w:rPr>
        <w:t>: Rappel</w:t>
      </w:r>
      <w:r w:rsidRPr="00544A4A">
        <w:rPr>
          <w:rFonts w:ascii="Arial" w:hAnsi="Arial" w:cs="Arial"/>
          <w:spacing w:val="-2"/>
          <w:sz w:val="20"/>
          <w:szCs w:val="20"/>
        </w:rPr>
        <w:t xml:space="preserve"> </w:t>
      </w:r>
      <w:r w:rsidRPr="00544A4A">
        <w:rPr>
          <w:rFonts w:ascii="Arial" w:hAnsi="Arial" w:cs="Arial"/>
          <w:sz w:val="20"/>
          <w:szCs w:val="20"/>
        </w:rPr>
        <w:t>des</w:t>
      </w:r>
      <w:r w:rsidRPr="00544A4A">
        <w:rPr>
          <w:rFonts w:ascii="Arial" w:hAnsi="Arial" w:cs="Arial"/>
          <w:spacing w:val="-2"/>
          <w:sz w:val="20"/>
          <w:szCs w:val="20"/>
        </w:rPr>
        <w:t xml:space="preserve"> </w:t>
      </w:r>
      <w:r w:rsidRPr="00544A4A">
        <w:rPr>
          <w:rFonts w:ascii="Arial" w:hAnsi="Arial" w:cs="Arial"/>
          <w:sz w:val="20"/>
          <w:szCs w:val="20"/>
        </w:rPr>
        <w:t>modalités</w:t>
      </w:r>
      <w:r w:rsidRPr="00544A4A">
        <w:rPr>
          <w:rFonts w:ascii="Arial" w:hAnsi="Arial" w:cs="Arial"/>
          <w:spacing w:val="-3"/>
          <w:sz w:val="20"/>
          <w:szCs w:val="20"/>
        </w:rPr>
        <w:t xml:space="preserve"> </w:t>
      </w:r>
      <w:r w:rsidRPr="00544A4A">
        <w:rPr>
          <w:rFonts w:ascii="Arial" w:hAnsi="Arial" w:cs="Arial"/>
          <w:sz w:val="20"/>
          <w:szCs w:val="20"/>
        </w:rPr>
        <w:t>de</w:t>
      </w:r>
      <w:r w:rsidRPr="00544A4A">
        <w:rPr>
          <w:rFonts w:ascii="Arial" w:hAnsi="Arial" w:cs="Arial"/>
          <w:spacing w:val="-1"/>
          <w:sz w:val="20"/>
          <w:szCs w:val="20"/>
        </w:rPr>
        <w:t xml:space="preserve"> </w:t>
      </w:r>
      <w:r w:rsidRPr="00544A4A">
        <w:rPr>
          <w:rFonts w:ascii="Arial" w:hAnsi="Arial" w:cs="Arial"/>
          <w:sz w:val="20"/>
          <w:szCs w:val="20"/>
        </w:rPr>
        <w:t>déclaration</w:t>
      </w:r>
      <w:r w:rsidRPr="00544A4A">
        <w:rPr>
          <w:rFonts w:ascii="Arial" w:hAnsi="Arial" w:cs="Arial"/>
          <w:spacing w:val="-2"/>
          <w:sz w:val="20"/>
          <w:szCs w:val="20"/>
        </w:rPr>
        <w:t xml:space="preserve"> </w:t>
      </w:r>
      <w:r w:rsidRPr="00544A4A">
        <w:rPr>
          <w:rFonts w:ascii="Arial" w:hAnsi="Arial" w:cs="Arial"/>
          <w:sz w:val="20"/>
          <w:szCs w:val="20"/>
        </w:rPr>
        <w:t>des</w:t>
      </w:r>
      <w:r w:rsidRPr="00544A4A">
        <w:rPr>
          <w:rFonts w:ascii="Arial" w:hAnsi="Arial" w:cs="Arial"/>
          <w:spacing w:val="-2"/>
          <w:sz w:val="20"/>
          <w:szCs w:val="20"/>
        </w:rPr>
        <w:t xml:space="preserve"> </w:t>
      </w:r>
      <w:r w:rsidRPr="00544A4A">
        <w:rPr>
          <w:rFonts w:ascii="Arial" w:hAnsi="Arial" w:cs="Arial"/>
          <w:sz w:val="20"/>
          <w:szCs w:val="20"/>
        </w:rPr>
        <w:t>effets</w:t>
      </w:r>
      <w:r w:rsidRPr="00544A4A">
        <w:rPr>
          <w:rFonts w:ascii="Arial" w:hAnsi="Arial" w:cs="Arial"/>
          <w:spacing w:val="-2"/>
          <w:sz w:val="20"/>
          <w:szCs w:val="20"/>
        </w:rPr>
        <w:t xml:space="preserve"> </w:t>
      </w:r>
      <w:r w:rsidRPr="00544A4A">
        <w:rPr>
          <w:rFonts w:ascii="Arial" w:hAnsi="Arial" w:cs="Arial"/>
          <w:sz w:val="20"/>
          <w:szCs w:val="20"/>
        </w:rPr>
        <w:t>indésirables</w:t>
      </w:r>
    </w:p>
    <w:p w14:paraId="7899CCEB" w14:textId="430134D3" w:rsidR="00531808" w:rsidRPr="00531808" w:rsidRDefault="00AA7CC4" w:rsidP="00531808">
      <w:pPr>
        <w:pStyle w:val="Paragraphedeliste"/>
        <w:widowControl w:val="0"/>
        <w:numPr>
          <w:ilvl w:val="0"/>
          <w:numId w:val="17"/>
        </w:numPr>
        <w:autoSpaceDE w:val="0"/>
        <w:autoSpaceDN w:val="0"/>
        <w:spacing w:after="0" w:line="240" w:lineRule="auto"/>
        <w:ind w:left="567" w:hanging="568"/>
        <w:contextualSpacing w:val="0"/>
        <w:rPr>
          <w:rFonts w:ascii="Arial" w:hAnsi="Arial" w:cs="Arial"/>
          <w:sz w:val="20"/>
          <w:szCs w:val="20"/>
        </w:rPr>
      </w:pPr>
      <w:r w:rsidRPr="00544A4A">
        <w:rPr>
          <w:rFonts w:ascii="Arial" w:hAnsi="Arial" w:cs="Arial"/>
          <w:sz w:val="20"/>
          <w:szCs w:val="20"/>
        </w:rPr>
        <w:t>ANNEXE</w:t>
      </w:r>
      <w:r w:rsidRPr="00544A4A">
        <w:rPr>
          <w:rFonts w:ascii="Arial" w:hAnsi="Arial" w:cs="Arial"/>
          <w:spacing w:val="-3"/>
          <w:sz w:val="20"/>
          <w:szCs w:val="20"/>
        </w:rPr>
        <w:t xml:space="preserve"> </w:t>
      </w:r>
      <w:r w:rsidR="00F224F2">
        <w:rPr>
          <w:rFonts w:ascii="Arial" w:hAnsi="Arial" w:cs="Arial"/>
          <w:sz w:val="20"/>
          <w:szCs w:val="20"/>
        </w:rPr>
        <w:t>6</w:t>
      </w:r>
      <w:r w:rsidRPr="00544A4A">
        <w:rPr>
          <w:rFonts w:ascii="Arial" w:hAnsi="Arial" w:cs="Arial"/>
          <w:spacing w:val="-6"/>
          <w:sz w:val="20"/>
          <w:szCs w:val="20"/>
        </w:rPr>
        <w:t xml:space="preserve"> </w:t>
      </w:r>
      <w:r w:rsidRPr="00544A4A">
        <w:rPr>
          <w:rFonts w:ascii="Arial" w:hAnsi="Arial" w:cs="Arial"/>
          <w:sz w:val="20"/>
          <w:szCs w:val="20"/>
        </w:rPr>
        <w:t>:</w:t>
      </w:r>
      <w:r w:rsidRPr="00544A4A">
        <w:rPr>
          <w:rFonts w:ascii="Arial" w:hAnsi="Arial" w:cs="Arial"/>
          <w:spacing w:val="12"/>
          <w:sz w:val="20"/>
          <w:szCs w:val="20"/>
        </w:rPr>
        <w:t xml:space="preserve"> </w:t>
      </w:r>
      <w:r w:rsidRPr="00544A4A">
        <w:rPr>
          <w:rFonts w:ascii="Arial" w:hAnsi="Arial" w:cs="Arial"/>
          <w:sz w:val="20"/>
          <w:szCs w:val="20"/>
        </w:rPr>
        <w:t>Dispositions</w:t>
      </w:r>
      <w:r w:rsidRPr="00544A4A">
        <w:rPr>
          <w:rFonts w:ascii="Arial" w:hAnsi="Arial" w:cs="Arial"/>
          <w:spacing w:val="-1"/>
          <w:sz w:val="20"/>
          <w:szCs w:val="20"/>
        </w:rPr>
        <w:t xml:space="preserve"> </w:t>
      </w:r>
      <w:r w:rsidRPr="00544A4A">
        <w:rPr>
          <w:rFonts w:ascii="Arial" w:hAnsi="Arial" w:cs="Arial"/>
          <w:sz w:val="20"/>
          <w:szCs w:val="20"/>
        </w:rPr>
        <w:t>législatives</w:t>
      </w:r>
      <w:r w:rsidRPr="00544A4A">
        <w:rPr>
          <w:rFonts w:ascii="Arial" w:hAnsi="Arial" w:cs="Arial"/>
          <w:spacing w:val="-2"/>
          <w:sz w:val="20"/>
          <w:szCs w:val="20"/>
        </w:rPr>
        <w:t xml:space="preserve"> et réglementaires </w:t>
      </w:r>
      <w:r w:rsidRPr="00544A4A">
        <w:rPr>
          <w:rFonts w:ascii="Arial" w:hAnsi="Arial" w:cs="Arial"/>
          <w:sz w:val="20"/>
          <w:szCs w:val="20"/>
        </w:rPr>
        <w:t>relatives</w:t>
      </w:r>
      <w:r w:rsidRPr="00544A4A">
        <w:rPr>
          <w:rFonts w:ascii="Arial" w:hAnsi="Arial" w:cs="Arial"/>
          <w:spacing w:val="-1"/>
          <w:sz w:val="20"/>
          <w:szCs w:val="20"/>
        </w:rPr>
        <w:t xml:space="preserve"> </w:t>
      </w:r>
      <w:r w:rsidRPr="00544A4A">
        <w:rPr>
          <w:rFonts w:ascii="Arial" w:hAnsi="Arial" w:cs="Arial"/>
          <w:sz w:val="20"/>
          <w:szCs w:val="20"/>
        </w:rPr>
        <w:t>aux CPC</w:t>
      </w:r>
    </w:p>
    <w:p w14:paraId="27E02B04" w14:textId="77777777" w:rsidR="00AA7CC4" w:rsidRPr="00970766" w:rsidRDefault="00AA7CC4" w:rsidP="00AA7CC4"/>
    <w:p w14:paraId="5DDF0DDF" w14:textId="77777777" w:rsidR="000A79B9" w:rsidRPr="00970766" w:rsidRDefault="000A79B9" w:rsidP="00AA7CC4">
      <w:pPr>
        <w:tabs>
          <w:tab w:val="left" w:pos="1400"/>
        </w:tabs>
        <w:spacing w:before="163" w:line="249" w:lineRule="auto"/>
        <w:ind w:right="843"/>
        <w:rPr>
          <w:rFonts w:ascii="Arial" w:hAnsi="Arial" w:cs="Arial"/>
          <w:b/>
          <w:color w:val="1E3662"/>
          <w:sz w:val="20"/>
          <w:szCs w:val="20"/>
        </w:rPr>
      </w:pPr>
    </w:p>
    <w:p w14:paraId="51240C0D" w14:textId="77777777" w:rsidR="000A79B9" w:rsidRPr="00970766" w:rsidRDefault="000A79B9" w:rsidP="00AA7CC4">
      <w:pPr>
        <w:tabs>
          <w:tab w:val="left" w:pos="1400"/>
        </w:tabs>
        <w:spacing w:before="163" w:line="249" w:lineRule="auto"/>
        <w:ind w:right="843"/>
        <w:rPr>
          <w:rFonts w:ascii="Arial" w:hAnsi="Arial" w:cs="Arial"/>
          <w:b/>
          <w:color w:val="1E3662"/>
          <w:sz w:val="20"/>
          <w:szCs w:val="20"/>
        </w:rPr>
      </w:pPr>
    </w:p>
    <w:p w14:paraId="6EEF1D65" w14:textId="77777777" w:rsidR="000A79B9" w:rsidRPr="00970766" w:rsidRDefault="000A79B9" w:rsidP="00AA7CC4">
      <w:pPr>
        <w:tabs>
          <w:tab w:val="left" w:pos="1400"/>
        </w:tabs>
        <w:spacing w:before="163" w:line="249" w:lineRule="auto"/>
        <w:ind w:right="843"/>
        <w:rPr>
          <w:rFonts w:ascii="Arial" w:hAnsi="Arial" w:cs="Arial"/>
          <w:b/>
          <w:color w:val="1E3662"/>
          <w:sz w:val="20"/>
          <w:szCs w:val="20"/>
        </w:rPr>
      </w:pPr>
    </w:p>
    <w:p w14:paraId="6647A140" w14:textId="77777777" w:rsidR="000A79B9" w:rsidRPr="00970766" w:rsidRDefault="000A79B9" w:rsidP="00AA7CC4">
      <w:pPr>
        <w:tabs>
          <w:tab w:val="left" w:pos="1400"/>
        </w:tabs>
        <w:spacing w:before="163" w:line="249" w:lineRule="auto"/>
        <w:ind w:right="843"/>
        <w:rPr>
          <w:rFonts w:ascii="Arial" w:hAnsi="Arial" w:cs="Arial"/>
          <w:b/>
          <w:color w:val="1E3662"/>
          <w:sz w:val="20"/>
          <w:szCs w:val="20"/>
        </w:rPr>
      </w:pPr>
    </w:p>
    <w:p w14:paraId="6502144D" w14:textId="77777777" w:rsidR="000A79B9" w:rsidRPr="00970766" w:rsidRDefault="000A79B9" w:rsidP="00AA7CC4">
      <w:pPr>
        <w:tabs>
          <w:tab w:val="left" w:pos="1400"/>
        </w:tabs>
        <w:spacing w:before="163" w:line="249" w:lineRule="auto"/>
        <w:ind w:right="843"/>
        <w:rPr>
          <w:rFonts w:ascii="Arial" w:hAnsi="Arial" w:cs="Arial"/>
          <w:b/>
          <w:color w:val="1E3662"/>
          <w:sz w:val="20"/>
          <w:szCs w:val="20"/>
        </w:rPr>
      </w:pPr>
    </w:p>
    <w:p w14:paraId="1BD1B813" w14:textId="77777777" w:rsidR="000A79B9" w:rsidRPr="00970766" w:rsidRDefault="000A79B9" w:rsidP="00AA7CC4">
      <w:pPr>
        <w:tabs>
          <w:tab w:val="left" w:pos="1400"/>
        </w:tabs>
        <w:spacing w:before="163" w:line="249" w:lineRule="auto"/>
        <w:ind w:right="843"/>
        <w:rPr>
          <w:rFonts w:ascii="Arial" w:hAnsi="Arial" w:cs="Arial"/>
          <w:b/>
          <w:color w:val="1E3662"/>
          <w:sz w:val="20"/>
          <w:szCs w:val="20"/>
        </w:rPr>
      </w:pPr>
    </w:p>
    <w:p w14:paraId="578F6C2B" w14:textId="77777777" w:rsidR="000A79B9" w:rsidRPr="00970766" w:rsidRDefault="000A79B9" w:rsidP="00AA7CC4">
      <w:pPr>
        <w:tabs>
          <w:tab w:val="left" w:pos="1400"/>
        </w:tabs>
        <w:spacing w:before="163" w:line="249" w:lineRule="auto"/>
        <w:ind w:right="843"/>
        <w:rPr>
          <w:rFonts w:ascii="Arial" w:hAnsi="Arial" w:cs="Arial"/>
          <w:b/>
          <w:color w:val="1E3662"/>
          <w:sz w:val="20"/>
          <w:szCs w:val="20"/>
        </w:rPr>
      </w:pPr>
    </w:p>
    <w:p w14:paraId="3435A176" w14:textId="77777777" w:rsidR="000A79B9" w:rsidRPr="00970766" w:rsidRDefault="000A79B9" w:rsidP="00AA7CC4">
      <w:pPr>
        <w:tabs>
          <w:tab w:val="left" w:pos="1400"/>
        </w:tabs>
        <w:spacing w:before="163" w:line="249" w:lineRule="auto"/>
        <w:ind w:right="843"/>
        <w:rPr>
          <w:rFonts w:ascii="Arial" w:hAnsi="Arial" w:cs="Arial"/>
          <w:b/>
          <w:color w:val="1E3662"/>
          <w:sz w:val="20"/>
          <w:szCs w:val="20"/>
        </w:rPr>
      </w:pPr>
    </w:p>
    <w:p w14:paraId="087FFEAB" w14:textId="77777777" w:rsidR="000A79B9" w:rsidRPr="00970766" w:rsidRDefault="000A79B9" w:rsidP="00AA7CC4">
      <w:pPr>
        <w:tabs>
          <w:tab w:val="left" w:pos="1400"/>
        </w:tabs>
        <w:spacing w:before="163" w:line="249" w:lineRule="auto"/>
        <w:ind w:right="843"/>
        <w:rPr>
          <w:rFonts w:ascii="Arial" w:hAnsi="Arial" w:cs="Arial"/>
          <w:b/>
          <w:color w:val="1E3662"/>
          <w:sz w:val="20"/>
          <w:szCs w:val="20"/>
        </w:rPr>
      </w:pPr>
    </w:p>
    <w:p w14:paraId="31598E95" w14:textId="77777777" w:rsidR="000A79B9" w:rsidRPr="00970766" w:rsidRDefault="000A79B9" w:rsidP="00AA7CC4">
      <w:pPr>
        <w:tabs>
          <w:tab w:val="left" w:pos="1400"/>
        </w:tabs>
        <w:spacing w:before="163" w:line="249" w:lineRule="auto"/>
        <w:ind w:right="843"/>
        <w:rPr>
          <w:rFonts w:ascii="Arial" w:hAnsi="Arial" w:cs="Arial"/>
          <w:b/>
          <w:color w:val="1E3662"/>
          <w:sz w:val="20"/>
          <w:szCs w:val="20"/>
        </w:rPr>
      </w:pPr>
    </w:p>
    <w:p w14:paraId="53BFC744" w14:textId="77777777" w:rsidR="000A79B9" w:rsidRPr="00970766" w:rsidRDefault="000A79B9" w:rsidP="00AA7CC4">
      <w:pPr>
        <w:tabs>
          <w:tab w:val="left" w:pos="1400"/>
        </w:tabs>
        <w:spacing w:before="163" w:line="249" w:lineRule="auto"/>
        <w:ind w:right="843"/>
        <w:rPr>
          <w:rFonts w:ascii="Arial" w:hAnsi="Arial" w:cs="Arial"/>
          <w:b/>
          <w:color w:val="1E3662"/>
          <w:sz w:val="20"/>
          <w:szCs w:val="20"/>
        </w:rPr>
      </w:pPr>
    </w:p>
    <w:p w14:paraId="7F4C4D12" w14:textId="77777777" w:rsidR="000A79B9" w:rsidRPr="00970766" w:rsidRDefault="000A79B9" w:rsidP="00AA7CC4">
      <w:pPr>
        <w:tabs>
          <w:tab w:val="left" w:pos="1400"/>
        </w:tabs>
        <w:spacing w:before="163" w:line="249" w:lineRule="auto"/>
        <w:ind w:right="843"/>
        <w:rPr>
          <w:rFonts w:ascii="Arial" w:hAnsi="Arial" w:cs="Arial"/>
          <w:b/>
          <w:color w:val="1E3662"/>
          <w:sz w:val="20"/>
          <w:szCs w:val="20"/>
        </w:rPr>
      </w:pPr>
    </w:p>
    <w:p w14:paraId="2D35B5C9" w14:textId="77777777" w:rsidR="000A79B9" w:rsidRPr="00970766" w:rsidRDefault="000A79B9" w:rsidP="00AA7CC4">
      <w:pPr>
        <w:tabs>
          <w:tab w:val="left" w:pos="1400"/>
        </w:tabs>
        <w:spacing w:before="163" w:line="249" w:lineRule="auto"/>
        <w:ind w:right="843"/>
        <w:rPr>
          <w:rFonts w:ascii="Arial" w:hAnsi="Arial" w:cs="Arial"/>
          <w:b/>
          <w:color w:val="1E3662"/>
          <w:sz w:val="20"/>
          <w:szCs w:val="20"/>
        </w:rPr>
      </w:pPr>
    </w:p>
    <w:p w14:paraId="008B9872" w14:textId="77777777" w:rsidR="000A79B9" w:rsidRPr="00970766" w:rsidRDefault="000A79B9" w:rsidP="00AA7CC4">
      <w:pPr>
        <w:tabs>
          <w:tab w:val="left" w:pos="1400"/>
        </w:tabs>
        <w:spacing w:before="163" w:line="249" w:lineRule="auto"/>
        <w:ind w:right="843"/>
        <w:rPr>
          <w:rFonts w:ascii="Arial" w:hAnsi="Arial" w:cs="Arial"/>
          <w:b/>
          <w:color w:val="1E3662"/>
          <w:sz w:val="20"/>
          <w:szCs w:val="20"/>
        </w:rPr>
      </w:pPr>
    </w:p>
    <w:p w14:paraId="0663F847" w14:textId="77777777" w:rsidR="000A79B9" w:rsidRPr="00970766" w:rsidRDefault="000A79B9" w:rsidP="00AA7CC4">
      <w:pPr>
        <w:tabs>
          <w:tab w:val="left" w:pos="1400"/>
        </w:tabs>
        <w:spacing w:before="163" w:line="249" w:lineRule="auto"/>
        <w:ind w:right="843"/>
        <w:rPr>
          <w:rFonts w:ascii="Arial" w:hAnsi="Arial" w:cs="Arial"/>
          <w:b/>
          <w:color w:val="1E3662"/>
          <w:sz w:val="20"/>
          <w:szCs w:val="20"/>
        </w:rPr>
      </w:pPr>
    </w:p>
    <w:p w14:paraId="44386B60" w14:textId="77777777" w:rsidR="000A79B9" w:rsidRPr="00970766" w:rsidRDefault="000A79B9" w:rsidP="00AA7CC4">
      <w:pPr>
        <w:tabs>
          <w:tab w:val="left" w:pos="1400"/>
        </w:tabs>
        <w:spacing w:before="163" w:line="249" w:lineRule="auto"/>
        <w:ind w:right="843"/>
        <w:rPr>
          <w:rFonts w:ascii="Arial" w:hAnsi="Arial" w:cs="Arial"/>
          <w:b/>
          <w:color w:val="1E3662"/>
          <w:sz w:val="20"/>
          <w:szCs w:val="20"/>
        </w:rPr>
      </w:pPr>
    </w:p>
    <w:p w14:paraId="437C0DF6" w14:textId="77777777" w:rsidR="000A79B9" w:rsidRPr="00970766" w:rsidRDefault="000A79B9" w:rsidP="00AA7CC4">
      <w:pPr>
        <w:tabs>
          <w:tab w:val="left" w:pos="1400"/>
        </w:tabs>
        <w:spacing w:before="163" w:line="249" w:lineRule="auto"/>
        <w:ind w:right="843"/>
        <w:rPr>
          <w:rFonts w:ascii="Arial" w:hAnsi="Arial" w:cs="Arial"/>
          <w:b/>
          <w:color w:val="1E3662"/>
          <w:sz w:val="20"/>
          <w:szCs w:val="20"/>
        </w:rPr>
      </w:pPr>
    </w:p>
    <w:p w14:paraId="093066EB" w14:textId="77777777" w:rsidR="000A79B9" w:rsidRPr="00970766" w:rsidRDefault="000A79B9" w:rsidP="00AA7CC4">
      <w:pPr>
        <w:tabs>
          <w:tab w:val="left" w:pos="1400"/>
        </w:tabs>
        <w:spacing w:before="163" w:line="249" w:lineRule="auto"/>
        <w:ind w:right="843"/>
        <w:rPr>
          <w:rFonts w:ascii="Arial" w:hAnsi="Arial" w:cs="Arial"/>
          <w:b/>
          <w:color w:val="1E3662"/>
          <w:sz w:val="20"/>
          <w:szCs w:val="20"/>
        </w:rPr>
      </w:pPr>
    </w:p>
    <w:p w14:paraId="20E902F7" w14:textId="77777777" w:rsidR="000A79B9" w:rsidRDefault="000A79B9" w:rsidP="00AA7CC4">
      <w:pPr>
        <w:tabs>
          <w:tab w:val="left" w:pos="1400"/>
        </w:tabs>
        <w:spacing w:before="163" w:line="249" w:lineRule="auto"/>
        <w:ind w:right="843"/>
        <w:rPr>
          <w:rFonts w:ascii="Arial" w:hAnsi="Arial" w:cs="Arial"/>
          <w:b/>
          <w:color w:val="1E3662"/>
          <w:sz w:val="20"/>
          <w:szCs w:val="20"/>
        </w:rPr>
      </w:pPr>
    </w:p>
    <w:p w14:paraId="5374EAB1" w14:textId="77777777" w:rsidR="00811B7D" w:rsidRDefault="00811B7D" w:rsidP="00AA7CC4">
      <w:pPr>
        <w:tabs>
          <w:tab w:val="left" w:pos="1400"/>
        </w:tabs>
        <w:spacing w:before="163" w:line="249" w:lineRule="auto"/>
        <w:ind w:right="843"/>
        <w:rPr>
          <w:rFonts w:ascii="Arial" w:hAnsi="Arial" w:cs="Arial"/>
          <w:b/>
          <w:color w:val="1E3662"/>
          <w:sz w:val="20"/>
          <w:szCs w:val="20"/>
        </w:rPr>
      </w:pPr>
    </w:p>
    <w:p w14:paraId="475C6968" w14:textId="77777777" w:rsidR="00811B7D" w:rsidRDefault="00811B7D" w:rsidP="00AA7CC4">
      <w:pPr>
        <w:tabs>
          <w:tab w:val="left" w:pos="1400"/>
        </w:tabs>
        <w:spacing w:before="163" w:line="249" w:lineRule="auto"/>
        <w:ind w:right="843"/>
        <w:rPr>
          <w:rFonts w:ascii="Arial" w:hAnsi="Arial" w:cs="Arial"/>
          <w:b/>
          <w:color w:val="1E3662"/>
          <w:sz w:val="20"/>
          <w:szCs w:val="20"/>
        </w:rPr>
      </w:pPr>
    </w:p>
    <w:p w14:paraId="3F44A435" w14:textId="77777777" w:rsidR="00811B7D" w:rsidRPr="00970766" w:rsidRDefault="00811B7D" w:rsidP="00AA7CC4">
      <w:pPr>
        <w:tabs>
          <w:tab w:val="left" w:pos="1400"/>
        </w:tabs>
        <w:spacing w:before="163" w:line="249" w:lineRule="auto"/>
        <w:ind w:right="843"/>
        <w:rPr>
          <w:rFonts w:ascii="Arial" w:hAnsi="Arial" w:cs="Arial"/>
          <w:b/>
          <w:color w:val="1E3662"/>
          <w:sz w:val="20"/>
          <w:szCs w:val="20"/>
        </w:rPr>
      </w:pPr>
    </w:p>
    <w:p w14:paraId="26237D0C" w14:textId="019D3879" w:rsidR="00D02D7B" w:rsidRDefault="000B6907" w:rsidP="005841E9">
      <w:pPr>
        <w:tabs>
          <w:tab w:val="left" w:pos="1400"/>
        </w:tabs>
        <w:spacing w:before="163" w:line="250" w:lineRule="auto"/>
        <w:ind w:right="845"/>
        <w:outlineLvl w:val="2"/>
        <w:rPr>
          <w:sz w:val="20"/>
          <w:szCs w:val="20"/>
          <w:lang w:eastAsia="zh-CN"/>
        </w:rPr>
      </w:pPr>
      <w:bookmarkStart w:id="11" w:name="_Toc158900878"/>
      <w:r w:rsidRPr="00970766">
        <w:rPr>
          <w:rFonts w:ascii="Arial" w:hAnsi="Arial" w:cs="Arial"/>
          <w:b/>
          <w:color w:val="1E3662"/>
          <w:sz w:val="20"/>
          <w:szCs w:val="20"/>
        </w:rPr>
        <w:lastRenderedPageBreak/>
        <w:t>ANNEXE 1</w:t>
      </w:r>
      <w:r w:rsidR="00AA7CC4" w:rsidRPr="00970766">
        <w:rPr>
          <w:rFonts w:ascii="Arial" w:hAnsi="Arial" w:cs="Arial"/>
          <w:b/>
          <w:color w:val="1E3662"/>
          <w:sz w:val="20"/>
          <w:szCs w:val="20"/>
        </w:rPr>
        <w:t>.1 : fic</w:t>
      </w:r>
      <w:r w:rsidR="009953C8" w:rsidRPr="00970766">
        <w:rPr>
          <w:rFonts w:ascii="Arial" w:hAnsi="Arial" w:cs="Arial"/>
          <w:b/>
          <w:color w:val="1E3662"/>
          <w:sz w:val="20"/>
          <w:szCs w:val="20"/>
        </w:rPr>
        <w:t>he d’initiation de traitement (</w:t>
      </w:r>
      <w:r w:rsidR="00AA7CC4" w:rsidRPr="00970766">
        <w:rPr>
          <w:rFonts w:ascii="Arial" w:hAnsi="Arial" w:cs="Arial"/>
          <w:b/>
          <w:color w:val="1E3662"/>
          <w:sz w:val="20"/>
          <w:szCs w:val="20"/>
        </w:rPr>
        <w:t>BOTOX dans le CPC)</w:t>
      </w:r>
      <w:bookmarkEnd w:id="11"/>
      <w:r w:rsidR="00AA7CC4" w:rsidRPr="00970766">
        <w:rPr>
          <w:sz w:val="20"/>
          <w:szCs w:val="20"/>
          <w:lang w:eastAsia="zh-CN"/>
        </w:rPr>
        <w:t xml:space="preserve"> </w:t>
      </w:r>
    </w:p>
    <w:p w14:paraId="3A80FB7E" w14:textId="77777777" w:rsidR="00AA7CC4" w:rsidRPr="00970766" w:rsidRDefault="00D02D7B" w:rsidP="00D02D7B">
      <w:pPr>
        <w:tabs>
          <w:tab w:val="left" w:pos="1400"/>
        </w:tabs>
        <w:spacing w:before="163" w:line="250" w:lineRule="auto"/>
        <w:ind w:right="845"/>
        <w:rPr>
          <w:sz w:val="20"/>
          <w:szCs w:val="20"/>
          <w:lang w:eastAsia="zh-CN"/>
        </w:rPr>
      </w:pPr>
      <w:r w:rsidRPr="00970766">
        <w:rPr>
          <w:sz w:val="20"/>
          <w:szCs w:val="20"/>
          <w:lang w:eastAsia="zh-CN"/>
        </w:rPr>
        <w:t>À</w:t>
      </w:r>
      <w:r w:rsidR="00AA7CC4" w:rsidRPr="00970766">
        <w:rPr>
          <w:sz w:val="20"/>
          <w:szCs w:val="20"/>
          <w:lang w:eastAsia="zh-CN"/>
        </w:rPr>
        <w:t xml:space="preserve"> saisir de manière électronique uniquement</w:t>
      </w:r>
      <w:r>
        <w:rPr>
          <w:sz w:val="20"/>
          <w:szCs w:val="20"/>
          <w:lang w:eastAsia="zh-CN"/>
        </w:rPr>
        <w:t>.</w:t>
      </w:r>
    </w:p>
    <w:p w14:paraId="013CEB37" w14:textId="078C1802" w:rsidR="00AA7CC4" w:rsidRPr="00970766" w:rsidRDefault="00AA7CC4" w:rsidP="00AA7CC4">
      <w:pPr>
        <w:pBdr>
          <w:top w:val="single" w:sz="4" w:space="1" w:color="auto"/>
          <w:left w:val="single" w:sz="4" w:space="0" w:color="auto"/>
          <w:bottom w:val="single" w:sz="4" w:space="1" w:color="auto"/>
          <w:right w:val="single" w:sz="4" w:space="4" w:color="auto"/>
        </w:pBdr>
        <w:shd w:val="clear" w:color="auto" w:fill="CCC0D9"/>
        <w:spacing w:line="400" w:lineRule="exact"/>
        <w:ind w:rightChars="37" w:right="81"/>
        <w:jc w:val="center"/>
        <w:rPr>
          <w:b/>
          <w:bCs/>
          <w:sz w:val="28"/>
          <w:szCs w:val="28"/>
          <w:lang w:eastAsia="zh-CN"/>
        </w:rPr>
      </w:pPr>
      <w:r w:rsidRPr="00970766">
        <w:rPr>
          <w:b/>
          <w:bCs/>
          <w:sz w:val="28"/>
          <w:szCs w:val="28"/>
          <w:bdr w:val="nil"/>
        </w:rPr>
        <w:t>Cadre de prescription compassionnelle BOTOX</w:t>
      </w:r>
    </w:p>
    <w:p w14:paraId="191859AD" w14:textId="77777777" w:rsidR="00AA7CC4" w:rsidRPr="00204E35" w:rsidRDefault="00AA7CC4" w:rsidP="00AA7CC4">
      <w:pPr>
        <w:pBdr>
          <w:top w:val="single" w:sz="4" w:space="1" w:color="auto"/>
          <w:left w:val="single" w:sz="4" w:space="0" w:color="auto"/>
          <w:bottom w:val="single" w:sz="4" w:space="1" w:color="auto"/>
          <w:right w:val="single" w:sz="4" w:space="4" w:color="auto"/>
        </w:pBdr>
        <w:shd w:val="clear" w:color="auto" w:fill="F1F1F1"/>
        <w:spacing w:line="400" w:lineRule="exact"/>
        <w:ind w:rightChars="37" w:right="81"/>
        <w:jc w:val="center"/>
        <w:rPr>
          <w:b/>
          <w:sz w:val="28"/>
          <w:szCs w:val="28"/>
          <w:bdr w:val="nil"/>
        </w:rPr>
      </w:pPr>
      <w:r w:rsidRPr="00204E35">
        <w:rPr>
          <w:b/>
          <w:sz w:val="28"/>
          <w:szCs w:val="28"/>
          <w:bdr w:val="nil"/>
        </w:rPr>
        <w:t>FICHE D’INITIATION DE TRAITEMENT-V0</w:t>
      </w:r>
    </w:p>
    <w:p w14:paraId="5634FA45" w14:textId="77777777" w:rsidR="00AA7CC4" w:rsidRPr="00B91486" w:rsidRDefault="000B6907" w:rsidP="00AA7CC4">
      <w:pPr>
        <w:pBdr>
          <w:top w:val="single" w:sz="4" w:space="2" w:color="auto"/>
          <w:left w:val="single" w:sz="4" w:space="0" w:color="auto"/>
          <w:bottom w:val="single" w:sz="4" w:space="1" w:color="auto"/>
          <w:right w:val="single" w:sz="4" w:space="31" w:color="auto"/>
        </w:pBdr>
        <w:tabs>
          <w:tab w:val="left" w:pos="9639"/>
        </w:tabs>
        <w:ind w:right="1112"/>
        <w:jc w:val="center"/>
        <w:rPr>
          <w:rFonts w:ascii="Arial" w:eastAsia="Calibri" w:hAnsi="Arial" w:cs="Arial"/>
          <w:sz w:val="20"/>
          <w:szCs w:val="20"/>
          <w:lang w:val="en-GB"/>
        </w:rPr>
      </w:pPr>
      <w:r w:rsidRPr="00B91486">
        <w:rPr>
          <w:rFonts w:ascii="Arial" w:eastAsia="Calibri" w:hAnsi="Arial" w:cs="Arial"/>
          <w:sz w:val="20"/>
          <w:szCs w:val="20"/>
          <w:lang w:val="en-GB"/>
        </w:rPr>
        <w:t>Date de visite :</w:t>
      </w:r>
      <w:r w:rsidR="00AA7CC4" w:rsidRPr="00B91486">
        <w:rPr>
          <w:rFonts w:ascii="Arial" w:eastAsia="Calibri" w:hAnsi="Arial" w:cs="Arial"/>
          <w:sz w:val="20"/>
          <w:szCs w:val="20"/>
          <w:lang w:val="en-GB"/>
        </w:rPr>
        <w:t xml:space="preserve"> I_I_I  I_I_I  I_I_I_I_I</w:t>
      </w:r>
    </w:p>
    <w:p w14:paraId="497205CA" w14:textId="0BD66C54" w:rsidR="00AA7CC4" w:rsidRPr="00970766" w:rsidRDefault="00AA7CC4" w:rsidP="00AA7CC4">
      <w:pPr>
        <w:pBdr>
          <w:top w:val="single" w:sz="4" w:space="2" w:color="auto"/>
          <w:left w:val="single" w:sz="4" w:space="0" w:color="auto"/>
          <w:bottom w:val="single" w:sz="4" w:space="1" w:color="auto"/>
          <w:right w:val="single" w:sz="4" w:space="11" w:color="auto"/>
        </w:pBdr>
        <w:tabs>
          <w:tab w:val="left" w:pos="9639"/>
        </w:tabs>
        <w:ind w:right="120"/>
        <w:rPr>
          <w:rFonts w:ascii="Arial" w:eastAsia="Calibri" w:hAnsi="Arial" w:cs="Arial"/>
          <w:sz w:val="20"/>
          <w:szCs w:val="20"/>
        </w:rPr>
      </w:pPr>
      <w:r w:rsidRPr="00970766">
        <w:rPr>
          <w:rFonts w:ascii="Arial" w:eastAsia="Calibri" w:hAnsi="Arial" w:cs="Arial"/>
          <w:sz w:val="20"/>
          <w:szCs w:val="20"/>
        </w:rPr>
        <w:t>Information avant le début du traitement qu’il ait été initié dans ce CPC ou avant sa mise en place</w:t>
      </w:r>
    </w:p>
    <w:p w14:paraId="3654FAF0" w14:textId="77777777" w:rsidR="00AA7CC4" w:rsidRPr="00B91486" w:rsidRDefault="00AA7CC4" w:rsidP="00AA7CC4">
      <w:pPr>
        <w:shd w:val="clear" w:color="auto" w:fill="DDD9C3"/>
        <w:tabs>
          <w:tab w:val="left" w:pos="9480"/>
        </w:tabs>
        <w:spacing w:beforeLines="50" w:before="120" w:afterLines="50" w:after="120"/>
        <w:rPr>
          <w:sz w:val="24"/>
          <w:szCs w:val="24"/>
          <w:lang w:val="en-GB"/>
        </w:rPr>
      </w:pPr>
      <w:r w:rsidRPr="00B91486">
        <w:rPr>
          <w:b/>
          <w:bCs/>
          <w:sz w:val="24"/>
          <w:szCs w:val="24"/>
          <w:bdr w:val="nil"/>
          <w:lang w:val="en-GB"/>
        </w:rPr>
        <w:t>IDENTIFICATION DU PATIENT</w:t>
      </w:r>
    </w:p>
    <w:p w14:paraId="752B99E2" w14:textId="77777777" w:rsidR="00AA7CC4" w:rsidRPr="00970766" w:rsidRDefault="00AA7CC4" w:rsidP="00970766">
      <w:pPr>
        <w:tabs>
          <w:tab w:val="left" w:pos="4678"/>
        </w:tabs>
        <w:spacing w:before="120" w:after="120"/>
        <w:ind w:right="1112"/>
        <w:rPr>
          <w:rFonts w:ascii="Arial" w:eastAsia="Calibri" w:hAnsi="Arial" w:cs="Arial"/>
          <w:sz w:val="20"/>
          <w:szCs w:val="20"/>
          <w:lang w:val="en-GB"/>
        </w:rPr>
      </w:pPr>
      <w:r w:rsidRPr="00970766">
        <w:rPr>
          <w:rFonts w:ascii="Arial" w:eastAsia="Calibri" w:hAnsi="Arial" w:cs="Arial"/>
          <w:sz w:val="20"/>
          <w:szCs w:val="20"/>
          <w:lang w:val="en-GB"/>
        </w:rPr>
        <w:t>Initiales (</w:t>
      </w:r>
      <w:r w:rsidRPr="00970766">
        <w:rPr>
          <w:rFonts w:ascii="Arial" w:eastAsia="Calibri" w:hAnsi="Arial" w:cs="Arial"/>
          <w:i/>
          <w:sz w:val="20"/>
          <w:szCs w:val="20"/>
          <w:lang w:val="en-GB"/>
        </w:rPr>
        <w:t>Nom – Prénom</w:t>
      </w:r>
      <w:r w:rsidR="0057197D" w:rsidRPr="00970766">
        <w:rPr>
          <w:rFonts w:ascii="Arial" w:eastAsia="Calibri" w:hAnsi="Arial" w:cs="Arial"/>
          <w:sz w:val="20"/>
          <w:szCs w:val="20"/>
          <w:lang w:val="en-GB"/>
        </w:rPr>
        <w:t>) : I_I_I_I – I_I_I</w:t>
      </w:r>
      <w:r w:rsidRPr="00970766">
        <w:rPr>
          <w:rFonts w:ascii="Arial" w:eastAsia="Calibri" w:hAnsi="Arial" w:cs="Arial"/>
          <w:sz w:val="20"/>
          <w:szCs w:val="20"/>
          <w:lang w:val="en-GB"/>
        </w:rPr>
        <w:t xml:space="preserve">    </w:t>
      </w:r>
      <w:r w:rsidR="00970766" w:rsidRPr="00970766">
        <w:rPr>
          <w:rFonts w:ascii="Arial" w:eastAsia="Calibri" w:hAnsi="Arial" w:cs="Arial"/>
          <w:sz w:val="20"/>
          <w:szCs w:val="20"/>
          <w:lang w:val="en-GB"/>
        </w:rPr>
        <w:t xml:space="preserve">      Mois et année</w:t>
      </w:r>
      <w:r w:rsidRPr="00970766">
        <w:rPr>
          <w:rFonts w:ascii="Arial" w:eastAsia="Calibri" w:hAnsi="Arial" w:cs="Arial"/>
          <w:sz w:val="20"/>
          <w:szCs w:val="20"/>
          <w:lang w:val="en-GB"/>
        </w:rPr>
        <w:t xml:space="preserve"> d</w:t>
      </w:r>
      <w:r w:rsidR="00970766">
        <w:rPr>
          <w:rFonts w:ascii="Arial" w:eastAsia="Calibri" w:hAnsi="Arial" w:cs="Arial"/>
          <w:sz w:val="20"/>
          <w:szCs w:val="20"/>
          <w:lang w:val="en-GB"/>
        </w:rPr>
        <w:t>e naissance: I_I_I  I_I_I_I_I</w:t>
      </w:r>
    </w:p>
    <w:p w14:paraId="24BB64FF" w14:textId="77777777" w:rsidR="00AA7CC4" w:rsidRPr="00970766" w:rsidRDefault="00AA7CC4" w:rsidP="00AA7CC4">
      <w:pPr>
        <w:tabs>
          <w:tab w:val="left" w:pos="840"/>
          <w:tab w:val="left" w:pos="1740"/>
        </w:tabs>
        <w:jc w:val="both"/>
        <w:rPr>
          <w:b/>
          <w:bCs/>
          <w:sz w:val="20"/>
          <w:szCs w:val="20"/>
          <w:bdr w:val="nil"/>
          <w:lang w:val="en-GB"/>
        </w:rPr>
      </w:pPr>
    </w:p>
    <w:p w14:paraId="441E41B6" w14:textId="77777777" w:rsidR="00FC333E" w:rsidRDefault="00AA7CC4" w:rsidP="00AA7CC4">
      <w:pPr>
        <w:jc w:val="both"/>
        <w:rPr>
          <w:sz w:val="20"/>
          <w:szCs w:val="20"/>
          <w:bdr w:val="nil"/>
        </w:rPr>
      </w:pPr>
      <w:r w:rsidRPr="00970766">
        <w:rPr>
          <w:b/>
          <w:bCs/>
          <w:sz w:val="20"/>
          <w:szCs w:val="20"/>
          <w:bdr w:val="nil"/>
        </w:rPr>
        <w:t xml:space="preserve">SEXE : </w:t>
      </w:r>
      <w:r w:rsidRPr="00970766">
        <w:rPr>
          <w:b/>
          <w:bCs/>
          <w:sz w:val="20"/>
          <w:szCs w:val="20"/>
          <w:bdr w:val="nil"/>
        </w:rPr>
        <w:tab/>
        <w:t xml:space="preserve">   </w:t>
      </w:r>
      <w:r w:rsidR="008623DC" w:rsidRPr="00970766">
        <w:rPr>
          <w:rFonts w:ascii="Wingdings" w:eastAsia="Wingdings" w:hAnsi="Wingdings" w:cs="Wingdings"/>
          <w:sz w:val="17"/>
        </w:rPr>
        <w:t></w:t>
      </w:r>
      <w:r w:rsidRPr="00970766">
        <w:rPr>
          <w:rFonts w:cs="SimSun"/>
          <w:sz w:val="20"/>
          <w:szCs w:val="20"/>
          <w:bdr w:val="nil"/>
        </w:rPr>
        <w:t xml:space="preserve"> </w:t>
      </w:r>
      <w:r w:rsidRPr="00970766">
        <w:rPr>
          <w:sz w:val="20"/>
          <w:szCs w:val="20"/>
          <w:bdr w:val="nil"/>
        </w:rPr>
        <w:t xml:space="preserve">Masculin </w:t>
      </w:r>
      <w:r w:rsidRPr="00970766">
        <w:rPr>
          <w:sz w:val="20"/>
          <w:szCs w:val="20"/>
          <w:bdr w:val="nil"/>
        </w:rPr>
        <w:tab/>
        <w:t xml:space="preserve">  </w:t>
      </w:r>
      <w:r w:rsidR="008623DC" w:rsidRPr="00970766">
        <w:rPr>
          <w:rFonts w:ascii="Wingdings" w:eastAsia="Wingdings" w:hAnsi="Wingdings" w:cs="Wingdings"/>
          <w:sz w:val="17"/>
        </w:rPr>
        <w:t></w:t>
      </w:r>
      <w:r w:rsidRPr="00970766">
        <w:rPr>
          <w:sz w:val="20"/>
          <w:szCs w:val="20"/>
          <w:bdr w:val="nil"/>
        </w:rPr>
        <w:t xml:space="preserve"> Féminin                                                              </w:t>
      </w:r>
      <w:r w:rsidRPr="00970766">
        <w:rPr>
          <w:b/>
          <w:bCs/>
          <w:sz w:val="20"/>
          <w:szCs w:val="20"/>
          <w:bdr w:val="nil"/>
        </w:rPr>
        <w:t xml:space="preserve">POIDS : </w:t>
      </w:r>
      <w:r w:rsidRPr="00970766">
        <w:rPr>
          <w:sz w:val="20"/>
          <w:szCs w:val="20"/>
          <w:bdr w:val="nil"/>
        </w:rPr>
        <w:t>|</w:t>
      </w:r>
      <w:r w:rsidRPr="00970766">
        <w:rPr>
          <w:sz w:val="20"/>
          <w:szCs w:val="20"/>
          <w:u w:val="single"/>
          <w:bdr w:val="nil"/>
        </w:rPr>
        <w:t xml:space="preserve">  |  |  </w:t>
      </w:r>
      <w:r w:rsidRPr="00970766">
        <w:rPr>
          <w:sz w:val="20"/>
          <w:szCs w:val="20"/>
          <w:bdr w:val="nil"/>
        </w:rPr>
        <w:t xml:space="preserve">| kg </w:t>
      </w:r>
    </w:p>
    <w:p w14:paraId="57CBAA00" w14:textId="77777777" w:rsidR="00AA7CC4" w:rsidRPr="00970766" w:rsidRDefault="00AA7CC4" w:rsidP="00AA7CC4">
      <w:pPr>
        <w:jc w:val="both"/>
        <w:rPr>
          <w:sz w:val="20"/>
          <w:szCs w:val="20"/>
          <w:bdr w:val="nil"/>
        </w:rPr>
      </w:pPr>
      <w:r w:rsidRPr="00970766">
        <w:rPr>
          <w:sz w:val="20"/>
          <w:szCs w:val="20"/>
          <w:bdr w:val="nil"/>
        </w:rPr>
        <w:t xml:space="preserve">                                                       </w:t>
      </w:r>
    </w:p>
    <w:p w14:paraId="3B459565" w14:textId="77777777" w:rsidR="00AA7CC4" w:rsidRPr="00B91486" w:rsidRDefault="00AA7CC4" w:rsidP="00B91486">
      <w:pPr>
        <w:shd w:val="clear" w:color="auto" w:fill="DDD9C3"/>
        <w:tabs>
          <w:tab w:val="left" w:pos="9480"/>
        </w:tabs>
        <w:rPr>
          <w:b/>
          <w:bCs/>
          <w:sz w:val="24"/>
          <w:szCs w:val="24"/>
        </w:rPr>
      </w:pPr>
      <w:r w:rsidRPr="00970766">
        <w:rPr>
          <w:b/>
          <w:bCs/>
          <w:sz w:val="24"/>
          <w:szCs w:val="24"/>
          <w:bdr w:val="nil"/>
        </w:rPr>
        <w:t>ANTÉCÉDENTS MÉDICAUX</w:t>
      </w:r>
    </w:p>
    <w:p w14:paraId="778123E5" w14:textId="77777777" w:rsidR="00AA7CC4" w:rsidRPr="00970766" w:rsidRDefault="00AA7CC4" w:rsidP="00AA7CC4">
      <w:pPr>
        <w:jc w:val="both"/>
        <w:rPr>
          <w:sz w:val="20"/>
          <w:szCs w:val="20"/>
          <w:bdr w:val="nil"/>
        </w:rPr>
      </w:pPr>
      <w:r w:rsidRPr="00970766">
        <w:rPr>
          <w:b/>
          <w:bCs/>
          <w:sz w:val="20"/>
          <w:szCs w:val="20"/>
          <w:bdr w:val="nil"/>
        </w:rPr>
        <w:t xml:space="preserve">DATE du 1er diagnostic de la douleur neuropathique  :  </w:t>
      </w:r>
      <w:r w:rsidRPr="00970766">
        <w:rPr>
          <w:sz w:val="20"/>
          <w:szCs w:val="20"/>
          <w:bdr w:val="nil"/>
        </w:rPr>
        <w:t>(JJ/MM/AAAA) : |</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 |</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 xml:space="preserve">|    </w:t>
      </w:r>
    </w:p>
    <w:p w14:paraId="304B1116" w14:textId="77777777" w:rsidR="00AA7CC4" w:rsidRPr="00970766" w:rsidRDefault="00AA7CC4" w:rsidP="00AA7CC4">
      <w:pPr>
        <w:jc w:val="both"/>
        <w:rPr>
          <w:rFonts w:ascii="Arial" w:eastAsia="Calibri" w:hAnsi="Arial" w:cs="Arial"/>
          <w:sz w:val="20"/>
          <w:szCs w:val="20"/>
        </w:rPr>
      </w:pPr>
      <w:r w:rsidRPr="00970766">
        <w:rPr>
          <w:b/>
          <w:sz w:val="20"/>
          <w:szCs w:val="20"/>
          <w:bdr w:val="nil"/>
        </w:rPr>
        <w:t xml:space="preserve">AGE AU MOMENT DU DIAGNOSTIC : </w:t>
      </w:r>
      <w:r w:rsidRPr="00970766">
        <w:rPr>
          <w:rFonts w:ascii="Arial" w:eastAsia="Calibri" w:hAnsi="Arial" w:cs="Arial"/>
          <w:sz w:val="20"/>
          <w:szCs w:val="20"/>
        </w:rPr>
        <w:t xml:space="preserve">I_I_I  </w:t>
      </w:r>
    </w:p>
    <w:p w14:paraId="4ADB4D70" w14:textId="77777777" w:rsidR="00AA7CC4" w:rsidRPr="00970766" w:rsidRDefault="00AA7CC4" w:rsidP="00AA7CC4">
      <w:pPr>
        <w:jc w:val="both"/>
        <w:rPr>
          <w:b/>
          <w:sz w:val="20"/>
          <w:szCs w:val="20"/>
          <w:bdr w:val="nil"/>
        </w:rPr>
      </w:pPr>
      <w:r w:rsidRPr="00970766">
        <w:rPr>
          <w:b/>
          <w:sz w:val="20"/>
          <w:szCs w:val="20"/>
          <w:bdr w:val="nil"/>
        </w:rPr>
        <w:t>TRAITEMENTS ANTERIEURS de la douleur neuropathique</w:t>
      </w:r>
    </w:p>
    <w:p w14:paraId="5A36905C" w14:textId="77777777" w:rsidR="00AA7CC4" w:rsidRPr="00970766" w:rsidRDefault="00AA7CC4" w:rsidP="00AA7CC4">
      <w:pPr>
        <w:widowControl w:val="0"/>
        <w:numPr>
          <w:ilvl w:val="0"/>
          <w:numId w:val="16"/>
        </w:numPr>
        <w:tabs>
          <w:tab w:val="left" w:pos="820"/>
        </w:tabs>
        <w:spacing w:beforeLines="50" w:before="120" w:afterLines="50" w:after="120" w:line="240" w:lineRule="auto"/>
        <w:ind w:left="851"/>
        <w:jc w:val="both"/>
        <w:rPr>
          <w:sz w:val="20"/>
          <w:szCs w:val="20"/>
          <w:bdr w:val="nil"/>
        </w:rPr>
      </w:pPr>
      <w:r w:rsidRPr="00970766">
        <w:rPr>
          <w:sz w:val="20"/>
          <w:szCs w:val="20"/>
          <w:bdr w:val="nil"/>
        </w:rPr>
        <w:t>nom du médicament 1: ………...</w:t>
      </w:r>
    </w:p>
    <w:p w14:paraId="7A4D0EFB" w14:textId="77777777" w:rsidR="00AA7CC4" w:rsidRPr="00970766" w:rsidRDefault="00AA7CC4" w:rsidP="00AA7CC4">
      <w:pPr>
        <w:widowControl w:val="0"/>
        <w:numPr>
          <w:ilvl w:val="0"/>
          <w:numId w:val="16"/>
        </w:numPr>
        <w:tabs>
          <w:tab w:val="left" w:pos="820"/>
        </w:tabs>
        <w:spacing w:beforeLines="50" w:before="120" w:afterLines="50" w:after="120" w:line="240" w:lineRule="auto"/>
        <w:ind w:left="851"/>
        <w:jc w:val="both"/>
        <w:rPr>
          <w:sz w:val="20"/>
          <w:szCs w:val="20"/>
          <w:bdr w:val="nil"/>
        </w:rPr>
      </w:pPr>
      <w:r w:rsidRPr="00970766">
        <w:rPr>
          <w:sz w:val="20"/>
          <w:szCs w:val="20"/>
          <w:bdr w:val="nil"/>
        </w:rPr>
        <w:t xml:space="preserve">cadre de délivrance :    </w:t>
      </w:r>
      <w:r w:rsidRPr="00970766">
        <w:rPr>
          <w:rFonts w:ascii="Wingdings" w:eastAsia="Wingdings" w:hAnsi="Wingdings" w:cs="Wingdings"/>
          <w:sz w:val="20"/>
          <w:szCs w:val="20"/>
          <w:bdr w:val="nil"/>
        </w:rPr>
        <w:t></w:t>
      </w:r>
      <w:r w:rsidRPr="00970766">
        <w:rPr>
          <w:sz w:val="20"/>
          <w:szCs w:val="20"/>
          <w:bdr w:val="nil"/>
        </w:rPr>
        <w:t xml:space="preserve">AMM       </w:t>
      </w:r>
      <w:r w:rsidRPr="00970766">
        <w:rPr>
          <w:rFonts w:ascii="Wingdings" w:eastAsia="Wingdings" w:hAnsi="Wingdings" w:cs="Wingdings"/>
          <w:sz w:val="20"/>
          <w:szCs w:val="20"/>
          <w:bdr w:val="nil"/>
        </w:rPr>
        <w:t></w:t>
      </w:r>
      <w:r w:rsidRPr="00970766">
        <w:rPr>
          <w:sz w:val="20"/>
          <w:szCs w:val="20"/>
          <w:bdr w:val="nil"/>
        </w:rPr>
        <w:t xml:space="preserve"> ATUn/AAC    </w:t>
      </w:r>
      <w:r w:rsidRPr="00970766">
        <w:rPr>
          <w:rFonts w:ascii="Wingdings" w:eastAsia="Wingdings" w:hAnsi="Wingdings" w:cs="Wingdings"/>
          <w:sz w:val="20"/>
          <w:szCs w:val="20"/>
          <w:bdr w:val="nil"/>
        </w:rPr>
        <w:t></w:t>
      </w:r>
      <w:r w:rsidRPr="00970766">
        <w:rPr>
          <w:sz w:val="20"/>
          <w:szCs w:val="20"/>
          <w:bdr w:val="nil"/>
        </w:rPr>
        <w:t xml:space="preserve"> essai clinique         </w:t>
      </w:r>
      <w:r w:rsidRPr="00970766">
        <w:rPr>
          <w:rFonts w:ascii="Wingdings" w:eastAsia="Wingdings" w:hAnsi="Wingdings" w:cs="Wingdings"/>
          <w:sz w:val="20"/>
          <w:szCs w:val="20"/>
          <w:bdr w:val="nil"/>
        </w:rPr>
        <w:t></w:t>
      </w:r>
      <w:r w:rsidRPr="00970766">
        <w:rPr>
          <w:sz w:val="20"/>
          <w:szCs w:val="20"/>
          <w:bdr w:val="nil"/>
        </w:rPr>
        <w:t xml:space="preserve"> autre….. </w:t>
      </w:r>
    </w:p>
    <w:p w14:paraId="56180055" w14:textId="77777777" w:rsidR="005A0E6A" w:rsidRDefault="00AA7CC4" w:rsidP="005A0E6A">
      <w:pPr>
        <w:widowControl w:val="0"/>
        <w:numPr>
          <w:ilvl w:val="0"/>
          <w:numId w:val="16"/>
        </w:numPr>
        <w:tabs>
          <w:tab w:val="left" w:pos="820"/>
        </w:tabs>
        <w:spacing w:beforeLines="50" w:before="120" w:afterLines="50" w:after="120" w:line="240" w:lineRule="auto"/>
        <w:ind w:left="851"/>
        <w:jc w:val="both"/>
        <w:rPr>
          <w:sz w:val="20"/>
          <w:szCs w:val="20"/>
          <w:bdr w:val="nil"/>
        </w:rPr>
      </w:pPr>
      <w:r w:rsidRPr="00970766">
        <w:rPr>
          <w:sz w:val="20"/>
          <w:szCs w:val="20"/>
          <w:bdr w:val="nil"/>
        </w:rPr>
        <w:t>date de la 1ere administration (JJ/MM/AAAA) : |</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 |</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 xml:space="preserve">|    </w:t>
      </w:r>
    </w:p>
    <w:p w14:paraId="56953AEC" w14:textId="29D2E1A5" w:rsidR="005A0E6A" w:rsidRPr="005A0E6A" w:rsidRDefault="005A0E6A" w:rsidP="005A0E6A">
      <w:pPr>
        <w:widowControl w:val="0"/>
        <w:numPr>
          <w:ilvl w:val="0"/>
          <w:numId w:val="16"/>
        </w:numPr>
        <w:tabs>
          <w:tab w:val="left" w:pos="820"/>
        </w:tabs>
        <w:spacing w:beforeLines="50" w:before="120" w:afterLines="50" w:after="120" w:line="240" w:lineRule="auto"/>
        <w:ind w:left="851"/>
        <w:jc w:val="both"/>
        <w:rPr>
          <w:sz w:val="20"/>
          <w:szCs w:val="20"/>
          <w:bdr w:val="nil"/>
        </w:rPr>
      </w:pPr>
      <w:r w:rsidRPr="005A0E6A">
        <w:rPr>
          <w:sz w:val="20"/>
          <w:szCs w:val="20"/>
          <w:bdr w:val="nil"/>
        </w:rPr>
        <w:t xml:space="preserve">date </w:t>
      </w:r>
      <w:r>
        <w:rPr>
          <w:sz w:val="20"/>
          <w:szCs w:val="20"/>
          <w:bdr w:val="nil"/>
        </w:rPr>
        <w:t>d’arrêt du traitement</w:t>
      </w:r>
      <w:r w:rsidRPr="005A0E6A">
        <w:rPr>
          <w:sz w:val="20"/>
          <w:szCs w:val="20"/>
          <w:bdr w:val="nil"/>
        </w:rPr>
        <w:t xml:space="preserve"> (JJ/MM/AAAA) :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 |</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 xml:space="preserve">|    </w:t>
      </w:r>
    </w:p>
    <w:p w14:paraId="5B9A0F06" w14:textId="77777777" w:rsidR="00AA7CC4" w:rsidRPr="00970766" w:rsidRDefault="00AA7CC4" w:rsidP="00AA7CC4">
      <w:pPr>
        <w:widowControl w:val="0"/>
        <w:numPr>
          <w:ilvl w:val="0"/>
          <w:numId w:val="16"/>
        </w:numPr>
        <w:tabs>
          <w:tab w:val="left" w:pos="820"/>
        </w:tabs>
        <w:spacing w:beforeLines="50" w:before="120" w:afterLines="50" w:after="120" w:line="240" w:lineRule="auto"/>
        <w:ind w:left="851"/>
        <w:jc w:val="both"/>
        <w:rPr>
          <w:sz w:val="20"/>
          <w:szCs w:val="20"/>
          <w:bdr w:val="nil"/>
        </w:rPr>
      </w:pPr>
      <w:r w:rsidRPr="00970766">
        <w:rPr>
          <w:sz w:val="20"/>
          <w:szCs w:val="20"/>
          <w:bdr w:val="nil"/>
        </w:rPr>
        <w:t xml:space="preserve">motif de l’arrêt : </w:t>
      </w:r>
      <w:r w:rsidRPr="00970766">
        <w:rPr>
          <w:rFonts w:ascii="Wingdings" w:eastAsia="Wingdings" w:hAnsi="Wingdings" w:cs="Wingdings"/>
          <w:sz w:val="20"/>
          <w:szCs w:val="20"/>
          <w:bdr w:val="nil"/>
        </w:rPr>
        <w:t></w:t>
      </w:r>
      <w:r w:rsidRPr="00970766">
        <w:rPr>
          <w:sz w:val="20"/>
          <w:szCs w:val="20"/>
          <w:bdr w:val="nil"/>
        </w:rPr>
        <w:t xml:space="preserve"> inefficacité/détérioration clinique       </w:t>
      </w:r>
      <w:r w:rsidRPr="00970766">
        <w:rPr>
          <w:rFonts w:ascii="Wingdings" w:eastAsia="Wingdings" w:hAnsi="Wingdings" w:cs="Wingdings"/>
          <w:sz w:val="20"/>
          <w:szCs w:val="20"/>
          <w:bdr w:val="nil"/>
        </w:rPr>
        <w:t></w:t>
      </w:r>
      <w:r w:rsidRPr="00970766">
        <w:rPr>
          <w:sz w:val="20"/>
          <w:szCs w:val="20"/>
          <w:bdr w:val="nil"/>
        </w:rPr>
        <w:t xml:space="preserve"> intolérance        </w:t>
      </w:r>
      <w:r w:rsidRPr="00970766">
        <w:rPr>
          <w:rFonts w:ascii="Wingdings" w:eastAsia="Wingdings" w:hAnsi="Wingdings" w:cs="Wingdings"/>
          <w:sz w:val="20"/>
          <w:szCs w:val="20"/>
          <w:bdr w:val="nil"/>
        </w:rPr>
        <w:t></w:t>
      </w:r>
      <w:r w:rsidRPr="00970766">
        <w:rPr>
          <w:sz w:val="20"/>
          <w:szCs w:val="20"/>
          <w:bdr w:val="nil"/>
        </w:rPr>
        <w:t xml:space="preserve"> autre(s)….   </w:t>
      </w:r>
    </w:p>
    <w:p w14:paraId="403F3F02" w14:textId="77777777" w:rsidR="00AA7CC4" w:rsidRPr="00970766" w:rsidRDefault="00AA7CC4" w:rsidP="00AA7CC4">
      <w:pPr>
        <w:tabs>
          <w:tab w:val="left" w:pos="820"/>
          <w:tab w:val="left" w:pos="1820"/>
        </w:tabs>
        <w:spacing w:beforeLines="50" w:before="120" w:afterLines="50" w:after="120"/>
        <w:jc w:val="both"/>
        <w:rPr>
          <w:sz w:val="20"/>
          <w:szCs w:val="20"/>
          <w:bdr w:val="nil"/>
        </w:rPr>
      </w:pPr>
      <w:r w:rsidRPr="00970766">
        <w:rPr>
          <w:sz w:val="20"/>
          <w:szCs w:val="20"/>
          <w:bdr w:val="nil"/>
        </w:rPr>
        <w:tab/>
      </w:r>
    </w:p>
    <w:p w14:paraId="556103CC" w14:textId="77777777" w:rsidR="00AA7CC4" w:rsidRPr="00970766" w:rsidRDefault="00AA7CC4" w:rsidP="00AA7CC4">
      <w:pPr>
        <w:widowControl w:val="0"/>
        <w:numPr>
          <w:ilvl w:val="0"/>
          <w:numId w:val="16"/>
        </w:numPr>
        <w:tabs>
          <w:tab w:val="left" w:pos="820"/>
        </w:tabs>
        <w:spacing w:beforeLines="50" w:before="120" w:afterLines="50" w:after="120" w:line="240" w:lineRule="auto"/>
        <w:ind w:left="851"/>
        <w:jc w:val="both"/>
        <w:rPr>
          <w:sz w:val="20"/>
          <w:szCs w:val="20"/>
          <w:bdr w:val="nil"/>
        </w:rPr>
      </w:pPr>
      <w:r w:rsidRPr="00970766">
        <w:rPr>
          <w:sz w:val="20"/>
          <w:szCs w:val="20"/>
          <w:bdr w:val="nil"/>
        </w:rPr>
        <w:t>nom du médicament 2 : ………...</w:t>
      </w:r>
    </w:p>
    <w:p w14:paraId="05DB7B4F" w14:textId="77777777" w:rsidR="00AA7CC4" w:rsidRPr="00970766" w:rsidRDefault="00AA7CC4" w:rsidP="00AA7CC4">
      <w:pPr>
        <w:widowControl w:val="0"/>
        <w:numPr>
          <w:ilvl w:val="0"/>
          <w:numId w:val="16"/>
        </w:numPr>
        <w:tabs>
          <w:tab w:val="left" w:pos="820"/>
        </w:tabs>
        <w:spacing w:beforeLines="50" w:before="120" w:afterLines="50" w:after="120" w:line="240" w:lineRule="auto"/>
        <w:ind w:left="851"/>
        <w:jc w:val="both"/>
        <w:rPr>
          <w:sz w:val="20"/>
          <w:szCs w:val="20"/>
          <w:bdr w:val="nil"/>
        </w:rPr>
      </w:pPr>
      <w:r w:rsidRPr="00970766">
        <w:rPr>
          <w:sz w:val="20"/>
          <w:szCs w:val="20"/>
          <w:bdr w:val="nil"/>
        </w:rPr>
        <w:t xml:space="preserve">cadre de délivrance :    </w:t>
      </w:r>
      <w:r w:rsidRPr="00970766">
        <w:rPr>
          <w:rFonts w:ascii="Wingdings" w:eastAsia="Wingdings" w:hAnsi="Wingdings" w:cs="Wingdings"/>
          <w:sz w:val="20"/>
          <w:szCs w:val="20"/>
          <w:bdr w:val="nil"/>
        </w:rPr>
        <w:t></w:t>
      </w:r>
      <w:r w:rsidRPr="00970766">
        <w:rPr>
          <w:sz w:val="20"/>
          <w:szCs w:val="20"/>
          <w:bdr w:val="nil"/>
        </w:rPr>
        <w:t xml:space="preserve">AMM       </w:t>
      </w:r>
      <w:r w:rsidRPr="00970766">
        <w:rPr>
          <w:rFonts w:ascii="Wingdings" w:eastAsia="Wingdings" w:hAnsi="Wingdings" w:cs="Wingdings"/>
          <w:sz w:val="20"/>
          <w:szCs w:val="20"/>
          <w:bdr w:val="nil"/>
        </w:rPr>
        <w:t></w:t>
      </w:r>
      <w:r w:rsidRPr="00970766">
        <w:rPr>
          <w:sz w:val="20"/>
          <w:szCs w:val="20"/>
          <w:bdr w:val="nil"/>
        </w:rPr>
        <w:t xml:space="preserve"> ATUn/AAC    </w:t>
      </w:r>
      <w:r w:rsidRPr="00970766">
        <w:rPr>
          <w:rFonts w:ascii="Wingdings" w:eastAsia="Wingdings" w:hAnsi="Wingdings" w:cs="Wingdings"/>
          <w:sz w:val="20"/>
          <w:szCs w:val="20"/>
          <w:bdr w:val="nil"/>
        </w:rPr>
        <w:t></w:t>
      </w:r>
      <w:r w:rsidRPr="00970766">
        <w:rPr>
          <w:sz w:val="20"/>
          <w:szCs w:val="20"/>
          <w:bdr w:val="nil"/>
        </w:rPr>
        <w:t xml:space="preserve"> essai clinique         </w:t>
      </w:r>
      <w:r w:rsidRPr="00970766">
        <w:rPr>
          <w:rFonts w:ascii="Wingdings" w:eastAsia="Wingdings" w:hAnsi="Wingdings" w:cs="Wingdings"/>
          <w:sz w:val="20"/>
          <w:szCs w:val="20"/>
          <w:bdr w:val="nil"/>
        </w:rPr>
        <w:t></w:t>
      </w:r>
      <w:r w:rsidRPr="00970766">
        <w:rPr>
          <w:sz w:val="20"/>
          <w:szCs w:val="20"/>
          <w:bdr w:val="nil"/>
        </w:rPr>
        <w:t xml:space="preserve"> autre : …..</w:t>
      </w:r>
    </w:p>
    <w:p w14:paraId="50164324" w14:textId="77777777" w:rsidR="00AA7CC4" w:rsidRDefault="00AA7CC4" w:rsidP="00AA7CC4">
      <w:pPr>
        <w:widowControl w:val="0"/>
        <w:numPr>
          <w:ilvl w:val="0"/>
          <w:numId w:val="16"/>
        </w:numPr>
        <w:tabs>
          <w:tab w:val="left" w:pos="820"/>
        </w:tabs>
        <w:spacing w:beforeLines="50" w:before="120" w:afterLines="50" w:after="120" w:line="240" w:lineRule="auto"/>
        <w:ind w:left="851"/>
        <w:jc w:val="both"/>
        <w:rPr>
          <w:sz w:val="20"/>
          <w:szCs w:val="20"/>
          <w:bdr w:val="nil"/>
        </w:rPr>
      </w:pPr>
      <w:r w:rsidRPr="00970766">
        <w:rPr>
          <w:sz w:val="20"/>
          <w:szCs w:val="20"/>
          <w:bdr w:val="nil"/>
        </w:rPr>
        <w:t>date de la 1ere administration (JJ/MM/AAAA) : |</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 |</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 xml:space="preserve">|    </w:t>
      </w:r>
    </w:p>
    <w:p w14:paraId="4BA84978" w14:textId="6C665842" w:rsidR="005A0E6A" w:rsidRPr="005A0E6A" w:rsidRDefault="005A0E6A" w:rsidP="005A0E6A">
      <w:pPr>
        <w:widowControl w:val="0"/>
        <w:numPr>
          <w:ilvl w:val="0"/>
          <w:numId w:val="16"/>
        </w:numPr>
        <w:tabs>
          <w:tab w:val="left" w:pos="820"/>
        </w:tabs>
        <w:spacing w:beforeLines="50" w:before="120" w:afterLines="50" w:after="120" w:line="240" w:lineRule="auto"/>
        <w:ind w:left="851"/>
        <w:jc w:val="both"/>
        <w:rPr>
          <w:sz w:val="20"/>
          <w:szCs w:val="20"/>
          <w:bdr w:val="nil"/>
        </w:rPr>
      </w:pPr>
      <w:r w:rsidRPr="005A0E6A">
        <w:rPr>
          <w:sz w:val="20"/>
          <w:szCs w:val="20"/>
          <w:bdr w:val="nil"/>
        </w:rPr>
        <w:t xml:space="preserve">date </w:t>
      </w:r>
      <w:r>
        <w:rPr>
          <w:sz w:val="20"/>
          <w:szCs w:val="20"/>
          <w:bdr w:val="nil"/>
        </w:rPr>
        <w:t>d’arrêt du traitement</w:t>
      </w:r>
      <w:r w:rsidRPr="005A0E6A">
        <w:rPr>
          <w:sz w:val="20"/>
          <w:szCs w:val="20"/>
          <w:bdr w:val="nil"/>
        </w:rPr>
        <w:t xml:space="preserve"> (JJ/MM/AAAA) :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 |</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 xml:space="preserve">|    </w:t>
      </w:r>
    </w:p>
    <w:p w14:paraId="011A93D3" w14:textId="77777777" w:rsidR="00AA7CC4" w:rsidRPr="00970766" w:rsidRDefault="00AA7CC4" w:rsidP="00AA7CC4">
      <w:pPr>
        <w:widowControl w:val="0"/>
        <w:numPr>
          <w:ilvl w:val="0"/>
          <w:numId w:val="16"/>
        </w:numPr>
        <w:tabs>
          <w:tab w:val="left" w:pos="820"/>
        </w:tabs>
        <w:spacing w:beforeLines="50" w:before="120" w:afterLines="50" w:after="120" w:line="240" w:lineRule="auto"/>
        <w:ind w:left="851"/>
        <w:jc w:val="both"/>
        <w:rPr>
          <w:sz w:val="20"/>
          <w:szCs w:val="20"/>
          <w:bdr w:val="nil"/>
        </w:rPr>
      </w:pPr>
      <w:r w:rsidRPr="00970766">
        <w:rPr>
          <w:sz w:val="20"/>
          <w:szCs w:val="20"/>
          <w:bdr w:val="nil"/>
        </w:rPr>
        <w:t xml:space="preserve">motif de l’arrêt : </w:t>
      </w:r>
      <w:r w:rsidRPr="00970766">
        <w:rPr>
          <w:rFonts w:ascii="Wingdings" w:eastAsia="Wingdings" w:hAnsi="Wingdings" w:cs="Wingdings"/>
          <w:sz w:val="20"/>
          <w:szCs w:val="20"/>
          <w:bdr w:val="nil"/>
        </w:rPr>
        <w:t></w:t>
      </w:r>
      <w:r w:rsidRPr="00970766">
        <w:rPr>
          <w:sz w:val="20"/>
          <w:szCs w:val="20"/>
          <w:bdr w:val="nil"/>
        </w:rPr>
        <w:t xml:space="preserve"> inefficacité/détérioration clinique       </w:t>
      </w:r>
      <w:r w:rsidRPr="00970766">
        <w:rPr>
          <w:rFonts w:ascii="Wingdings" w:eastAsia="Wingdings" w:hAnsi="Wingdings" w:cs="Wingdings"/>
          <w:sz w:val="20"/>
          <w:szCs w:val="20"/>
          <w:bdr w:val="nil"/>
        </w:rPr>
        <w:t></w:t>
      </w:r>
      <w:r w:rsidRPr="00970766">
        <w:rPr>
          <w:sz w:val="20"/>
          <w:szCs w:val="20"/>
          <w:bdr w:val="nil"/>
        </w:rPr>
        <w:t xml:space="preserve"> intolérance        </w:t>
      </w:r>
      <w:r w:rsidRPr="00970766">
        <w:rPr>
          <w:rFonts w:ascii="Wingdings" w:eastAsia="Wingdings" w:hAnsi="Wingdings" w:cs="Wingdings"/>
          <w:sz w:val="20"/>
          <w:szCs w:val="20"/>
          <w:bdr w:val="nil"/>
        </w:rPr>
        <w:t></w:t>
      </w:r>
      <w:r w:rsidRPr="00970766">
        <w:rPr>
          <w:sz w:val="20"/>
          <w:szCs w:val="20"/>
          <w:bdr w:val="nil"/>
        </w:rPr>
        <w:t xml:space="preserve"> autre :…….  </w:t>
      </w:r>
    </w:p>
    <w:p w14:paraId="73A5ADA9" w14:textId="77777777" w:rsidR="00AA7CC4" w:rsidRPr="00970766" w:rsidRDefault="00AA7CC4" w:rsidP="00AA7CC4">
      <w:pPr>
        <w:rPr>
          <w:sz w:val="20"/>
          <w:szCs w:val="20"/>
          <w:bdr w:val="nil"/>
        </w:rPr>
      </w:pPr>
    </w:p>
    <w:p w14:paraId="36042C73" w14:textId="77777777" w:rsidR="00AA7CC4" w:rsidRPr="00970766" w:rsidRDefault="00AA7CC4" w:rsidP="00AA7CC4">
      <w:pPr>
        <w:widowControl w:val="0"/>
        <w:numPr>
          <w:ilvl w:val="0"/>
          <w:numId w:val="16"/>
        </w:numPr>
        <w:tabs>
          <w:tab w:val="left" w:pos="820"/>
        </w:tabs>
        <w:spacing w:beforeLines="50" w:before="120" w:afterLines="50" w:after="120" w:line="240" w:lineRule="auto"/>
        <w:ind w:left="851"/>
        <w:jc w:val="both"/>
        <w:rPr>
          <w:sz w:val="20"/>
          <w:szCs w:val="20"/>
          <w:bdr w:val="nil"/>
        </w:rPr>
      </w:pPr>
      <w:r w:rsidRPr="00970766">
        <w:rPr>
          <w:sz w:val="20"/>
          <w:szCs w:val="20"/>
          <w:bdr w:val="nil"/>
        </w:rPr>
        <w:t>nom du médicament 3 : ………...</w:t>
      </w:r>
    </w:p>
    <w:p w14:paraId="592A0720" w14:textId="77777777" w:rsidR="00AA7CC4" w:rsidRPr="00970766" w:rsidRDefault="00AA7CC4" w:rsidP="00AA7CC4">
      <w:pPr>
        <w:widowControl w:val="0"/>
        <w:numPr>
          <w:ilvl w:val="0"/>
          <w:numId w:val="16"/>
        </w:numPr>
        <w:tabs>
          <w:tab w:val="left" w:pos="820"/>
        </w:tabs>
        <w:spacing w:beforeLines="50" w:before="120" w:afterLines="50" w:after="120" w:line="240" w:lineRule="auto"/>
        <w:ind w:left="851"/>
        <w:jc w:val="both"/>
        <w:rPr>
          <w:sz w:val="20"/>
          <w:szCs w:val="20"/>
          <w:bdr w:val="nil"/>
        </w:rPr>
      </w:pPr>
      <w:r w:rsidRPr="00970766">
        <w:rPr>
          <w:sz w:val="20"/>
          <w:szCs w:val="20"/>
          <w:bdr w:val="nil"/>
        </w:rPr>
        <w:t xml:space="preserve">cadre de délivrance :    </w:t>
      </w:r>
      <w:r w:rsidRPr="00970766">
        <w:rPr>
          <w:rFonts w:ascii="Wingdings" w:eastAsia="Wingdings" w:hAnsi="Wingdings" w:cs="Wingdings"/>
          <w:sz w:val="20"/>
          <w:szCs w:val="20"/>
          <w:bdr w:val="nil"/>
        </w:rPr>
        <w:t></w:t>
      </w:r>
      <w:r w:rsidRPr="00970766">
        <w:rPr>
          <w:sz w:val="20"/>
          <w:szCs w:val="20"/>
          <w:bdr w:val="nil"/>
        </w:rPr>
        <w:t xml:space="preserve">AMM       </w:t>
      </w:r>
      <w:r w:rsidRPr="00970766">
        <w:rPr>
          <w:rFonts w:ascii="Wingdings" w:eastAsia="Wingdings" w:hAnsi="Wingdings" w:cs="Wingdings"/>
          <w:sz w:val="20"/>
          <w:szCs w:val="20"/>
          <w:bdr w:val="nil"/>
        </w:rPr>
        <w:t></w:t>
      </w:r>
      <w:r w:rsidRPr="00970766">
        <w:rPr>
          <w:sz w:val="20"/>
          <w:szCs w:val="20"/>
          <w:bdr w:val="nil"/>
        </w:rPr>
        <w:t xml:space="preserve"> ATUn/AAC    </w:t>
      </w:r>
      <w:r w:rsidRPr="00970766">
        <w:rPr>
          <w:rFonts w:ascii="Wingdings" w:eastAsia="Wingdings" w:hAnsi="Wingdings" w:cs="Wingdings"/>
          <w:sz w:val="20"/>
          <w:szCs w:val="20"/>
          <w:bdr w:val="nil"/>
        </w:rPr>
        <w:t></w:t>
      </w:r>
      <w:r w:rsidRPr="00970766">
        <w:rPr>
          <w:sz w:val="20"/>
          <w:szCs w:val="20"/>
          <w:bdr w:val="nil"/>
        </w:rPr>
        <w:t xml:space="preserve"> essai clinique         </w:t>
      </w:r>
      <w:r w:rsidRPr="00970766">
        <w:rPr>
          <w:rFonts w:ascii="Wingdings" w:eastAsia="Wingdings" w:hAnsi="Wingdings" w:cs="Wingdings"/>
          <w:sz w:val="20"/>
          <w:szCs w:val="20"/>
          <w:bdr w:val="nil"/>
        </w:rPr>
        <w:t></w:t>
      </w:r>
      <w:r w:rsidRPr="00970766">
        <w:rPr>
          <w:sz w:val="20"/>
          <w:szCs w:val="20"/>
          <w:bdr w:val="nil"/>
        </w:rPr>
        <w:t xml:space="preserve"> autre : …..</w:t>
      </w:r>
    </w:p>
    <w:p w14:paraId="3C603E2D" w14:textId="77777777" w:rsidR="00AA7CC4" w:rsidRDefault="00AA7CC4" w:rsidP="00AA7CC4">
      <w:pPr>
        <w:widowControl w:val="0"/>
        <w:numPr>
          <w:ilvl w:val="0"/>
          <w:numId w:val="16"/>
        </w:numPr>
        <w:tabs>
          <w:tab w:val="left" w:pos="820"/>
        </w:tabs>
        <w:spacing w:beforeLines="50" w:before="120" w:afterLines="50" w:after="120" w:line="240" w:lineRule="auto"/>
        <w:ind w:left="851"/>
        <w:jc w:val="both"/>
        <w:rPr>
          <w:sz w:val="20"/>
          <w:szCs w:val="20"/>
          <w:bdr w:val="nil"/>
        </w:rPr>
      </w:pPr>
      <w:r w:rsidRPr="00970766">
        <w:rPr>
          <w:sz w:val="20"/>
          <w:szCs w:val="20"/>
          <w:bdr w:val="nil"/>
        </w:rPr>
        <w:t>date de la 1ere administration (JJ/MM/AAAA) : |</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 |</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 xml:space="preserve">|    </w:t>
      </w:r>
    </w:p>
    <w:p w14:paraId="2D54BFB5" w14:textId="46A8808E" w:rsidR="005A0E6A" w:rsidRPr="005A0E6A" w:rsidRDefault="005A0E6A" w:rsidP="005A0E6A">
      <w:pPr>
        <w:widowControl w:val="0"/>
        <w:numPr>
          <w:ilvl w:val="0"/>
          <w:numId w:val="16"/>
        </w:numPr>
        <w:tabs>
          <w:tab w:val="left" w:pos="820"/>
        </w:tabs>
        <w:spacing w:beforeLines="50" w:before="120" w:afterLines="50" w:after="120" w:line="240" w:lineRule="auto"/>
        <w:ind w:left="851"/>
        <w:jc w:val="both"/>
        <w:rPr>
          <w:sz w:val="20"/>
          <w:szCs w:val="20"/>
          <w:bdr w:val="nil"/>
        </w:rPr>
      </w:pPr>
      <w:r w:rsidRPr="005A0E6A">
        <w:rPr>
          <w:sz w:val="20"/>
          <w:szCs w:val="20"/>
          <w:bdr w:val="nil"/>
        </w:rPr>
        <w:t xml:space="preserve">date </w:t>
      </w:r>
      <w:r>
        <w:rPr>
          <w:sz w:val="20"/>
          <w:szCs w:val="20"/>
          <w:bdr w:val="nil"/>
        </w:rPr>
        <w:t>d’arrêt du traitement</w:t>
      </w:r>
      <w:r w:rsidRPr="005A0E6A">
        <w:rPr>
          <w:sz w:val="20"/>
          <w:szCs w:val="20"/>
          <w:bdr w:val="nil"/>
        </w:rPr>
        <w:t xml:space="preserve"> (JJ/MM/AAAA) :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 |</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 xml:space="preserve">|    </w:t>
      </w:r>
    </w:p>
    <w:p w14:paraId="533E1F3C" w14:textId="77777777" w:rsidR="00AA7CC4" w:rsidRPr="00970766" w:rsidRDefault="00AA7CC4" w:rsidP="00AA7CC4">
      <w:pPr>
        <w:widowControl w:val="0"/>
        <w:numPr>
          <w:ilvl w:val="0"/>
          <w:numId w:val="16"/>
        </w:numPr>
        <w:tabs>
          <w:tab w:val="left" w:pos="820"/>
        </w:tabs>
        <w:spacing w:beforeLines="50" w:before="120" w:afterLines="50" w:after="120" w:line="240" w:lineRule="auto"/>
        <w:ind w:left="851"/>
        <w:jc w:val="both"/>
        <w:rPr>
          <w:sz w:val="20"/>
          <w:szCs w:val="20"/>
          <w:bdr w:val="nil"/>
        </w:rPr>
      </w:pPr>
      <w:r w:rsidRPr="00970766">
        <w:rPr>
          <w:sz w:val="20"/>
          <w:szCs w:val="20"/>
          <w:bdr w:val="nil"/>
        </w:rPr>
        <w:t xml:space="preserve">motif de l’arrêt : </w:t>
      </w:r>
      <w:r w:rsidRPr="00970766">
        <w:rPr>
          <w:rFonts w:ascii="Wingdings" w:eastAsia="Wingdings" w:hAnsi="Wingdings" w:cs="Wingdings"/>
          <w:sz w:val="20"/>
          <w:szCs w:val="20"/>
          <w:bdr w:val="nil"/>
        </w:rPr>
        <w:t></w:t>
      </w:r>
      <w:r w:rsidRPr="00970766">
        <w:rPr>
          <w:sz w:val="20"/>
          <w:szCs w:val="20"/>
          <w:bdr w:val="nil"/>
        </w:rPr>
        <w:t xml:space="preserve"> inefficacité/détérioration clinique       </w:t>
      </w:r>
      <w:r w:rsidRPr="00970766">
        <w:rPr>
          <w:rFonts w:ascii="Wingdings" w:eastAsia="Wingdings" w:hAnsi="Wingdings" w:cs="Wingdings"/>
          <w:sz w:val="20"/>
          <w:szCs w:val="20"/>
          <w:bdr w:val="nil"/>
        </w:rPr>
        <w:t></w:t>
      </w:r>
      <w:r w:rsidRPr="00970766">
        <w:rPr>
          <w:sz w:val="20"/>
          <w:szCs w:val="20"/>
          <w:bdr w:val="nil"/>
        </w:rPr>
        <w:t xml:space="preserve"> intolérance        </w:t>
      </w:r>
      <w:r w:rsidRPr="00970766">
        <w:rPr>
          <w:rFonts w:ascii="Wingdings" w:eastAsia="Wingdings" w:hAnsi="Wingdings" w:cs="Wingdings"/>
          <w:sz w:val="20"/>
          <w:szCs w:val="20"/>
          <w:bdr w:val="nil"/>
        </w:rPr>
        <w:t></w:t>
      </w:r>
      <w:r w:rsidRPr="00970766">
        <w:rPr>
          <w:sz w:val="20"/>
          <w:szCs w:val="20"/>
          <w:bdr w:val="nil"/>
        </w:rPr>
        <w:t xml:space="preserve"> autre :…….  </w:t>
      </w:r>
    </w:p>
    <w:p w14:paraId="1141274D" w14:textId="77777777" w:rsidR="00AA7CC4" w:rsidRPr="00970766" w:rsidRDefault="00AA7CC4" w:rsidP="00AA7CC4">
      <w:pPr>
        <w:rPr>
          <w:sz w:val="20"/>
          <w:szCs w:val="20"/>
          <w:bdr w:val="nil"/>
        </w:rPr>
      </w:pPr>
    </w:p>
    <w:p w14:paraId="0B8D7B09" w14:textId="77777777" w:rsidR="00AA7CC4" w:rsidRPr="00970766" w:rsidRDefault="00AA7CC4" w:rsidP="00AA7CC4">
      <w:pPr>
        <w:widowControl w:val="0"/>
        <w:numPr>
          <w:ilvl w:val="0"/>
          <w:numId w:val="16"/>
        </w:numPr>
        <w:tabs>
          <w:tab w:val="left" w:pos="820"/>
        </w:tabs>
        <w:spacing w:beforeLines="50" w:before="120" w:afterLines="50" w:after="120" w:line="240" w:lineRule="auto"/>
        <w:ind w:left="851"/>
        <w:jc w:val="both"/>
        <w:rPr>
          <w:sz w:val="20"/>
          <w:szCs w:val="20"/>
          <w:bdr w:val="nil"/>
        </w:rPr>
      </w:pPr>
      <w:r w:rsidRPr="00970766">
        <w:rPr>
          <w:sz w:val="20"/>
          <w:szCs w:val="20"/>
          <w:bdr w:val="nil"/>
        </w:rPr>
        <w:t>nom du médicament 4 : ………...</w:t>
      </w:r>
    </w:p>
    <w:p w14:paraId="4DB5B560" w14:textId="77777777" w:rsidR="00AA7CC4" w:rsidRPr="00970766" w:rsidRDefault="00AA7CC4" w:rsidP="00AA7CC4">
      <w:pPr>
        <w:widowControl w:val="0"/>
        <w:numPr>
          <w:ilvl w:val="0"/>
          <w:numId w:val="16"/>
        </w:numPr>
        <w:tabs>
          <w:tab w:val="left" w:pos="820"/>
        </w:tabs>
        <w:spacing w:beforeLines="50" w:before="120" w:afterLines="50" w:after="120" w:line="240" w:lineRule="auto"/>
        <w:ind w:left="851"/>
        <w:jc w:val="both"/>
        <w:rPr>
          <w:sz w:val="20"/>
          <w:szCs w:val="20"/>
          <w:bdr w:val="nil"/>
        </w:rPr>
      </w:pPr>
      <w:r w:rsidRPr="00970766">
        <w:rPr>
          <w:sz w:val="20"/>
          <w:szCs w:val="20"/>
          <w:bdr w:val="nil"/>
        </w:rPr>
        <w:lastRenderedPageBreak/>
        <w:t xml:space="preserve">cadre de délivrance :    </w:t>
      </w:r>
      <w:r w:rsidRPr="00970766">
        <w:rPr>
          <w:rFonts w:ascii="Wingdings" w:eastAsia="Wingdings" w:hAnsi="Wingdings" w:cs="Wingdings"/>
          <w:sz w:val="20"/>
          <w:szCs w:val="20"/>
          <w:bdr w:val="nil"/>
        </w:rPr>
        <w:t></w:t>
      </w:r>
      <w:r w:rsidRPr="00970766">
        <w:rPr>
          <w:sz w:val="20"/>
          <w:szCs w:val="20"/>
          <w:bdr w:val="nil"/>
        </w:rPr>
        <w:t xml:space="preserve">AMM       </w:t>
      </w:r>
      <w:r w:rsidRPr="00970766">
        <w:rPr>
          <w:rFonts w:ascii="Wingdings" w:eastAsia="Wingdings" w:hAnsi="Wingdings" w:cs="Wingdings"/>
          <w:sz w:val="20"/>
          <w:szCs w:val="20"/>
          <w:bdr w:val="nil"/>
        </w:rPr>
        <w:t></w:t>
      </w:r>
      <w:r w:rsidRPr="00970766">
        <w:rPr>
          <w:sz w:val="20"/>
          <w:szCs w:val="20"/>
          <w:bdr w:val="nil"/>
        </w:rPr>
        <w:t xml:space="preserve"> ATUn/AAC    </w:t>
      </w:r>
      <w:r w:rsidRPr="00970766">
        <w:rPr>
          <w:rFonts w:ascii="Wingdings" w:eastAsia="Wingdings" w:hAnsi="Wingdings" w:cs="Wingdings"/>
          <w:sz w:val="20"/>
          <w:szCs w:val="20"/>
          <w:bdr w:val="nil"/>
        </w:rPr>
        <w:t></w:t>
      </w:r>
      <w:r w:rsidRPr="00970766">
        <w:rPr>
          <w:sz w:val="20"/>
          <w:szCs w:val="20"/>
          <w:bdr w:val="nil"/>
        </w:rPr>
        <w:t xml:space="preserve"> essai clinique         </w:t>
      </w:r>
      <w:r w:rsidRPr="00970766">
        <w:rPr>
          <w:rFonts w:ascii="Wingdings" w:eastAsia="Wingdings" w:hAnsi="Wingdings" w:cs="Wingdings"/>
          <w:sz w:val="20"/>
          <w:szCs w:val="20"/>
          <w:bdr w:val="nil"/>
        </w:rPr>
        <w:t></w:t>
      </w:r>
      <w:r w:rsidRPr="00970766">
        <w:rPr>
          <w:sz w:val="20"/>
          <w:szCs w:val="20"/>
          <w:bdr w:val="nil"/>
        </w:rPr>
        <w:t xml:space="preserve"> autre : …..</w:t>
      </w:r>
    </w:p>
    <w:p w14:paraId="49589F1A" w14:textId="77777777" w:rsidR="005A0E6A" w:rsidRDefault="00AA7CC4" w:rsidP="00AA7CC4">
      <w:pPr>
        <w:widowControl w:val="0"/>
        <w:numPr>
          <w:ilvl w:val="0"/>
          <w:numId w:val="16"/>
        </w:numPr>
        <w:tabs>
          <w:tab w:val="left" w:pos="820"/>
        </w:tabs>
        <w:spacing w:beforeLines="50" w:before="120" w:afterLines="50" w:after="120" w:line="240" w:lineRule="auto"/>
        <w:ind w:left="851"/>
        <w:jc w:val="both"/>
        <w:rPr>
          <w:sz w:val="20"/>
          <w:szCs w:val="20"/>
          <w:bdr w:val="nil"/>
        </w:rPr>
      </w:pPr>
      <w:r w:rsidRPr="00970766">
        <w:rPr>
          <w:sz w:val="20"/>
          <w:szCs w:val="20"/>
          <w:bdr w:val="nil"/>
        </w:rPr>
        <w:t>date de la 1ere administration (JJ/MM/AAAA) : |</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 |</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 xml:space="preserve">|   </w:t>
      </w:r>
    </w:p>
    <w:p w14:paraId="4EFC0B0D" w14:textId="23EAB801" w:rsidR="00AA7CC4" w:rsidRPr="005A0E6A" w:rsidRDefault="005A0E6A" w:rsidP="005A0E6A">
      <w:pPr>
        <w:widowControl w:val="0"/>
        <w:numPr>
          <w:ilvl w:val="0"/>
          <w:numId w:val="16"/>
        </w:numPr>
        <w:tabs>
          <w:tab w:val="left" w:pos="820"/>
        </w:tabs>
        <w:spacing w:beforeLines="50" w:before="120" w:afterLines="50" w:after="120" w:line="240" w:lineRule="auto"/>
        <w:ind w:left="851"/>
        <w:jc w:val="both"/>
        <w:rPr>
          <w:sz w:val="20"/>
          <w:szCs w:val="20"/>
          <w:bdr w:val="nil"/>
        </w:rPr>
      </w:pPr>
      <w:r w:rsidRPr="005A0E6A">
        <w:rPr>
          <w:sz w:val="20"/>
          <w:szCs w:val="20"/>
          <w:bdr w:val="nil"/>
        </w:rPr>
        <w:t xml:space="preserve">date </w:t>
      </w:r>
      <w:r>
        <w:rPr>
          <w:sz w:val="20"/>
          <w:szCs w:val="20"/>
          <w:bdr w:val="nil"/>
        </w:rPr>
        <w:t>d’arrêt du traitement</w:t>
      </w:r>
      <w:r w:rsidRPr="005A0E6A">
        <w:rPr>
          <w:sz w:val="20"/>
          <w:szCs w:val="20"/>
          <w:bdr w:val="nil"/>
        </w:rPr>
        <w:t xml:space="preserve"> (JJ/MM/AAAA) :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 |</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 xml:space="preserve">|    </w:t>
      </w:r>
      <w:r w:rsidR="00AA7CC4" w:rsidRPr="005A0E6A">
        <w:rPr>
          <w:sz w:val="20"/>
          <w:szCs w:val="20"/>
          <w:bdr w:val="nil"/>
        </w:rPr>
        <w:t xml:space="preserve"> </w:t>
      </w:r>
    </w:p>
    <w:p w14:paraId="3640D022" w14:textId="77777777" w:rsidR="00AA7CC4" w:rsidRPr="00970766" w:rsidRDefault="00AA7CC4" w:rsidP="00AA7CC4">
      <w:pPr>
        <w:widowControl w:val="0"/>
        <w:numPr>
          <w:ilvl w:val="0"/>
          <w:numId w:val="16"/>
        </w:numPr>
        <w:tabs>
          <w:tab w:val="left" w:pos="820"/>
        </w:tabs>
        <w:spacing w:beforeLines="50" w:before="120" w:afterLines="50" w:after="120" w:line="240" w:lineRule="auto"/>
        <w:ind w:left="851"/>
        <w:jc w:val="both"/>
        <w:rPr>
          <w:sz w:val="20"/>
          <w:szCs w:val="20"/>
          <w:bdr w:val="nil"/>
        </w:rPr>
      </w:pPr>
      <w:r w:rsidRPr="00970766">
        <w:rPr>
          <w:sz w:val="20"/>
          <w:szCs w:val="20"/>
          <w:bdr w:val="nil"/>
        </w:rPr>
        <w:t xml:space="preserve">motif de l’arrêt : </w:t>
      </w:r>
      <w:r w:rsidRPr="00970766">
        <w:rPr>
          <w:rFonts w:ascii="Wingdings" w:eastAsia="Wingdings" w:hAnsi="Wingdings" w:cs="Wingdings"/>
          <w:sz w:val="20"/>
          <w:szCs w:val="20"/>
          <w:bdr w:val="nil"/>
        </w:rPr>
        <w:t></w:t>
      </w:r>
      <w:r w:rsidRPr="00970766">
        <w:rPr>
          <w:sz w:val="20"/>
          <w:szCs w:val="20"/>
          <w:bdr w:val="nil"/>
        </w:rPr>
        <w:t xml:space="preserve"> inefficacité/détérioration clinique       </w:t>
      </w:r>
      <w:r w:rsidRPr="00970766">
        <w:rPr>
          <w:rFonts w:ascii="Wingdings" w:eastAsia="Wingdings" w:hAnsi="Wingdings" w:cs="Wingdings"/>
          <w:sz w:val="20"/>
          <w:szCs w:val="20"/>
          <w:bdr w:val="nil"/>
        </w:rPr>
        <w:t></w:t>
      </w:r>
      <w:r w:rsidRPr="00970766">
        <w:rPr>
          <w:sz w:val="20"/>
          <w:szCs w:val="20"/>
          <w:bdr w:val="nil"/>
        </w:rPr>
        <w:t xml:space="preserve"> intolérance        </w:t>
      </w:r>
      <w:r w:rsidRPr="00970766">
        <w:rPr>
          <w:rFonts w:ascii="Wingdings" w:eastAsia="Wingdings" w:hAnsi="Wingdings" w:cs="Wingdings"/>
          <w:sz w:val="20"/>
          <w:szCs w:val="20"/>
          <w:bdr w:val="nil"/>
        </w:rPr>
        <w:t></w:t>
      </w:r>
      <w:r w:rsidRPr="00970766">
        <w:rPr>
          <w:sz w:val="20"/>
          <w:szCs w:val="20"/>
          <w:bdr w:val="nil"/>
        </w:rPr>
        <w:t xml:space="preserve"> autre :…….  </w:t>
      </w:r>
    </w:p>
    <w:p w14:paraId="7EA1D640" w14:textId="77777777" w:rsidR="005A0E6A" w:rsidRDefault="005A0E6A" w:rsidP="00AA7CC4">
      <w:pPr>
        <w:jc w:val="both"/>
        <w:rPr>
          <w:b/>
          <w:sz w:val="20"/>
          <w:szCs w:val="20"/>
          <w:bdr w:val="nil"/>
        </w:rPr>
      </w:pPr>
    </w:p>
    <w:p w14:paraId="3C34EC44" w14:textId="5F2AF08B" w:rsidR="00AA7CC4" w:rsidRPr="005A0E6A" w:rsidRDefault="00AA7CC4" w:rsidP="005A0E6A">
      <w:pPr>
        <w:jc w:val="both"/>
        <w:rPr>
          <w:b/>
          <w:sz w:val="20"/>
          <w:szCs w:val="20"/>
          <w:bdr w:val="nil"/>
        </w:rPr>
      </w:pPr>
      <w:r w:rsidRPr="00970766">
        <w:rPr>
          <w:b/>
          <w:sz w:val="20"/>
          <w:szCs w:val="20"/>
          <w:bdr w:val="nil"/>
        </w:rPr>
        <w:t>TRAITEMENTS ACTU</w:t>
      </w:r>
      <w:r w:rsidR="005A0E6A">
        <w:rPr>
          <w:b/>
          <w:sz w:val="20"/>
          <w:szCs w:val="20"/>
          <w:bdr w:val="nil"/>
        </w:rPr>
        <w:t>ELS de la douleur neuropathique</w:t>
      </w:r>
    </w:p>
    <w:p w14:paraId="5558D1EE" w14:textId="77777777" w:rsidR="00AA7CC4" w:rsidRPr="00970766" w:rsidRDefault="00AA7CC4" w:rsidP="00AA7CC4">
      <w:pPr>
        <w:widowControl w:val="0"/>
        <w:numPr>
          <w:ilvl w:val="0"/>
          <w:numId w:val="16"/>
        </w:numPr>
        <w:tabs>
          <w:tab w:val="left" w:pos="820"/>
        </w:tabs>
        <w:spacing w:beforeLines="50" w:before="120" w:afterLines="50" w:after="120" w:line="240" w:lineRule="auto"/>
        <w:ind w:left="851"/>
        <w:jc w:val="both"/>
        <w:rPr>
          <w:sz w:val="20"/>
          <w:szCs w:val="20"/>
          <w:bdr w:val="nil"/>
        </w:rPr>
      </w:pPr>
      <w:r w:rsidRPr="00970766">
        <w:rPr>
          <w:sz w:val="20"/>
          <w:szCs w:val="20"/>
          <w:bdr w:val="nil"/>
        </w:rPr>
        <w:t>nom du médicament 1: ………...</w:t>
      </w:r>
    </w:p>
    <w:p w14:paraId="4B7A8083" w14:textId="77777777" w:rsidR="00AA7CC4" w:rsidRPr="00970766" w:rsidRDefault="00AA7CC4" w:rsidP="00AA7CC4">
      <w:pPr>
        <w:widowControl w:val="0"/>
        <w:numPr>
          <w:ilvl w:val="0"/>
          <w:numId w:val="16"/>
        </w:numPr>
        <w:tabs>
          <w:tab w:val="left" w:pos="820"/>
        </w:tabs>
        <w:spacing w:beforeLines="50" w:before="120" w:afterLines="50" w:after="120" w:line="240" w:lineRule="auto"/>
        <w:ind w:left="851"/>
        <w:jc w:val="both"/>
        <w:rPr>
          <w:sz w:val="20"/>
          <w:szCs w:val="20"/>
          <w:bdr w:val="nil"/>
        </w:rPr>
      </w:pPr>
      <w:r w:rsidRPr="00970766">
        <w:rPr>
          <w:sz w:val="20"/>
          <w:szCs w:val="20"/>
          <w:bdr w:val="nil"/>
        </w:rPr>
        <w:t>Posologie :….</w:t>
      </w:r>
    </w:p>
    <w:p w14:paraId="35A0EE64" w14:textId="77777777" w:rsidR="00AA7CC4" w:rsidRPr="00970766" w:rsidRDefault="00AA7CC4" w:rsidP="00AA7CC4">
      <w:pPr>
        <w:widowControl w:val="0"/>
        <w:numPr>
          <w:ilvl w:val="0"/>
          <w:numId w:val="16"/>
        </w:numPr>
        <w:tabs>
          <w:tab w:val="left" w:pos="820"/>
        </w:tabs>
        <w:spacing w:beforeLines="50" w:before="120" w:afterLines="50" w:after="120" w:line="240" w:lineRule="auto"/>
        <w:ind w:left="851"/>
        <w:jc w:val="both"/>
        <w:rPr>
          <w:sz w:val="20"/>
          <w:szCs w:val="20"/>
          <w:bdr w:val="nil"/>
        </w:rPr>
      </w:pPr>
      <w:r w:rsidRPr="00970766">
        <w:rPr>
          <w:sz w:val="20"/>
          <w:szCs w:val="20"/>
          <w:bdr w:val="nil"/>
        </w:rPr>
        <w:t xml:space="preserve">cadre de délivrance :    </w:t>
      </w:r>
      <w:r w:rsidRPr="00970766">
        <w:rPr>
          <w:rFonts w:ascii="Wingdings" w:eastAsia="Wingdings" w:hAnsi="Wingdings" w:cs="Wingdings"/>
          <w:sz w:val="20"/>
          <w:szCs w:val="20"/>
          <w:bdr w:val="nil"/>
        </w:rPr>
        <w:t></w:t>
      </w:r>
      <w:r w:rsidRPr="00970766">
        <w:rPr>
          <w:sz w:val="20"/>
          <w:szCs w:val="20"/>
          <w:bdr w:val="nil"/>
        </w:rPr>
        <w:t xml:space="preserve">AMM       </w:t>
      </w:r>
      <w:r w:rsidRPr="00970766">
        <w:rPr>
          <w:rFonts w:ascii="Wingdings" w:eastAsia="Wingdings" w:hAnsi="Wingdings" w:cs="Wingdings"/>
          <w:sz w:val="20"/>
          <w:szCs w:val="20"/>
          <w:bdr w:val="nil"/>
        </w:rPr>
        <w:t></w:t>
      </w:r>
      <w:r w:rsidRPr="00970766">
        <w:rPr>
          <w:sz w:val="20"/>
          <w:szCs w:val="20"/>
          <w:bdr w:val="nil"/>
        </w:rPr>
        <w:t xml:space="preserve"> ATUn/AAC    </w:t>
      </w:r>
      <w:r w:rsidRPr="00970766">
        <w:rPr>
          <w:rFonts w:ascii="Wingdings" w:eastAsia="Wingdings" w:hAnsi="Wingdings" w:cs="Wingdings"/>
          <w:sz w:val="20"/>
          <w:szCs w:val="20"/>
          <w:bdr w:val="nil"/>
        </w:rPr>
        <w:t></w:t>
      </w:r>
      <w:r w:rsidRPr="00970766">
        <w:rPr>
          <w:sz w:val="20"/>
          <w:szCs w:val="20"/>
          <w:bdr w:val="nil"/>
        </w:rPr>
        <w:t xml:space="preserve"> essai clinique         </w:t>
      </w:r>
      <w:r w:rsidRPr="00970766">
        <w:rPr>
          <w:rFonts w:ascii="Wingdings" w:eastAsia="Wingdings" w:hAnsi="Wingdings" w:cs="Wingdings"/>
          <w:sz w:val="20"/>
          <w:szCs w:val="20"/>
          <w:bdr w:val="nil"/>
        </w:rPr>
        <w:t></w:t>
      </w:r>
      <w:r w:rsidRPr="00970766">
        <w:rPr>
          <w:sz w:val="20"/>
          <w:szCs w:val="20"/>
          <w:bdr w:val="nil"/>
        </w:rPr>
        <w:t xml:space="preserve"> autre….. </w:t>
      </w:r>
    </w:p>
    <w:p w14:paraId="79E65322" w14:textId="77777777" w:rsidR="00AA7CC4" w:rsidRPr="00970766" w:rsidRDefault="00AA7CC4" w:rsidP="00AA7CC4">
      <w:pPr>
        <w:widowControl w:val="0"/>
        <w:numPr>
          <w:ilvl w:val="0"/>
          <w:numId w:val="16"/>
        </w:numPr>
        <w:tabs>
          <w:tab w:val="left" w:pos="820"/>
        </w:tabs>
        <w:spacing w:beforeLines="50" w:before="120" w:afterLines="50" w:after="120" w:line="240" w:lineRule="auto"/>
        <w:ind w:left="851"/>
        <w:jc w:val="both"/>
        <w:rPr>
          <w:sz w:val="20"/>
          <w:szCs w:val="20"/>
          <w:bdr w:val="nil"/>
        </w:rPr>
      </w:pPr>
      <w:r w:rsidRPr="00970766">
        <w:rPr>
          <w:sz w:val="20"/>
          <w:szCs w:val="20"/>
          <w:bdr w:val="nil"/>
        </w:rPr>
        <w:t>date de la 1ere administration (JJ/MM/AAAA) : |</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 |</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 xml:space="preserve">|    </w:t>
      </w:r>
    </w:p>
    <w:p w14:paraId="14103345" w14:textId="77777777" w:rsidR="00AA7CC4" w:rsidRPr="00970766" w:rsidRDefault="00AA7CC4" w:rsidP="00AA7CC4">
      <w:pPr>
        <w:rPr>
          <w:sz w:val="20"/>
          <w:szCs w:val="20"/>
          <w:bdr w:val="nil"/>
        </w:rPr>
      </w:pPr>
    </w:p>
    <w:p w14:paraId="4C8B918B" w14:textId="77777777" w:rsidR="00AA7CC4" w:rsidRPr="00970766" w:rsidRDefault="00AA7CC4" w:rsidP="00AA7CC4">
      <w:pPr>
        <w:widowControl w:val="0"/>
        <w:numPr>
          <w:ilvl w:val="0"/>
          <w:numId w:val="16"/>
        </w:numPr>
        <w:tabs>
          <w:tab w:val="left" w:pos="820"/>
        </w:tabs>
        <w:spacing w:beforeLines="50" w:before="120" w:afterLines="50" w:after="120" w:line="240" w:lineRule="auto"/>
        <w:ind w:left="851"/>
        <w:jc w:val="both"/>
        <w:rPr>
          <w:sz w:val="20"/>
          <w:szCs w:val="20"/>
          <w:bdr w:val="nil"/>
        </w:rPr>
      </w:pPr>
      <w:r w:rsidRPr="00970766">
        <w:rPr>
          <w:sz w:val="20"/>
          <w:szCs w:val="20"/>
          <w:bdr w:val="nil"/>
        </w:rPr>
        <w:t>nom du médicament 2: ………...</w:t>
      </w:r>
    </w:p>
    <w:p w14:paraId="215B532C" w14:textId="77777777" w:rsidR="00AA7CC4" w:rsidRPr="00970766" w:rsidRDefault="00AA7CC4" w:rsidP="00AA7CC4">
      <w:pPr>
        <w:widowControl w:val="0"/>
        <w:numPr>
          <w:ilvl w:val="0"/>
          <w:numId w:val="16"/>
        </w:numPr>
        <w:tabs>
          <w:tab w:val="left" w:pos="820"/>
        </w:tabs>
        <w:spacing w:beforeLines="50" w:before="120" w:afterLines="50" w:after="120" w:line="240" w:lineRule="auto"/>
        <w:ind w:left="851"/>
        <w:jc w:val="both"/>
        <w:rPr>
          <w:sz w:val="20"/>
          <w:szCs w:val="20"/>
          <w:bdr w:val="nil"/>
        </w:rPr>
      </w:pPr>
      <w:r w:rsidRPr="00970766">
        <w:rPr>
          <w:sz w:val="20"/>
          <w:szCs w:val="20"/>
          <w:bdr w:val="nil"/>
        </w:rPr>
        <w:t>Posologie :….</w:t>
      </w:r>
    </w:p>
    <w:p w14:paraId="47927203" w14:textId="77777777" w:rsidR="00AA7CC4" w:rsidRPr="00970766" w:rsidRDefault="00AA7CC4" w:rsidP="00AA7CC4">
      <w:pPr>
        <w:widowControl w:val="0"/>
        <w:numPr>
          <w:ilvl w:val="0"/>
          <w:numId w:val="16"/>
        </w:numPr>
        <w:tabs>
          <w:tab w:val="left" w:pos="820"/>
        </w:tabs>
        <w:spacing w:beforeLines="50" w:before="120" w:afterLines="50" w:after="120" w:line="240" w:lineRule="auto"/>
        <w:ind w:left="851"/>
        <w:jc w:val="both"/>
        <w:rPr>
          <w:sz w:val="20"/>
          <w:szCs w:val="20"/>
          <w:bdr w:val="nil"/>
        </w:rPr>
      </w:pPr>
      <w:r w:rsidRPr="00970766">
        <w:rPr>
          <w:sz w:val="20"/>
          <w:szCs w:val="20"/>
          <w:bdr w:val="nil"/>
        </w:rPr>
        <w:t xml:space="preserve">cadre de délivrance :    </w:t>
      </w:r>
      <w:r w:rsidRPr="00970766">
        <w:rPr>
          <w:rFonts w:ascii="Wingdings" w:eastAsia="Wingdings" w:hAnsi="Wingdings" w:cs="Wingdings"/>
          <w:sz w:val="20"/>
          <w:szCs w:val="20"/>
          <w:bdr w:val="nil"/>
        </w:rPr>
        <w:t></w:t>
      </w:r>
      <w:r w:rsidRPr="00970766">
        <w:rPr>
          <w:sz w:val="20"/>
          <w:szCs w:val="20"/>
          <w:bdr w:val="nil"/>
        </w:rPr>
        <w:t xml:space="preserve">AMM       </w:t>
      </w:r>
      <w:r w:rsidRPr="00970766">
        <w:rPr>
          <w:rFonts w:ascii="Wingdings" w:eastAsia="Wingdings" w:hAnsi="Wingdings" w:cs="Wingdings"/>
          <w:sz w:val="20"/>
          <w:szCs w:val="20"/>
          <w:bdr w:val="nil"/>
        </w:rPr>
        <w:t></w:t>
      </w:r>
      <w:r w:rsidRPr="00970766">
        <w:rPr>
          <w:sz w:val="20"/>
          <w:szCs w:val="20"/>
          <w:bdr w:val="nil"/>
        </w:rPr>
        <w:t xml:space="preserve"> ATUn/AAC    </w:t>
      </w:r>
      <w:r w:rsidRPr="00970766">
        <w:rPr>
          <w:rFonts w:ascii="Wingdings" w:eastAsia="Wingdings" w:hAnsi="Wingdings" w:cs="Wingdings"/>
          <w:sz w:val="20"/>
          <w:szCs w:val="20"/>
          <w:bdr w:val="nil"/>
        </w:rPr>
        <w:t></w:t>
      </w:r>
      <w:r w:rsidRPr="00970766">
        <w:rPr>
          <w:sz w:val="20"/>
          <w:szCs w:val="20"/>
          <w:bdr w:val="nil"/>
        </w:rPr>
        <w:t xml:space="preserve"> essai clinique         </w:t>
      </w:r>
      <w:r w:rsidRPr="00970766">
        <w:rPr>
          <w:rFonts w:ascii="Wingdings" w:eastAsia="Wingdings" w:hAnsi="Wingdings" w:cs="Wingdings"/>
          <w:sz w:val="20"/>
          <w:szCs w:val="20"/>
          <w:bdr w:val="nil"/>
        </w:rPr>
        <w:t></w:t>
      </w:r>
      <w:r w:rsidRPr="00970766">
        <w:rPr>
          <w:sz w:val="20"/>
          <w:szCs w:val="20"/>
          <w:bdr w:val="nil"/>
        </w:rPr>
        <w:t xml:space="preserve"> autre….. </w:t>
      </w:r>
    </w:p>
    <w:p w14:paraId="582CAB50" w14:textId="77777777" w:rsidR="00AA7CC4" w:rsidRPr="00970766" w:rsidRDefault="00AA7CC4" w:rsidP="00AA7CC4">
      <w:pPr>
        <w:widowControl w:val="0"/>
        <w:numPr>
          <w:ilvl w:val="0"/>
          <w:numId w:val="16"/>
        </w:numPr>
        <w:tabs>
          <w:tab w:val="left" w:pos="820"/>
        </w:tabs>
        <w:spacing w:beforeLines="50" w:before="120" w:afterLines="50" w:after="120" w:line="240" w:lineRule="auto"/>
        <w:ind w:left="851"/>
        <w:jc w:val="both"/>
        <w:rPr>
          <w:sz w:val="20"/>
          <w:szCs w:val="20"/>
          <w:bdr w:val="nil"/>
        </w:rPr>
      </w:pPr>
      <w:r w:rsidRPr="00970766">
        <w:rPr>
          <w:sz w:val="20"/>
          <w:szCs w:val="20"/>
          <w:bdr w:val="nil"/>
        </w:rPr>
        <w:t>date de la 1ere administration (JJ/MM/AAAA) : |</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 |</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 xml:space="preserve">|    </w:t>
      </w:r>
    </w:p>
    <w:p w14:paraId="44B50E2E" w14:textId="77777777" w:rsidR="00AA7CC4" w:rsidRPr="00970766" w:rsidRDefault="00AA7CC4" w:rsidP="00AA7CC4">
      <w:pPr>
        <w:rPr>
          <w:sz w:val="20"/>
          <w:szCs w:val="20"/>
          <w:bdr w:val="nil"/>
        </w:rPr>
      </w:pPr>
    </w:p>
    <w:p w14:paraId="70EDC6B0" w14:textId="77777777" w:rsidR="00AA7CC4" w:rsidRPr="00970766" w:rsidRDefault="00AA7CC4" w:rsidP="00AA7CC4">
      <w:pPr>
        <w:widowControl w:val="0"/>
        <w:numPr>
          <w:ilvl w:val="0"/>
          <w:numId w:val="16"/>
        </w:numPr>
        <w:tabs>
          <w:tab w:val="left" w:pos="820"/>
        </w:tabs>
        <w:spacing w:beforeLines="50" w:before="120" w:afterLines="50" w:after="120" w:line="240" w:lineRule="auto"/>
        <w:ind w:left="851"/>
        <w:jc w:val="both"/>
        <w:rPr>
          <w:sz w:val="20"/>
          <w:szCs w:val="20"/>
          <w:bdr w:val="nil"/>
        </w:rPr>
      </w:pPr>
      <w:r w:rsidRPr="00970766">
        <w:rPr>
          <w:sz w:val="20"/>
          <w:szCs w:val="20"/>
          <w:bdr w:val="nil"/>
        </w:rPr>
        <w:t>nom du médicament 3: ………...</w:t>
      </w:r>
    </w:p>
    <w:p w14:paraId="6CEC2ED1" w14:textId="77777777" w:rsidR="00AA7CC4" w:rsidRPr="00970766" w:rsidRDefault="00AA7CC4" w:rsidP="00AA7CC4">
      <w:pPr>
        <w:widowControl w:val="0"/>
        <w:numPr>
          <w:ilvl w:val="0"/>
          <w:numId w:val="16"/>
        </w:numPr>
        <w:tabs>
          <w:tab w:val="left" w:pos="820"/>
        </w:tabs>
        <w:spacing w:beforeLines="50" w:before="120" w:afterLines="50" w:after="120" w:line="240" w:lineRule="auto"/>
        <w:ind w:left="851"/>
        <w:jc w:val="both"/>
        <w:rPr>
          <w:sz w:val="20"/>
          <w:szCs w:val="20"/>
          <w:bdr w:val="nil"/>
        </w:rPr>
      </w:pPr>
      <w:r w:rsidRPr="00970766">
        <w:rPr>
          <w:sz w:val="20"/>
          <w:szCs w:val="20"/>
          <w:bdr w:val="nil"/>
        </w:rPr>
        <w:t>Posologie :….</w:t>
      </w:r>
    </w:p>
    <w:p w14:paraId="3BCD02E2" w14:textId="77777777" w:rsidR="00AA7CC4" w:rsidRPr="00970766" w:rsidRDefault="00AA7CC4" w:rsidP="00AA7CC4">
      <w:pPr>
        <w:widowControl w:val="0"/>
        <w:numPr>
          <w:ilvl w:val="0"/>
          <w:numId w:val="16"/>
        </w:numPr>
        <w:tabs>
          <w:tab w:val="left" w:pos="820"/>
        </w:tabs>
        <w:spacing w:beforeLines="50" w:before="120" w:afterLines="50" w:after="120" w:line="240" w:lineRule="auto"/>
        <w:ind w:left="851"/>
        <w:jc w:val="both"/>
        <w:rPr>
          <w:sz w:val="20"/>
          <w:szCs w:val="20"/>
          <w:bdr w:val="nil"/>
        </w:rPr>
      </w:pPr>
      <w:r w:rsidRPr="00970766">
        <w:rPr>
          <w:sz w:val="20"/>
          <w:szCs w:val="20"/>
          <w:bdr w:val="nil"/>
        </w:rPr>
        <w:t xml:space="preserve">cadre de délivrance :    </w:t>
      </w:r>
      <w:r w:rsidRPr="00970766">
        <w:rPr>
          <w:rFonts w:ascii="Wingdings" w:eastAsia="Wingdings" w:hAnsi="Wingdings" w:cs="Wingdings"/>
          <w:sz w:val="20"/>
          <w:szCs w:val="20"/>
          <w:bdr w:val="nil"/>
        </w:rPr>
        <w:t></w:t>
      </w:r>
      <w:r w:rsidRPr="00970766">
        <w:rPr>
          <w:sz w:val="20"/>
          <w:szCs w:val="20"/>
          <w:bdr w:val="nil"/>
        </w:rPr>
        <w:t xml:space="preserve">AMM       </w:t>
      </w:r>
      <w:r w:rsidRPr="00970766">
        <w:rPr>
          <w:rFonts w:ascii="Wingdings" w:eastAsia="Wingdings" w:hAnsi="Wingdings" w:cs="Wingdings"/>
          <w:sz w:val="20"/>
          <w:szCs w:val="20"/>
          <w:bdr w:val="nil"/>
        </w:rPr>
        <w:t></w:t>
      </w:r>
      <w:r w:rsidRPr="00970766">
        <w:rPr>
          <w:sz w:val="20"/>
          <w:szCs w:val="20"/>
          <w:bdr w:val="nil"/>
        </w:rPr>
        <w:t xml:space="preserve"> ATUn/AAC    </w:t>
      </w:r>
      <w:r w:rsidRPr="00970766">
        <w:rPr>
          <w:rFonts w:ascii="Wingdings" w:eastAsia="Wingdings" w:hAnsi="Wingdings" w:cs="Wingdings"/>
          <w:sz w:val="20"/>
          <w:szCs w:val="20"/>
          <w:bdr w:val="nil"/>
        </w:rPr>
        <w:t></w:t>
      </w:r>
      <w:r w:rsidRPr="00970766">
        <w:rPr>
          <w:sz w:val="20"/>
          <w:szCs w:val="20"/>
          <w:bdr w:val="nil"/>
        </w:rPr>
        <w:t xml:space="preserve"> essai clinique         </w:t>
      </w:r>
      <w:r w:rsidRPr="00970766">
        <w:rPr>
          <w:rFonts w:ascii="Wingdings" w:eastAsia="Wingdings" w:hAnsi="Wingdings" w:cs="Wingdings"/>
          <w:sz w:val="20"/>
          <w:szCs w:val="20"/>
          <w:bdr w:val="nil"/>
        </w:rPr>
        <w:t></w:t>
      </w:r>
      <w:r w:rsidRPr="00970766">
        <w:rPr>
          <w:sz w:val="20"/>
          <w:szCs w:val="20"/>
          <w:bdr w:val="nil"/>
        </w:rPr>
        <w:t xml:space="preserve"> autre….. </w:t>
      </w:r>
    </w:p>
    <w:p w14:paraId="42F474CA" w14:textId="77777777" w:rsidR="00AA7CC4" w:rsidRPr="00970766" w:rsidRDefault="00AA7CC4" w:rsidP="00AA7CC4">
      <w:pPr>
        <w:widowControl w:val="0"/>
        <w:numPr>
          <w:ilvl w:val="0"/>
          <w:numId w:val="16"/>
        </w:numPr>
        <w:tabs>
          <w:tab w:val="left" w:pos="820"/>
        </w:tabs>
        <w:spacing w:beforeLines="50" w:before="120" w:afterLines="50" w:after="120" w:line="240" w:lineRule="auto"/>
        <w:ind w:left="851"/>
        <w:jc w:val="both"/>
        <w:rPr>
          <w:sz w:val="20"/>
          <w:szCs w:val="20"/>
          <w:bdr w:val="nil"/>
        </w:rPr>
      </w:pPr>
      <w:r w:rsidRPr="00970766">
        <w:rPr>
          <w:sz w:val="20"/>
          <w:szCs w:val="20"/>
          <w:bdr w:val="nil"/>
        </w:rPr>
        <w:t>date de la 1ere administration (JJ/MM/AAAA) : |</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 |</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 xml:space="preserve">|    </w:t>
      </w:r>
    </w:p>
    <w:p w14:paraId="3731374F" w14:textId="77777777" w:rsidR="00AA7CC4" w:rsidRPr="00970766" w:rsidRDefault="00AA7CC4" w:rsidP="00AA7CC4">
      <w:pPr>
        <w:rPr>
          <w:sz w:val="20"/>
          <w:szCs w:val="20"/>
          <w:bdr w:val="nil"/>
        </w:rPr>
      </w:pPr>
    </w:p>
    <w:p w14:paraId="7623A7F0" w14:textId="77777777" w:rsidR="00AA7CC4" w:rsidRPr="00970766" w:rsidRDefault="00AA7CC4" w:rsidP="00AA7CC4">
      <w:pPr>
        <w:widowControl w:val="0"/>
        <w:numPr>
          <w:ilvl w:val="0"/>
          <w:numId w:val="16"/>
        </w:numPr>
        <w:tabs>
          <w:tab w:val="left" w:pos="820"/>
        </w:tabs>
        <w:spacing w:beforeLines="50" w:before="120" w:afterLines="50" w:after="120" w:line="240" w:lineRule="auto"/>
        <w:ind w:left="851"/>
        <w:jc w:val="both"/>
        <w:rPr>
          <w:sz w:val="20"/>
          <w:szCs w:val="20"/>
          <w:bdr w:val="nil"/>
        </w:rPr>
      </w:pPr>
      <w:r w:rsidRPr="00970766">
        <w:rPr>
          <w:sz w:val="20"/>
          <w:szCs w:val="20"/>
          <w:bdr w:val="nil"/>
        </w:rPr>
        <w:t xml:space="preserve">nom du médicament 4: ………... </w:t>
      </w:r>
    </w:p>
    <w:p w14:paraId="50EEA503" w14:textId="77777777" w:rsidR="00AA7CC4" w:rsidRPr="00970766" w:rsidRDefault="00AA7CC4" w:rsidP="00AA7CC4">
      <w:pPr>
        <w:widowControl w:val="0"/>
        <w:numPr>
          <w:ilvl w:val="0"/>
          <w:numId w:val="16"/>
        </w:numPr>
        <w:tabs>
          <w:tab w:val="left" w:pos="820"/>
        </w:tabs>
        <w:spacing w:beforeLines="50" w:before="120" w:afterLines="50" w:after="120" w:line="240" w:lineRule="auto"/>
        <w:ind w:left="851"/>
        <w:jc w:val="both"/>
        <w:rPr>
          <w:sz w:val="20"/>
          <w:szCs w:val="20"/>
          <w:bdr w:val="nil"/>
        </w:rPr>
      </w:pPr>
      <w:r w:rsidRPr="00970766">
        <w:rPr>
          <w:sz w:val="20"/>
          <w:szCs w:val="20"/>
          <w:bdr w:val="nil"/>
        </w:rPr>
        <w:t>Posologie :….</w:t>
      </w:r>
    </w:p>
    <w:p w14:paraId="6E3D439F" w14:textId="77777777" w:rsidR="00AA7CC4" w:rsidRPr="00970766" w:rsidRDefault="00AA7CC4" w:rsidP="00AA7CC4">
      <w:pPr>
        <w:widowControl w:val="0"/>
        <w:numPr>
          <w:ilvl w:val="0"/>
          <w:numId w:val="16"/>
        </w:numPr>
        <w:tabs>
          <w:tab w:val="left" w:pos="820"/>
        </w:tabs>
        <w:spacing w:beforeLines="50" w:before="120" w:afterLines="50" w:after="120" w:line="240" w:lineRule="auto"/>
        <w:ind w:left="851"/>
        <w:jc w:val="both"/>
        <w:rPr>
          <w:sz w:val="20"/>
          <w:szCs w:val="20"/>
          <w:bdr w:val="nil"/>
        </w:rPr>
      </w:pPr>
      <w:r w:rsidRPr="00970766">
        <w:rPr>
          <w:sz w:val="20"/>
          <w:szCs w:val="20"/>
          <w:bdr w:val="nil"/>
        </w:rPr>
        <w:t xml:space="preserve">cadre de délivrance :    </w:t>
      </w:r>
      <w:r w:rsidRPr="00970766">
        <w:rPr>
          <w:rFonts w:ascii="Wingdings" w:eastAsia="Wingdings" w:hAnsi="Wingdings" w:cs="Wingdings"/>
          <w:sz w:val="20"/>
          <w:szCs w:val="20"/>
          <w:bdr w:val="nil"/>
        </w:rPr>
        <w:t></w:t>
      </w:r>
      <w:r w:rsidRPr="00970766">
        <w:rPr>
          <w:sz w:val="20"/>
          <w:szCs w:val="20"/>
          <w:bdr w:val="nil"/>
        </w:rPr>
        <w:t xml:space="preserve">AMM       </w:t>
      </w:r>
      <w:r w:rsidRPr="00970766">
        <w:rPr>
          <w:rFonts w:ascii="Wingdings" w:eastAsia="Wingdings" w:hAnsi="Wingdings" w:cs="Wingdings"/>
          <w:sz w:val="20"/>
          <w:szCs w:val="20"/>
          <w:bdr w:val="nil"/>
        </w:rPr>
        <w:t></w:t>
      </w:r>
      <w:r w:rsidRPr="00970766">
        <w:rPr>
          <w:sz w:val="20"/>
          <w:szCs w:val="20"/>
          <w:bdr w:val="nil"/>
        </w:rPr>
        <w:t xml:space="preserve"> ATUn/AAC    </w:t>
      </w:r>
      <w:r w:rsidRPr="00970766">
        <w:rPr>
          <w:rFonts w:ascii="Wingdings" w:eastAsia="Wingdings" w:hAnsi="Wingdings" w:cs="Wingdings"/>
          <w:sz w:val="20"/>
          <w:szCs w:val="20"/>
          <w:bdr w:val="nil"/>
        </w:rPr>
        <w:t></w:t>
      </w:r>
      <w:r w:rsidRPr="00970766">
        <w:rPr>
          <w:sz w:val="20"/>
          <w:szCs w:val="20"/>
          <w:bdr w:val="nil"/>
        </w:rPr>
        <w:t xml:space="preserve"> essai clinique         </w:t>
      </w:r>
      <w:r w:rsidRPr="00970766">
        <w:rPr>
          <w:rFonts w:ascii="Wingdings" w:eastAsia="Wingdings" w:hAnsi="Wingdings" w:cs="Wingdings"/>
          <w:sz w:val="20"/>
          <w:szCs w:val="20"/>
          <w:bdr w:val="nil"/>
        </w:rPr>
        <w:t></w:t>
      </w:r>
      <w:r w:rsidRPr="00970766">
        <w:rPr>
          <w:sz w:val="20"/>
          <w:szCs w:val="20"/>
          <w:bdr w:val="nil"/>
        </w:rPr>
        <w:t xml:space="preserve"> autre….. </w:t>
      </w:r>
    </w:p>
    <w:p w14:paraId="3F581B4E" w14:textId="77777777" w:rsidR="00AA7CC4" w:rsidRPr="00970766" w:rsidRDefault="00AA7CC4" w:rsidP="00AA7CC4">
      <w:pPr>
        <w:widowControl w:val="0"/>
        <w:numPr>
          <w:ilvl w:val="0"/>
          <w:numId w:val="16"/>
        </w:numPr>
        <w:tabs>
          <w:tab w:val="left" w:pos="820"/>
        </w:tabs>
        <w:spacing w:beforeLines="50" w:before="120" w:afterLines="50" w:after="120" w:line="240" w:lineRule="auto"/>
        <w:ind w:left="851"/>
        <w:jc w:val="both"/>
        <w:rPr>
          <w:sz w:val="20"/>
          <w:szCs w:val="20"/>
          <w:bdr w:val="nil"/>
        </w:rPr>
      </w:pPr>
      <w:r w:rsidRPr="00970766">
        <w:rPr>
          <w:sz w:val="20"/>
          <w:szCs w:val="20"/>
          <w:bdr w:val="nil"/>
        </w:rPr>
        <w:t>date de la 1ere administration (JJ/MM/AAAA) : |</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 |</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 xml:space="preserve">|    </w:t>
      </w:r>
    </w:p>
    <w:p w14:paraId="321C5295" w14:textId="77777777" w:rsidR="00AA7CC4" w:rsidRPr="00970766" w:rsidRDefault="00AA7CC4" w:rsidP="00AA7CC4">
      <w:pPr>
        <w:rPr>
          <w:sz w:val="20"/>
          <w:szCs w:val="20"/>
          <w:bdr w:val="nil"/>
        </w:rPr>
      </w:pPr>
    </w:p>
    <w:p w14:paraId="0398F067" w14:textId="2481B1FD" w:rsidR="00AA7CC4" w:rsidRPr="00970766" w:rsidRDefault="00AA7CC4" w:rsidP="00AA7CC4">
      <w:pPr>
        <w:shd w:val="clear" w:color="auto" w:fill="DDD9C3"/>
        <w:tabs>
          <w:tab w:val="left" w:pos="9480"/>
        </w:tabs>
        <w:rPr>
          <w:b/>
          <w:bCs/>
          <w:sz w:val="24"/>
          <w:szCs w:val="24"/>
        </w:rPr>
      </w:pPr>
      <w:r w:rsidRPr="00970766">
        <w:rPr>
          <w:b/>
          <w:bCs/>
          <w:sz w:val="24"/>
          <w:szCs w:val="24"/>
        </w:rPr>
        <w:t xml:space="preserve">ETAT CLINIQUE </w:t>
      </w:r>
      <w:r w:rsidRPr="00970766">
        <w:rPr>
          <w:b/>
          <w:bCs/>
          <w:sz w:val="24"/>
          <w:szCs w:val="24"/>
          <w:u w:val="single"/>
        </w:rPr>
        <w:t>AVANT L’INITIATION</w:t>
      </w:r>
      <w:r w:rsidRPr="00970766">
        <w:rPr>
          <w:b/>
          <w:bCs/>
          <w:sz w:val="24"/>
          <w:szCs w:val="24"/>
        </w:rPr>
        <w:t xml:space="preserve"> DU TRAITEMENT BOTOX</w:t>
      </w:r>
    </w:p>
    <w:p w14:paraId="1D4B63D4" w14:textId="77777777" w:rsidR="00AA7CC4" w:rsidRPr="00970766" w:rsidRDefault="00AA7CC4" w:rsidP="00AA7CC4">
      <w:pPr>
        <w:jc w:val="both"/>
        <w:rPr>
          <w:sz w:val="20"/>
          <w:szCs w:val="20"/>
          <w:bdr w:val="nil"/>
        </w:rPr>
      </w:pPr>
      <w:r w:rsidRPr="00970766">
        <w:rPr>
          <w:sz w:val="20"/>
          <w:szCs w:val="20"/>
          <w:u w:val="single"/>
          <w:bdr w:val="nil"/>
        </w:rPr>
        <w:t>Rappel de l’indication</w:t>
      </w:r>
      <w:r w:rsidRPr="00970766">
        <w:rPr>
          <w:sz w:val="20"/>
          <w:szCs w:val="20"/>
          <w:bdr w:val="nil"/>
        </w:rPr>
        <w:t> : Traitement de la douleur neuropathique périphérique chronique (depuis au moins 6 mois) bien localisée (surface ≤ 240 cm²) en tant que traitement adjuvant chez les patients adultes insuffisamment soulagés ou réfractaires aux autres traitements.</w:t>
      </w:r>
    </w:p>
    <w:p w14:paraId="70418FA2" w14:textId="77777777" w:rsidR="00AA7CC4" w:rsidRPr="00970766" w:rsidRDefault="00AA7CC4" w:rsidP="00AA7CC4">
      <w:pPr>
        <w:rPr>
          <w:sz w:val="20"/>
          <w:szCs w:val="20"/>
          <w:bdr w:val="nil"/>
        </w:rPr>
      </w:pPr>
    </w:p>
    <w:p w14:paraId="1E302EF8" w14:textId="77777777" w:rsidR="00AA7CC4" w:rsidRPr="00970766" w:rsidRDefault="00AA7CC4" w:rsidP="00AA7CC4">
      <w:pPr>
        <w:rPr>
          <w:sz w:val="20"/>
          <w:szCs w:val="20"/>
          <w:bdr w:val="nil"/>
        </w:rPr>
      </w:pPr>
      <w:r w:rsidRPr="00970766">
        <w:rPr>
          <w:sz w:val="20"/>
          <w:szCs w:val="20"/>
          <w:bdr w:val="nil"/>
        </w:rPr>
        <w:t xml:space="preserve">Etiologie de la douleur neuropathique périphérique : </w:t>
      </w:r>
    </w:p>
    <w:p w14:paraId="39868FF9" w14:textId="77777777" w:rsidR="00AA7CC4" w:rsidRPr="00970766" w:rsidRDefault="00AA7CC4" w:rsidP="00AA7CC4">
      <w:pPr>
        <w:pStyle w:val="pf0"/>
        <w:rPr>
          <w:rFonts w:ascii="Arial" w:hAnsi="Arial" w:cs="Arial"/>
          <w:sz w:val="20"/>
          <w:szCs w:val="20"/>
        </w:rPr>
      </w:pPr>
      <w:r w:rsidRPr="00970766">
        <w:rPr>
          <w:rFonts w:ascii="Wingdings" w:eastAsia="Wingdings" w:hAnsi="Wingdings" w:cs="Wingdings"/>
          <w:sz w:val="17"/>
        </w:rPr>
        <w:t></w:t>
      </w:r>
      <w:r w:rsidRPr="00970766">
        <w:rPr>
          <w:rStyle w:val="cf01"/>
        </w:rPr>
        <w:t xml:space="preserve"> Post-traumatique </w:t>
      </w:r>
    </w:p>
    <w:p w14:paraId="7A4E1FEA" w14:textId="77777777" w:rsidR="00AA7CC4" w:rsidRPr="00970766" w:rsidRDefault="00AA7CC4" w:rsidP="00AA7CC4">
      <w:pPr>
        <w:pStyle w:val="pf0"/>
        <w:rPr>
          <w:rFonts w:ascii="Arial" w:hAnsi="Arial" w:cs="Arial"/>
          <w:sz w:val="20"/>
          <w:szCs w:val="20"/>
        </w:rPr>
      </w:pPr>
      <w:r w:rsidRPr="00970766">
        <w:rPr>
          <w:rFonts w:ascii="Wingdings" w:eastAsia="Wingdings" w:hAnsi="Wingdings" w:cs="Wingdings"/>
          <w:sz w:val="17"/>
        </w:rPr>
        <w:t></w:t>
      </w:r>
      <w:r w:rsidRPr="00970766">
        <w:rPr>
          <w:rStyle w:val="cf01"/>
        </w:rPr>
        <w:t xml:space="preserve"> Post-chirurgicale</w:t>
      </w:r>
    </w:p>
    <w:p w14:paraId="222B59C2" w14:textId="77777777" w:rsidR="00AA7CC4" w:rsidRPr="00970766" w:rsidRDefault="00AA7CC4" w:rsidP="00AA7CC4">
      <w:pPr>
        <w:pStyle w:val="pf0"/>
        <w:rPr>
          <w:rFonts w:ascii="Arial" w:hAnsi="Arial" w:cs="Arial"/>
          <w:sz w:val="20"/>
          <w:szCs w:val="20"/>
        </w:rPr>
      </w:pPr>
      <w:r w:rsidRPr="00970766">
        <w:rPr>
          <w:rFonts w:ascii="Wingdings" w:eastAsia="Wingdings" w:hAnsi="Wingdings" w:cs="Wingdings"/>
          <w:sz w:val="17"/>
        </w:rPr>
        <w:t></w:t>
      </w:r>
      <w:r w:rsidRPr="00970766">
        <w:rPr>
          <w:rStyle w:val="cf01"/>
        </w:rPr>
        <w:t xml:space="preserve"> Post-zostérienne</w:t>
      </w:r>
    </w:p>
    <w:p w14:paraId="741F23CA" w14:textId="77777777" w:rsidR="00AA7CC4" w:rsidRPr="00970766" w:rsidRDefault="00AA7CC4" w:rsidP="00AA7CC4">
      <w:pPr>
        <w:pStyle w:val="pf0"/>
        <w:rPr>
          <w:rFonts w:ascii="Arial" w:hAnsi="Arial" w:cs="Arial"/>
          <w:sz w:val="20"/>
          <w:szCs w:val="20"/>
        </w:rPr>
      </w:pPr>
      <w:r w:rsidRPr="00970766">
        <w:rPr>
          <w:rFonts w:ascii="Wingdings" w:eastAsia="Wingdings" w:hAnsi="Wingdings" w:cs="Wingdings"/>
          <w:sz w:val="17"/>
        </w:rPr>
        <w:lastRenderedPageBreak/>
        <w:t></w:t>
      </w:r>
      <w:r w:rsidRPr="00970766">
        <w:rPr>
          <w:rStyle w:val="cf01"/>
        </w:rPr>
        <w:t xml:space="preserve"> Neuropathie diabétique</w:t>
      </w:r>
    </w:p>
    <w:p w14:paraId="69AD050D" w14:textId="77777777" w:rsidR="00AA7CC4" w:rsidRPr="00970766" w:rsidRDefault="00AA7CC4" w:rsidP="00AA7CC4">
      <w:pPr>
        <w:pStyle w:val="pf0"/>
        <w:rPr>
          <w:rFonts w:ascii="Arial" w:hAnsi="Arial" w:cs="Arial"/>
          <w:sz w:val="20"/>
          <w:szCs w:val="20"/>
        </w:rPr>
      </w:pPr>
      <w:r w:rsidRPr="00970766">
        <w:rPr>
          <w:rFonts w:ascii="Wingdings" w:eastAsia="Wingdings" w:hAnsi="Wingdings" w:cs="Wingdings"/>
          <w:sz w:val="17"/>
        </w:rPr>
        <w:t></w:t>
      </w:r>
      <w:r w:rsidRPr="00970766">
        <w:rPr>
          <w:rStyle w:val="cf01"/>
        </w:rPr>
        <w:t xml:space="preserve"> Autre : préciser …</w:t>
      </w:r>
    </w:p>
    <w:p w14:paraId="2DA7A98D" w14:textId="77777777" w:rsidR="00AA7CC4" w:rsidRPr="00970766" w:rsidRDefault="00AA7CC4" w:rsidP="00AA7CC4">
      <w:pPr>
        <w:rPr>
          <w:sz w:val="20"/>
          <w:szCs w:val="20"/>
          <w:bdr w:val="nil"/>
        </w:rPr>
      </w:pPr>
    </w:p>
    <w:p w14:paraId="14205A4C" w14:textId="77777777" w:rsidR="00AA7CC4" w:rsidRPr="00970766" w:rsidRDefault="00AA7CC4" w:rsidP="00AA7CC4">
      <w:pPr>
        <w:rPr>
          <w:sz w:val="20"/>
          <w:szCs w:val="20"/>
          <w:bdr w:val="nil"/>
        </w:rPr>
      </w:pPr>
    </w:p>
    <w:p w14:paraId="3834C171" w14:textId="77777777" w:rsidR="00AA7CC4" w:rsidRPr="00970766" w:rsidRDefault="00AA7CC4" w:rsidP="00AA7CC4">
      <w:pPr>
        <w:rPr>
          <w:sz w:val="20"/>
          <w:szCs w:val="20"/>
          <w:bdr w:val="nil"/>
        </w:rPr>
      </w:pPr>
      <w:r w:rsidRPr="00970766">
        <w:rPr>
          <w:sz w:val="20"/>
          <w:szCs w:val="20"/>
          <w:bdr w:val="nil"/>
        </w:rPr>
        <w:t xml:space="preserve">Zone douloureuse (choix multiple) : </w:t>
      </w:r>
    </w:p>
    <w:p w14:paraId="5AEDEFDB" w14:textId="77777777" w:rsidR="00AA7CC4" w:rsidRPr="00970766" w:rsidRDefault="00AA7CC4" w:rsidP="00AA7CC4">
      <w:pPr>
        <w:pStyle w:val="pf0"/>
        <w:rPr>
          <w:rFonts w:ascii="Arial" w:hAnsi="Arial" w:cs="Arial"/>
          <w:sz w:val="20"/>
          <w:szCs w:val="20"/>
        </w:rPr>
      </w:pPr>
      <w:r w:rsidRPr="00970766">
        <w:rPr>
          <w:rFonts w:ascii="Wingdings" w:eastAsia="Wingdings" w:hAnsi="Wingdings" w:cs="Wingdings"/>
          <w:sz w:val="17"/>
        </w:rPr>
        <w:t></w:t>
      </w:r>
      <w:r w:rsidRPr="00970766">
        <w:rPr>
          <w:rStyle w:val="cf01"/>
        </w:rPr>
        <w:t xml:space="preserve"> Visage</w:t>
      </w:r>
    </w:p>
    <w:p w14:paraId="75177C4C" w14:textId="77777777" w:rsidR="00AA7CC4" w:rsidRPr="00970766" w:rsidRDefault="00AA7CC4" w:rsidP="00AA7CC4">
      <w:pPr>
        <w:pStyle w:val="pf0"/>
        <w:rPr>
          <w:rFonts w:ascii="Arial" w:hAnsi="Arial" w:cs="Arial"/>
          <w:sz w:val="20"/>
          <w:szCs w:val="20"/>
        </w:rPr>
      </w:pPr>
      <w:r w:rsidRPr="00970766">
        <w:rPr>
          <w:rFonts w:ascii="Wingdings" w:eastAsia="Wingdings" w:hAnsi="Wingdings" w:cs="Wingdings"/>
          <w:sz w:val="17"/>
        </w:rPr>
        <w:t></w:t>
      </w:r>
      <w:r w:rsidRPr="00970766">
        <w:rPr>
          <w:rStyle w:val="cf01"/>
        </w:rPr>
        <w:t xml:space="preserve"> Région cervicale </w:t>
      </w:r>
    </w:p>
    <w:p w14:paraId="2108645A" w14:textId="77777777" w:rsidR="00AA7CC4" w:rsidRPr="00970766" w:rsidRDefault="00AA7CC4" w:rsidP="00AA7CC4">
      <w:pPr>
        <w:pStyle w:val="pf0"/>
        <w:rPr>
          <w:rFonts w:ascii="Arial" w:hAnsi="Arial" w:cs="Arial"/>
          <w:sz w:val="20"/>
          <w:szCs w:val="20"/>
        </w:rPr>
      </w:pPr>
      <w:r w:rsidRPr="00970766">
        <w:rPr>
          <w:rFonts w:ascii="Wingdings" w:eastAsia="Wingdings" w:hAnsi="Wingdings" w:cs="Wingdings"/>
          <w:sz w:val="17"/>
        </w:rPr>
        <w:t></w:t>
      </w:r>
      <w:r w:rsidRPr="00970766">
        <w:rPr>
          <w:rStyle w:val="cf01"/>
        </w:rPr>
        <w:t xml:space="preserve"> Région thoracique</w:t>
      </w:r>
    </w:p>
    <w:p w14:paraId="59FE842B" w14:textId="77777777" w:rsidR="00AA7CC4" w:rsidRPr="00970766" w:rsidRDefault="00AA7CC4" w:rsidP="00AA7CC4">
      <w:pPr>
        <w:pStyle w:val="pf0"/>
        <w:rPr>
          <w:rFonts w:ascii="Arial" w:hAnsi="Arial" w:cs="Arial"/>
          <w:sz w:val="20"/>
          <w:szCs w:val="20"/>
        </w:rPr>
      </w:pPr>
      <w:r w:rsidRPr="00970766">
        <w:rPr>
          <w:rFonts w:ascii="Wingdings" w:eastAsia="Wingdings" w:hAnsi="Wingdings" w:cs="Wingdings"/>
          <w:sz w:val="17"/>
        </w:rPr>
        <w:t></w:t>
      </w:r>
      <w:r w:rsidRPr="00970766">
        <w:rPr>
          <w:rStyle w:val="cf01"/>
        </w:rPr>
        <w:t xml:space="preserve"> Région abdominale </w:t>
      </w:r>
    </w:p>
    <w:p w14:paraId="14215DA9" w14:textId="77777777" w:rsidR="00AA7CC4" w:rsidRPr="00970766" w:rsidRDefault="00AA7CC4" w:rsidP="00AA7CC4">
      <w:pPr>
        <w:pStyle w:val="pf0"/>
        <w:rPr>
          <w:rFonts w:ascii="Arial" w:hAnsi="Arial" w:cs="Arial"/>
          <w:sz w:val="20"/>
          <w:szCs w:val="20"/>
        </w:rPr>
      </w:pPr>
      <w:r w:rsidRPr="00970766">
        <w:rPr>
          <w:rFonts w:ascii="Wingdings" w:eastAsia="Wingdings" w:hAnsi="Wingdings" w:cs="Wingdings"/>
          <w:sz w:val="17"/>
        </w:rPr>
        <w:t></w:t>
      </w:r>
      <w:r w:rsidRPr="00970766">
        <w:rPr>
          <w:rStyle w:val="cf01"/>
        </w:rPr>
        <w:t xml:space="preserve"> Région lombaire</w:t>
      </w:r>
    </w:p>
    <w:p w14:paraId="5F12CF6B" w14:textId="77777777" w:rsidR="00AA7CC4" w:rsidRPr="00970766" w:rsidRDefault="00AA7CC4" w:rsidP="00AA7CC4">
      <w:pPr>
        <w:pStyle w:val="pf0"/>
        <w:rPr>
          <w:rFonts w:ascii="Arial" w:hAnsi="Arial" w:cs="Arial"/>
          <w:sz w:val="20"/>
          <w:szCs w:val="20"/>
        </w:rPr>
      </w:pPr>
      <w:r w:rsidRPr="00970766">
        <w:rPr>
          <w:rFonts w:ascii="Wingdings" w:eastAsia="Wingdings" w:hAnsi="Wingdings" w:cs="Wingdings"/>
          <w:sz w:val="17"/>
        </w:rPr>
        <w:t></w:t>
      </w:r>
      <w:r w:rsidRPr="00970766">
        <w:rPr>
          <w:rStyle w:val="cf01"/>
        </w:rPr>
        <w:t xml:space="preserve"> Région sacrée</w:t>
      </w:r>
    </w:p>
    <w:p w14:paraId="6FAC3075" w14:textId="77777777" w:rsidR="00AA7CC4" w:rsidRPr="00970766" w:rsidRDefault="00AA7CC4" w:rsidP="00AA7CC4">
      <w:pPr>
        <w:pStyle w:val="pf0"/>
        <w:rPr>
          <w:rStyle w:val="cf01"/>
        </w:rPr>
      </w:pPr>
      <w:r w:rsidRPr="00970766">
        <w:rPr>
          <w:rFonts w:ascii="Wingdings" w:eastAsia="Wingdings" w:hAnsi="Wingdings" w:cs="Wingdings"/>
          <w:sz w:val="17"/>
        </w:rPr>
        <w:t></w:t>
      </w:r>
      <w:r w:rsidRPr="00970766">
        <w:rPr>
          <w:rStyle w:val="cf01"/>
        </w:rPr>
        <w:t xml:space="preserve"> Membre supérieur</w:t>
      </w:r>
    </w:p>
    <w:p w14:paraId="3BCBEA9F" w14:textId="77777777" w:rsidR="00AA7CC4" w:rsidRPr="00970766" w:rsidRDefault="00AA7CC4" w:rsidP="00AA7CC4">
      <w:pPr>
        <w:pStyle w:val="pf0"/>
        <w:spacing w:before="120" w:beforeAutospacing="0" w:after="120" w:afterAutospacing="0"/>
        <w:rPr>
          <w:rFonts w:ascii="Wingdings" w:eastAsia="Wingdings" w:hAnsi="Wingdings" w:cs="Wingdings"/>
          <w:sz w:val="17"/>
        </w:rPr>
      </w:pPr>
      <w:r w:rsidRPr="00970766">
        <w:rPr>
          <w:rStyle w:val="cf01"/>
        </w:rPr>
        <w:tab/>
      </w:r>
      <w:r w:rsidRPr="00970766">
        <w:rPr>
          <w:rFonts w:ascii="Wingdings" w:eastAsia="Wingdings" w:hAnsi="Wingdings" w:cs="Wingdings"/>
          <w:sz w:val="17"/>
        </w:rPr>
        <w:t></w:t>
      </w:r>
      <w:r w:rsidRPr="00970766">
        <w:rPr>
          <w:rFonts w:ascii="Wingdings" w:eastAsia="Wingdings" w:hAnsi="Wingdings" w:cs="Wingdings"/>
          <w:sz w:val="17"/>
        </w:rPr>
        <w:t></w:t>
      </w:r>
      <w:r w:rsidRPr="00970766">
        <w:rPr>
          <w:rStyle w:val="cf01"/>
        </w:rPr>
        <w:t>Main</w:t>
      </w:r>
    </w:p>
    <w:p w14:paraId="18F4A1D1" w14:textId="77777777" w:rsidR="00AA7CC4" w:rsidRPr="00970766" w:rsidRDefault="00AA7CC4" w:rsidP="00AA7CC4">
      <w:pPr>
        <w:pStyle w:val="pf0"/>
        <w:spacing w:before="120" w:beforeAutospacing="0" w:after="120" w:afterAutospacing="0"/>
        <w:rPr>
          <w:rStyle w:val="cf01"/>
        </w:rPr>
      </w:pPr>
      <w:r w:rsidRPr="00970766">
        <w:rPr>
          <w:rFonts w:ascii="Wingdings" w:eastAsia="Wingdings" w:hAnsi="Wingdings" w:cs="Wingdings"/>
          <w:sz w:val="17"/>
        </w:rPr>
        <w:tab/>
      </w:r>
      <w:r w:rsidRPr="00970766">
        <w:rPr>
          <w:rFonts w:ascii="Wingdings" w:eastAsia="Wingdings" w:hAnsi="Wingdings" w:cs="Wingdings"/>
          <w:sz w:val="17"/>
        </w:rPr>
        <w:t></w:t>
      </w:r>
      <w:r w:rsidRPr="00970766">
        <w:rPr>
          <w:rFonts w:ascii="Wingdings" w:eastAsia="Wingdings" w:hAnsi="Wingdings" w:cs="Wingdings"/>
          <w:sz w:val="17"/>
        </w:rPr>
        <w:t></w:t>
      </w:r>
      <w:r w:rsidRPr="00970766">
        <w:rPr>
          <w:rStyle w:val="cf01"/>
        </w:rPr>
        <w:t>Poignet</w:t>
      </w:r>
    </w:p>
    <w:p w14:paraId="7BF09069" w14:textId="77777777" w:rsidR="00AA7CC4" w:rsidRPr="00970766" w:rsidRDefault="00AA7CC4" w:rsidP="00AA7CC4">
      <w:pPr>
        <w:pStyle w:val="pf0"/>
        <w:spacing w:before="120" w:beforeAutospacing="0" w:after="120" w:afterAutospacing="0"/>
        <w:rPr>
          <w:rStyle w:val="cf01"/>
        </w:rPr>
      </w:pPr>
      <w:r w:rsidRPr="00970766">
        <w:rPr>
          <w:rStyle w:val="cf01"/>
        </w:rPr>
        <w:tab/>
      </w:r>
      <w:r w:rsidRPr="00970766">
        <w:rPr>
          <w:rFonts w:ascii="Wingdings" w:eastAsia="Wingdings" w:hAnsi="Wingdings" w:cs="Wingdings"/>
          <w:sz w:val="17"/>
        </w:rPr>
        <w:t></w:t>
      </w:r>
      <w:r w:rsidRPr="00970766">
        <w:rPr>
          <w:rFonts w:ascii="Wingdings" w:eastAsia="Wingdings" w:hAnsi="Wingdings" w:cs="Wingdings"/>
          <w:sz w:val="17"/>
        </w:rPr>
        <w:t></w:t>
      </w:r>
      <w:r w:rsidRPr="00970766">
        <w:rPr>
          <w:rStyle w:val="cf01"/>
        </w:rPr>
        <w:t>Avant-bras</w:t>
      </w:r>
    </w:p>
    <w:p w14:paraId="56E102E8" w14:textId="77777777" w:rsidR="00AA7CC4" w:rsidRPr="00970766" w:rsidRDefault="00AA7CC4" w:rsidP="00AA7CC4">
      <w:pPr>
        <w:pStyle w:val="pf0"/>
        <w:spacing w:before="120" w:beforeAutospacing="0" w:after="120" w:afterAutospacing="0"/>
        <w:ind w:firstLine="720"/>
        <w:rPr>
          <w:rStyle w:val="cf01"/>
        </w:rPr>
      </w:pPr>
      <w:r w:rsidRPr="00970766">
        <w:rPr>
          <w:rFonts w:ascii="Wingdings" w:eastAsia="Wingdings" w:hAnsi="Wingdings" w:cs="Wingdings"/>
          <w:sz w:val="17"/>
        </w:rPr>
        <w:t></w:t>
      </w:r>
      <w:r w:rsidRPr="00970766">
        <w:rPr>
          <w:rFonts w:ascii="Wingdings" w:eastAsia="Wingdings" w:hAnsi="Wingdings" w:cs="Wingdings"/>
          <w:sz w:val="17"/>
        </w:rPr>
        <w:t></w:t>
      </w:r>
      <w:r w:rsidRPr="00970766">
        <w:rPr>
          <w:rStyle w:val="cf01"/>
        </w:rPr>
        <w:t>Bras</w:t>
      </w:r>
    </w:p>
    <w:p w14:paraId="11395461" w14:textId="77777777" w:rsidR="00AA7CC4" w:rsidRPr="00970766" w:rsidRDefault="00AA7CC4" w:rsidP="00AA7CC4">
      <w:pPr>
        <w:pStyle w:val="pf0"/>
        <w:spacing w:before="120" w:after="120"/>
        <w:ind w:firstLine="720"/>
        <w:rPr>
          <w:rFonts w:ascii="Arial" w:hAnsi="Arial" w:cs="Arial"/>
          <w:sz w:val="20"/>
          <w:szCs w:val="20"/>
        </w:rPr>
      </w:pPr>
      <w:r w:rsidRPr="00970766">
        <w:rPr>
          <w:rFonts w:ascii="Wingdings" w:eastAsia="Wingdings" w:hAnsi="Wingdings" w:cs="Wingdings"/>
          <w:sz w:val="17"/>
        </w:rPr>
        <w:t></w:t>
      </w:r>
      <w:r w:rsidRPr="00970766">
        <w:rPr>
          <w:rFonts w:ascii="Wingdings" w:eastAsia="Wingdings" w:hAnsi="Wingdings" w:cs="Wingdings"/>
          <w:sz w:val="17"/>
        </w:rPr>
        <w:t></w:t>
      </w:r>
      <w:r w:rsidRPr="00970766">
        <w:rPr>
          <w:rStyle w:val="cf01"/>
        </w:rPr>
        <w:t>Epaule</w:t>
      </w:r>
    </w:p>
    <w:p w14:paraId="5F66B566" w14:textId="77777777" w:rsidR="00AA7CC4" w:rsidRPr="00970766" w:rsidRDefault="00AA7CC4" w:rsidP="00AA7CC4">
      <w:pPr>
        <w:pStyle w:val="pf0"/>
        <w:rPr>
          <w:rStyle w:val="cf01"/>
        </w:rPr>
      </w:pPr>
      <w:r w:rsidRPr="00970766">
        <w:rPr>
          <w:rFonts w:ascii="Wingdings" w:eastAsia="Wingdings" w:hAnsi="Wingdings" w:cs="Wingdings"/>
          <w:sz w:val="17"/>
        </w:rPr>
        <w:t></w:t>
      </w:r>
      <w:r w:rsidRPr="00970766">
        <w:rPr>
          <w:rStyle w:val="cf01"/>
        </w:rPr>
        <w:t xml:space="preserve"> Membre inférieur</w:t>
      </w:r>
    </w:p>
    <w:p w14:paraId="0249F1AF" w14:textId="77777777" w:rsidR="00AA7CC4" w:rsidRPr="00970766" w:rsidRDefault="00AA7CC4" w:rsidP="00AA7CC4">
      <w:pPr>
        <w:pStyle w:val="pf0"/>
        <w:spacing w:before="120" w:beforeAutospacing="0" w:after="120" w:afterAutospacing="0"/>
        <w:ind w:firstLine="720"/>
        <w:rPr>
          <w:rFonts w:ascii="Wingdings" w:eastAsia="Wingdings" w:hAnsi="Wingdings" w:cs="Wingdings"/>
          <w:sz w:val="17"/>
        </w:rPr>
      </w:pPr>
      <w:r w:rsidRPr="00970766">
        <w:rPr>
          <w:rFonts w:ascii="Wingdings" w:eastAsia="Wingdings" w:hAnsi="Wingdings" w:cs="Wingdings"/>
          <w:sz w:val="17"/>
        </w:rPr>
        <w:t></w:t>
      </w:r>
      <w:r w:rsidRPr="00970766">
        <w:rPr>
          <w:rFonts w:ascii="Wingdings" w:eastAsia="Wingdings" w:hAnsi="Wingdings" w:cs="Wingdings"/>
          <w:sz w:val="17"/>
        </w:rPr>
        <w:t></w:t>
      </w:r>
      <w:r w:rsidRPr="00970766">
        <w:rPr>
          <w:rStyle w:val="cf01"/>
        </w:rPr>
        <w:t>Pied</w:t>
      </w:r>
    </w:p>
    <w:p w14:paraId="69C98211" w14:textId="77777777" w:rsidR="00AA7CC4" w:rsidRPr="00970766" w:rsidRDefault="00AA7CC4" w:rsidP="00AA7CC4">
      <w:pPr>
        <w:pStyle w:val="pf0"/>
        <w:spacing w:before="120" w:beforeAutospacing="0" w:after="120" w:afterAutospacing="0"/>
        <w:rPr>
          <w:rStyle w:val="cf01"/>
        </w:rPr>
      </w:pPr>
      <w:r w:rsidRPr="00970766">
        <w:rPr>
          <w:rFonts w:ascii="Wingdings" w:eastAsia="Wingdings" w:hAnsi="Wingdings" w:cs="Wingdings"/>
          <w:sz w:val="17"/>
        </w:rPr>
        <w:tab/>
      </w:r>
      <w:r w:rsidRPr="00970766">
        <w:rPr>
          <w:rFonts w:ascii="Wingdings" w:eastAsia="Wingdings" w:hAnsi="Wingdings" w:cs="Wingdings"/>
          <w:sz w:val="17"/>
        </w:rPr>
        <w:t></w:t>
      </w:r>
      <w:r w:rsidRPr="00970766">
        <w:rPr>
          <w:rFonts w:ascii="Wingdings" w:eastAsia="Wingdings" w:hAnsi="Wingdings" w:cs="Wingdings"/>
          <w:sz w:val="17"/>
        </w:rPr>
        <w:t></w:t>
      </w:r>
      <w:r w:rsidRPr="00970766">
        <w:rPr>
          <w:rStyle w:val="cf01"/>
        </w:rPr>
        <w:t>Cheville</w:t>
      </w:r>
    </w:p>
    <w:p w14:paraId="728FA88E" w14:textId="77777777" w:rsidR="00AA7CC4" w:rsidRPr="00970766" w:rsidRDefault="00AA7CC4" w:rsidP="00AA7CC4">
      <w:pPr>
        <w:pStyle w:val="pf0"/>
        <w:spacing w:before="120" w:beforeAutospacing="0" w:after="120" w:afterAutospacing="0"/>
        <w:rPr>
          <w:rStyle w:val="cf01"/>
        </w:rPr>
      </w:pPr>
      <w:r w:rsidRPr="00970766">
        <w:rPr>
          <w:rStyle w:val="cf01"/>
        </w:rPr>
        <w:tab/>
      </w:r>
      <w:r w:rsidRPr="00970766">
        <w:rPr>
          <w:rFonts w:ascii="Wingdings" w:eastAsia="Wingdings" w:hAnsi="Wingdings" w:cs="Wingdings"/>
          <w:sz w:val="17"/>
        </w:rPr>
        <w:t></w:t>
      </w:r>
      <w:r w:rsidRPr="00970766">
        <w:rPr>
          <w:rFonts w:ascii="Wingdings" w:eastAsia="Wingdings" w:hAnsi="Wingdings" w:cs="Wingdings"/>
          <w:sz w:val="17"/>
        </w:rPr>
        <w:t></w:t>
      </w:r>
      <w:r w:rsidRPr="00970766">
        <w:rPr>
          <w:rStyle w:val="cf01"/>
        </w:rPr>
        <w:t>Jambe</w:t>
      </w:r>
    </w:p>
    <w:p w14:paraId="0C425363" w14:textId="77777777" w:rsidR="00AA7CC4" w:rsidRPr="00970766" w:rsidRDefault="00AA7CC4" w:rsidP="00AA7CC4">
      <w:pPr>
        <w:pStyle w:val="pf0"/>
        <w:spacing w:before="120" w:beforeAutospacing="0" w:after="120" w:afterAutospacing="0"/>
        <w:rPr>
          <w:rStyle w:val="cf01"/>
        </w:rPr>
      </w:pPr>
      <w:r w:rsidRPr="00970766">
        <w:rPr>
          <w:rStyle w:val="cf01"/>
        </w:rPr>
        <w:tab/>
      </w:r>
      <w:r w:rsidRPr="00970766">
        <w:rPr>
          <w:rFonts w:ascii="Wingdings" w:eastAsia="Wingdings" w:hAnsi="Wingdings" w:cs="Wingdings"/>
          <w:sz w:val="17"/>
        </w:rPr>
        <w:t></w:t>
      </w:r>
      <w:r w:rsidRPr="00970766">
        <w:rPr>
          <w:rFonts w:ascii="Wingdings" w:eastAsia="Wingdings" w:hAnsi="Wingdings" w:cs="Wingdings"/>
          <w:sz w:val="17"/>
        </w:rPr>
        <w:t></w:t>
      </w:r>
      <w:r w:rsidRPr="00970766">
        <w:rPr>
          <w:rStyle w:val="cf01"/>
        </w:rPr>
        <w:t>Genou</w:t>
      </w:r>
    </w:p>
    <w:p w14:paraId="6785C3EB" w14:textId="77777777" w:rsidR="00AA7CC4" w:rsidRPr="00970766" w:rsidRDefault="00AA7CC4" w:rsidP="00AA7CC4">
      <w:pPr>
        <w:pStyle w:val="pf0"/>
        <w:spacing w:before="120" w:beforeAutospacing="0" w:after="120" w:afterAutospacing="0"/>
        <w:ind w:firstLine="720"/>
        <w:rPr>
          <w:rStyle w:val="cf01"/>
        </w:rPr>
      </w:pPr>
      <w:r w:rsidRPr="00970766">
        <w:rPr>
          <w:rFonts w:ascii="Wingdings" w:eastAsia="Wingdings" w:hAnsi="Wingdings" w:cs="Wingdings"/>
          <w:sz w:val="17"/>
        </w:rPr>
        <w:t></w:t>
      </w:r>
      <w:r w:rsidRPr="00970766">
        <w:rPr>
          <w:rFonts w:ascii="Wingdings" w:eastAsia="Wingdings" w:hAnsi="Wingdings" w:cs="Wingdings"/>
          <w:sz w:val="17"/>
        </w:rPr>
        <w:t></w:t>
      </w:r>
      <w:r w:rsidRPr="00970766">
        <w:rPr>
          <w:rStyle w:val="cf01"/>
        </w:rPr>
        <w:t>Cuisse</w:t>
      </w:r>
    </w:p>
    <w:p w14:paraId="11BA0F1A" w14:textId="77777777" w:rsidR="00AA7CC4" w:rsidRPr="00970766" w:rsidRDefault="00AA7CC4" w:rsidP="00AA7CC4">
      <w:pPr>
        <w:pStyle w:val="pf0"/>
        <w:spacing w:before="120" w:beforeAutospacing="0" w:after="120" w:afterAutospacing="0"/>
        <w:ind w:firstLine="720"/>
        <w:rPr>
          <w:rStyle w:val="cf01"/>
        </w:rPr>
      </w:pPr>
      <w:r w:rsidRPr="00970766">
        <w:rPr>
          <w:rFonts w:ascii="Wingdings" w:eastAsia="Wingdings" w:hAnsi="Wingdings" w:cs="Wingdings"/>
          <w:sz w:val="17"/>
        </w:rPr>
        <w:t></w:t>
      </w:r>
      <w:r w:rsidRPr="00970766">
        <w:rPr>
          <w:rFonts w:ascii="Wingdings" w:eastAsia="Wingdings" w:hAnsi="Wingdings" w:cs="Wingdings"/>
          <w:sz w:val="17"/>
        </w:rPr>
        <w:t></w:t>
      </w:r>
      <w:r w:rsidRPr="00970766">
        <w:rPr>
          <w:rStyle w:val="cf01"/>
        </w:rPr>
        <w:t>Hanche</w:t>
      </w:r>
    </w:p>
    <w:p w14:paraId="29E20E2C" w14:textId="77777777" w:rsidR="00AA7CC4" w:rsidRPr="00970766" w:rsidRDefault="00AA7CC4" w:rsidP="00AA7CC4">
      <w:pPr>
        <w:pStyle w:val="pf0"/>
        <w:spacing w:before="120" w:after="120"/>
        <w:rPr>
          <w:rFonts w:ascii="Arial" w:hAnsi="Arial" w:cs="Arial"/>
          <w:sz w:val="20"/>
          <w:szCs w:val="20"/>
        </w:rPr>
      </w:pPr>
      <w:r w:rsidRPr="00970766">
        <w:rPr>
          <w:rStyle w:val="cf01"/>
        </w:rPr>
        <w:tab/>
      </w:r>
      <w:r w:rsidRPr="00970766">
        <w:rPr>
          <w:rFonts w:ascii="Wingdings" w:eastAsia="Wingdings" w:hAnsi="Wingdings" w:cs="Wingdings"/>
          <w:sz w:val="17"/>
        </w:rPr>
        <w:t></w:t>
      </w:r>
      <w:r w:rsidRPr="00970766">
        <w:rPr>
          <w:rFonts w:ascii="Wingdings" w:eastAsia="Wingdings" w:hAnsi="Wingdings" w:cs="Wingdings"/>
          <w:sz w:val="17"/>
        </w:rPr>
        <w:t></w:t>
      </w:r>
      <w:r w:rsidRPr="00970766">
        <w:rPr>
          <w:rStyle w:val="cf01"/>
        </w:rPr>
        <w:t>Région glutéale</w:t>
      </w:r>
    </w:p>
    <w:p w14:paraId="60466A86" w14:textId="77777777" w:rsidR="00AA7CC4" w:rsidRPr="00970766" w:rsidRDefault="00AA7CC4" w:rsidP="00AA7CC4">
      <w:pPr>
        <w:pStyle w:val="pf0"/>
        <w:rPr>
          <w:rFonts w:ascii="Arial" w:hAnsi="Arial" w:cs="Arial"/>
          <w:sz w:val="20"/>
          <w:szCs w:val="20"/>
        </w:rPr>
      </w:pPr>
      <w:r w:rsidRPr="00970766">
        <w:rPr>
          <w:rFonts w:ascii="Wingdings" w:eastAsia="Wingdings" w:hAnsi="Wingdings" w:cs="Wingdings"/>
          <w:sz w:val="17"/>
        </w:rPr>
        <w:t></w:t>
      </w:r>
      <w:r w:rsidRPr="00970766">
        <w:rPr>
          <w:rStyle w:val="cf01"/>
        </w:rPr>
        <w:t xml:space="preserve"> Autre : préciser …</w:t>
      </w:r>
    </w:p>
    <w:p w14:paraId="08718DE5" w14:textId="77777777" w:rsidR="00AA7CC4" w:rsidRPr="00970766" w:rsidRDefault="00AA7CC4" w:rsidP="00AA7CC4">
      <w:pPr>
        <w:rPr>
          <w:sz w:val="20"/>
          <w:szCs w:val="20"/>
          <w:bdr w:val="nil"/>
        </w:rPr>
      </w:pPr>
      <w:r w:rsidRPr="00970766">
        <w:rPr>
          <w:sz w:val="20"/>
          <w:szCs w:val="20"/>
          <w:bdr w:val="nil"/>
        </w:rPr>
        <w:t xml:space="preserve">Surface de la zone douloureure : … </w:t>
      </w:r>
      <w:r w:rsidR="003C423D" w:rsidRPr="00970766">
        <w:rPr>
          <w:sz w:val="20"/>
          <w:szCs w:val="20"/>
          <w:bdr w:val="nil"/>
        </w:rPr>
        <w:t xml:space="preserve">    </w:t>
      </w:r>
      <w:r w:rsidRPr="00970766">
        <w:rPr>
          <w:sz w:val="20"/>
          <w:szCs w:val="20"/>
          <w:bdr w:val="nil"/>
        </w:rPr>
        <w:t>cm²</w:t>
      </w:r>
    </w:p>
    <w:p w14:paraId="075D3D4C" w14:textId="77777777" w:rsidR="00AA7CC4" w:rsidRPr="00970766" w:rsidRDefault="00AA7CC4" w:rsidP="00AA7CC4">
      <w:pPr>
        <w:rPr>
          <w:sz w:val="20"/>
          <w:szCs w:val="20"/>
          <w:bdr w:val="nil"/>
        </w:rPr>
      </w:pPr>
    </w:p>
    <w:p w14:paraId="1F053B71" w14:textId="77777777" w:rsidR="00AA7CC4" w:rsidRPr="00970766" w:rsidRDefault="00AA7CC4" w:rsidP="00AA7CC4">
      <w:pPr>
        <w:rPr>
          <w:sz w:val="20"/>
          <w:szCs w:val="20"/>
          <w:bdr w:val="nil"/>
        </w:rPr>
      </w:pPr>
      <w:r w:rsidRPr="00970766">
        <w:rPr>
          <w:sz w:val="20"/>
          <w:szCs w:val="20"/>
          <w:bdr w:val="nil"/>
        </w:rPr>
        <w:t xml:space="preserve">Douleurs quotidiennes attribuées à une lésion nerveuse périphérique depuis au moins 6 mois: </w:t>
      </w:r>
    </w:p>
    <w:p w14:paraId="26C625AF" w14:textId="77777777" w:rsidR="00AA7CC4" w:rsidRPr="00970766" w:rsidRDefault="00AA7CC4" w:rsidP="00AA7CC4">
      <w:pPr>
        <w:rPr>
          <w:sz w:val="20"/>
          <w:szCs w:val="20"/>
          <w:bdr w:val="nil"/>
        </w:rPr>
      </w:pPr>
      <w:r w:rsidRPr="00970766">
        <w:rPr>
          <w:rFonts w:ascii="Wingdings" w:eastAsia="Wingdings" w:hAnsi="Wingdings" w:cs="Wingdings"/>
          <w:sz w:val="17"/>
          <w:szCs w:val="17"/>
          <w:bdr w:val="nil"/>
        </w:rPr>
        <w:t></w:t>
      </w:r>
      <w:r w:rsidRPr="00970766">
        <w:rPr>
          <w:rFonts w:ascii="Wingdings" w:eastAsia="Wingdings" w:hAnsi="Wingdings" w:cs="Wingdings"/>
          <w:sz w:val="17"/>
          <w:szCs w:val="17"/>
          <w:bdr w:val="nil"/>
        </w:rPr>
        <w:t></w:t>
      </w:r>
      <w:r w:rsidRPr="00970766">
        <w:rPr>
          <w:rFonts w:ascii="SimSun" w:hAnsi="SimSun" w:cs="SimSun"/>
          <w:sz w:val="20"/>
          <w:szCs w:val="20"/>
          <w:bdr w:val="nil"/>
        </w:rPr>
        <w:t xml:space="preserve">oui   </w:t>
      </w:r>
      <w:r w:rsidRPr="00970766">
        <w:rPr>
          <w:sz w:val="20"/>
          <w:szCs w:val="20"/>
          <w:bdr w:val="nil"/>
        </w:rPr>
        <w:t xml:space="preserve"> </w:t>
      </w:r>
      <w:r w:rsidRPr="00970766">
        <w:rPr>
          <w:rFonts w:ascii="Wingdings" w:eastAsia="Wingdings" w:hAnsi="Wingdings" w:cs="Wingdings"/>
          <w:sz w:val="17"/>
          <w:szCs w:val="17"/>
          <w:bdr w:val="nil"/>
        </w:rPr>
        <w:t></w:t>
      </w:r>
      <w:r w:rsidRPr="00970766">
        <w:rPr>
          <w:rFonts w:ascii="Wingdings" w:eastAsia="Wingdings" w:hAnsi="Wingdings" w:cs="Wingdings"/>
          <w:sz w:val="17"/>
          <w:szCs w:val="17"/>
          <w:bdr w:val="nil"/>
        </w:rPr>
        <w:t></w:t>
      </w:r>
      <w:r w:rsidRPr="00970766">
        <w:rPr>
          <w:rFonts w:ascii="SimSun" w:hAnsi="SimSun" w:cs="SimSun"/>
          <w:sz w:val="20"/>
          <w:szCs w:val="20"/>
          <w:bdr w:val="nil"/>
        </w:rPr>
        <w:t xml:space="preserve">non   </w:t>
      </w:r>
    </w:p>
    <w:p w14:paraId="1AA076EE" w14:textId="77777777" w:rsidR="00AA7CC4" w:rsidRPr="00970766" w:rsidRDefault="00AA7CC4" w:rsidP="00AA7CC4">
      <w:pPr>
        <w:rPr>
          <w:sz w:val="20"/>
          <w:szCs w:val="20"/>
          <w:bdr w:val="nil"/>
        </w:rPr>
      </w:pPr>
    </w:p>
    <w:p w14:paraId="18FF3F76" w14:textId="77777777" w:rsidR="00AA7CC4" w:rsidRPr="00970766" w:rsidRDefault="00AA7CC4" w:rsidP="00AA7CC4">
      <w:pPr>
        <w:rPr>
          <w:sz w:val="20"/>
          <w:szCs w:val="20"/>
          <w:bdr w:val="nil"/>
        </w:rPr>
      </w:pPr>
      <w:r w:rsidRPr="00970766">
        <w:rPr>
          <w:sz w:val="20"/>
          <w:szCs w:val="20"/>
          <w:bdr w:val="nil"/>
        </w:rPr>
        <w:t>Intensité douloureuse moyenne définie par l’échelle numérique : …/10</w:t>
      </w:r>
    </w:p>
    <w:p w14:paraId="133251C9" w14:textId="77777777" w:rsidR="00AA7CC4" w:rsidRPr="00970766" w:rsidRDefault="00AA7CC4" w:rsidP="00AA7CC4">
      <w:pPr>
        <w:rPr>
          <w:sz w:val="20"/>
          <w:szCs w:val="20"/>
          <w:bdr w:val="nil"/>
        </w:rPr>
      </w:pPr>
    </w:p>
    <w:p w14:paraId="0C783D2D" w14:textId="77777777" w:rsidR="00AA7CC4" w:rsidRPr="00970766" w:rsidRDefault="00AA7CC4" w:rsidP="00AA7CC4">
      <w:pPr>
        <w:rPr>
          <w:sz w:val="20"/>
          <w:szCs w:val="20"/>
          <w:bdr w:val="nil"/>
        </w:rPr>
      </w:pPr>
      <w:r w:rsidRPr="00970766">
        <w:rPr>
          <w:sz w:val="20"/>
          <w:szCs w:val="20"/>
          <w:bdr w:val="nil"/>
        </w:rPr>
        <w:t>Score DN4 : …</w:t>
      </w:r>
    </w:p>
    <w:p w14:paraId="7BCFA0D0" w14:textId="1E95EACD" w:rsidR="00AA7CC4" w:rsidRPr="00970766" w:rsidRDefault="00AA7CC4" w:rsidP="00AA7CC4">
      <w:pPr>
        <w:shd w:val="clear" w:color="auto" w:fill="DDD9C3"/>
        <w:tabs>
          <w:tab w:val="left" w:pos="9480"/>
        </w:tabs>
        <w:rPr>
          <w:b/>
          <w:bCs/>
          <w:sz w:val="24"/>
          <w:szCs w:val="24"/>
          <w:bdr w:val="nil"/>
        </w:rPr>
      </w:pPr>
      <w:r w:rsidRPr="00970766">
        <w:rPr>
          <w:b/>
          <w:bCs/>
          <w:sz w:val="24"/>
          <w:szCs w:val="24"/>
          <w:bdr w:val="nil"/>
        </w:rPr>
        <w:t>TRAITEMENT PAR BOTOX</w:t>
      </w:r>
    </w:p>
    <w:p w14:paraId="675957FA" w14:textId="785D78EC" w:rsidR="00AA7CC4" w:rsidRPr="00970766" w:rsidRDefault="00AA7CC4" w:rsidP="00AA7CC4">
      <w:pPr>
        <w:spacing w:beforeLines="50" w:before="120" w:afterLines="50" w:after="120"/>
        <w:jc w:val="both"/>
        <w:rPr>
          <w:b/>
          <w:sz w:val="28"/>
          <w:szCs w:val="28"/>
          <w:bdr w:val="nil"/>
        </w:rPr>
      </w:pPr>
      <w:r w:rsidRPr="00970766">
        <w:rPr>
          <w:rStyle w:val="Marquedecommentaire"/>
        </w:rPr>
        <w:t xml:space="preserve"> Date de la première administration de BOTOX dans l’indication du CPC : __</w:t>
      </w:r>
      <w:r w:rsidR="00DA7258" w:rsidRPr="00970766">
        <w:rPr>
          <w:rStyle w:val="Marquedecommentaire"/>
        </w:rPr>
        <w:t>__</w:t>
      </w:r>
      <w:r w:rsidRPr="00970766">
        <w:rPr>
          <w:rStyle w:val="Marquedecommentaire"/>
        </w:rPr>
        <w:t>/__</w:t>
      </w:r>
      <w:r w:rsidR="00DA7258" w:rsidRPr="00970766">
        <w:rPr>
          <w:rStyle w:val="Marquedecommentaire"/>
        </w:rPr>
        <w:t>__</w:t>
      </w:r>
      <w:r w:rsidRPr="00970766">
        <w:rPr>
          <w:rStyle w:val="Marquedecommentaire"/>
        </w:rPr>
        <w:t>/___</w:t>
      </w:r>
      <w:r w:rsidR="00DA7258" w:rsidRPr="00970766">
        <w:rPr>
          <w:rStyle w:val="Marquedecommentaire"/>
        </w:rPr>
        <w:t>__</w:t>
      </w:r>
      <w:r w:rsidRPr="00970766">
        <w:rPr>
          <w:rStyle w:val="Marquedecommentaire"/>
        </w:rPr>
        <w:t>_</w:t>
      </w:r>
    </w:p>
    <w:p w14:paraId="6990FAF1" w14:textId="34F4F201" w:rsidR="00AA7CC4" w:rsidRPr="00970766" w:rsidRDefault="00AA7CC4" w:rsidP="00AA7CC4">
      <w:pPr>
        <w:pStyle w:val="NormalWeb"/>
        <w:tabs>
          <w:tab w:val="left" w:pos="9639"/>
        </w:tabs>
        <w:ind w:right="1112"/>
        <w:rPr>
          <w:rFonts w:ascii="Arial" w:hAnsi="Arial" w:cs="Arial"/>
          <w:sz w:val="20"/>
          <w:szCs w:val="20"/>
          <w:lang w:val="fr-FR" w:eastAsia="fr-FR"/>
        </w:rPr>
      </w:pPr>
      <w:r w:rsidRPr="00970766">
        <w:rPr>
          <w:rFonts w:asciiTheme="minorHAnsi" w:hAnsiTheme="minorHAnsi"/>
          <w:b/>
          <w:bCs/>
          <w:bdr w:val="nil"/>
          <w:lang w:val="fr-FR"/>
        </w:rPr>
        <w:t>BOTOX</w:t>
      </w:r>
    </w:p>
    <w:p w14:paraId="79F7E9AE" w14:textId="77777777" w:rsidR="00AA7CC4" w:rsidRPr="00970766" w:rsidRDefault="00AA7CC4" w:rsidP="00AA7CC4">
      <w:pPr>
        <w:tabs>
          <w:tab w:val="left" w:pos="6060"/>
          <w:tab w:val="left" w:pos="6780"/>
        </w:tabs>
        <w:jc w:val="both"/>
        <w:rPr>
          <w:b/>
          <w:sz w:val="20"/>
          <w:szCs w:val="20"/>
          <w:bdr w:val="nil"/>
        </w:rPr>
      </w:pPr>
      <w:r w:rsidRPr="00970766">
        <w:rPr>
          <w:b/>
          <w:sz w:val="20"/>
          <w:szCs w:val="20"/>
          <w:bdr w:val="nil"/>
        </w:rPr>
        <w:t xml:space="preserve">POSOLOGIE PRESCRITE au moment de l’inclusion dans le CPC : </w:t>
      </w:r>
    </w:p>
    <w:p w14:paraId="36CCBB43" w14:textId="77777777" w:rsidR="00AA7CC4" w:rsidRPr="00970766" w:rsidRDefault="00AA7CC4" w:rsidP="00AA7CC4">
      <w:pPr>
        <w:tabs>
          <w:tab w:val="left" w:pos="6060"/>
          <w:tab w:val="left" w:pos="6780"/>
        </w:tabs>
        <w:jc w:val="both"/>
        <w:rPr>
          <w:b/>
          <w:sz w:val="20"/>
          <w:szCs w:val="20"/>
          <w:bdr w:val="nil"/>
        </w:rPr>
      </w:pPr>
    </w:p>
    <w:p w14:paraId="6738C757" w14:textId="77777777" w:rsidR="00AA7CC4" w:rsidRPr="00970766" w:rsidRDefault="00AA7CC4" w:rsidP="00AA7CC4">
      <w:pPr>
        <w:tabs>
          <w:tab w:val="left" w:pos="6060"/>
          <w:tab w:val="left" w:pos="6780"/>
        </w:tabs>
        <w:jc w:val="both"/>
        <w:rPr>
          <w:b/>
          <w:sz w:val="20"/>
          <w:szCs w:val="20"/>
          <w:bdr w:val="nil"/>
        </w:rPr>
      </w:pPr>
      <w:r w:rsidRPr="00970766">
        <w:rPr>
          <w:b/>
          <w:sz w:val="20"/>
          <w:szCs w:val="20"/>
          <w:bdr w:val="nil"/>
        </w:rPr>
        <w:t>Concentration de la solution reconstituée (Unités ALLERGAN /ml) :</w:t>
      </w:r>
    </w:p>
    <w:p w14:paraId="084431D2" w14:textId="77777777" w:rsidR="00AA7CC4" w:rsidRPr="00970766" w:rsidRDefault="00AA7CC4" w:rsidP="00AA7CC4">
      <w:pPr>
        <w:tabs>
          <w:tab w:val="left" w:pos="6060"/>
          <w:tab w:val="left" w:pos="6780"/>
        </w:tabs>
        <w:jc w:val="both"/>
        <w:rPr>
          <w:b/>
          <w:sz w:val="20"/>
          <w:szCs w:val="20"/>
          <w:bdr w:val="nil"/>
        </w:rPr>
      </w:pPr>
    </w:p>
    <w:p w14:paraId="3B37F744" w14:textId="77777777" w:rsidR="00AA7CC4" w:rsidRPr="00970766" w:rsidRDefault="00AA7CC4" w:rsidP="00AA7CC4">
      <w:pPr>
        <w:tabs>
          <w:tab w:val="left" w:pos="6060"/>
          <w:tab w:val="left" w:pos="6780"/>
        </w:tabs>
        <w:jc w:val="both"/>
        <w:rPr>
          <w:b/>
          <w:sz w:val="20"/>
          <w:szCs w:val="20"/>
          <w:bdr w:val="nil"/>
        </w:rPr>
      </w:pPr>
      <w:r w:rsidRPr="00970766">
        <w:rPr>
          <w:b/>
          <w:sz w:val="20"/>
          <w:szCs w:val="20"/>
          <w:bdr w:val="nil"/>
        </w:rPr>
        <w:t xml:space="preserve">Nombre de sites d’injections : </w:t>
      </w:r>
    </w:p>
    <w:p w14:paraId="6D15CB76" w14:textId="77777777" w:rsidR="00AA7CC4" w:rsidRPr="00970766" w:rsidRDefault="00AA7CC4" w:rsidP="00AA7CC4">
      <w:pPr>
        <w:tabs>
          <w:tab w:val="left" w:pos="6060"/>
          <w:tab w:val="left" w:pos="6780"/>
        </w:tabs>
        <w:jc w:val="both"/>
        <w:rPr>
          <w:b/>
          <w:sz w:val="20"/>
          <w:szCs w:val="20"/>
          <w:bdr w:val="nil"/>
        </w:rPr>
      </w:pPr>
    </w:p>
    <w:p w14:paraId="782B4CF3" w14:textId="77777777" w:rsidR="00AA7CC4" w:rsidRPr="00970766" w:rsidRDefault="00AA7CC4" w:rsidP="00AA7CC4">
      <w:pPr>
        <w:tabs>
          <w:tab w:val="left" w:pos="6060"/>
          <w:tab w:val="left" w:pos="6780"/>
        </w:tabs>
        <w:jc w:val="both"/>
        <w:rPr>
          <w:b/>
          <w:sz w:val="20"/>
          <w:szCs w:val="20"/>
          <w:bdr w:val="nil"/>
        </w:rPr>
      </w:pPr>
      <w:r w:rsidRPr="00970766">
        <w:rPr>
          <w:b/>
          <w:sz w:val="20"/>
          <w:szCs w:val="20"/>
          <w:bdr w:val="nil"/>
        </w:rPr>
        <w:t>Dose totale administrée (Unités ALLERGAN) :</w:t>
      </w:r>
    </w:p>
    <w:p w14:paraId="3033F373" w14:textId="77777777" w:rsidR="00AA7CC4" w:rsidRPr="00970766" w:rsidRDefault="00AA7CC4" w:rsidP="00AA7CC4">
      <w:pPr>
        <w:rPr>
          <w:rFonts w:cstheme="minorHAnsi"/>
          <w:sz w:val="20"/>
          <w:szCs w:val="20"/>
        </w:rPr>
      </w:pPr>
    </w:p>
    <w:p w14:paraId="540F4F47" w14:textId="77777777" w:rsidR="00AA7CC4" w:rsidRPr="00970766" w:rsidRDefault="00AA7CC4" w:rsidP="00AA7CC4">
      <w:pPr>
        <w:rPr>
          <w:sz w:val="20"/>
          <w:szCs w:val="20"/>
        </w:rPr>
      </w:pPr>
    </w:p>
    <w:p w14:paraId="6A614217" w14:textId="3451A8D9" w:rsidR="00AA7CC4" w:rsidRPr="00970766" w:rsidRDefault="00AA7CC4" w:rsidP="00AA7CC4">
      <w:pPr>
        <w:rPr>
          <w:rStyle w:val="lev"/>
        </w:rPr>
      </w:pPr>
      <w:r w:rsidRPr="00970766">
        <w:rPr>
          <w:rStyle w:val="lev"/>
        </w:rPr>
        <w:t xml:space="preserve">A l’issue de la consultation, remettre les documents d’information au patient (disponibles en </w:t>
      </w:r>
      <w:r w:rsidR="00785084">
        <w:rPr>
          <w:rStyle w:val="lev"/>
        </w:rPr>
        <w:t>A</w:t>
      </w:r>
      <w:r w:rsidRPr="00970766">
        <w:rPr>
          <w:rStyle w:val="lev"/>
        </w:rPr>
        <w:t>nnexe</w:t>
      </w:r>
      <w:r w:rsidR="000A1B35">
        <w:rPr>
          <w:rStyle w:val="lev"/>
        </w:rPr>
        <w:t>s</w:t>
      </w:r>
      <w:r w:rsidRPr="00970766">
        <w:rPr>
          <w:rStyle w:val="lev"/>
        </w:rPr>
        <w:t>) et informer le patient de la collecte de ses données personnelles.</w:t>
      </w:r>
    </w:p>
    <w:p w14:paraId="30314A64" w14:textId="77777777" w:rsidR="000A79B9" w:rsidRPr="00970766" w:rsidRDefault="000A79B9" w:rsidP="00AA7CC4">
      <w:pPr>
        <w:rPr>
          <w:rStyle w:val="lev"/>
        </w:rPr>
      </w:pPr>
    </w:p>
    <w:tbl>
      <w:tblPr>
        <w:tblW w:w="0" w:type="auto"/>
        <w:tblBorders>
          <w:top w:val="single" w:sz="18" w:space="0" w:color="auto"/>
          <w:left w:val="single" w:sz="18" w:space="0" w:color="auto"/>
          <w:bottom w:val="single" w:sz="18" w:space="0" w:color="auto"/>
          <w:right w:val="single" w:sz="18" w:space="0" w:color="auto"/>
        </w:tblBorders>
        <w:tblCellMar>
          <w:top w:w="28" w:type="dxa"/>
          <w:left w:w="28" w:type="dxa"/>
          <w:bottom w:w="28" w:type="dxa"/>
          <w:right w:w="28" w:type="dxa"/>
        </w:tblCellMar>
        <w:tblLook w:val="04A0" w:firstRow="1" w:lastRow="0" w:firstColumn="1" w:lastColumn="0" w:noHBand="0" w:noVBand="1"/>
      </w:tblPr>
      <w:tblGrid>
        <w:gridCol w:w="5041"/>
        <w:gridCol w:w="3985"/>
      </w:tblGrid>
      <w:tr w:rsidR="00AA7CC4" w:rsidRPr="00970766" w14:paraId="4E3EB80D" w14:textId="77777777" w:rsidTr="00EC7346">
        <w:tc>
          <w:tcPr>
            <w:tcW w:w="5041" w:type="dxa"/>
          </w:tcPr>
          <w:p w14:paraId="6DFFB697" w14:textId="77777777" w:rsidR="00AA7CC4" w:rsidRPr="00970766" w:rsidRDefault="00AA7CC4" w:rsidP="00EC7346">
            <w:pPr>
              <w:jc w:val="both"/>
              <w:rPr>
                <w:b/>
                <w:bCs/>
                <w:sz w:val="20"/>
                <w:szCs w:val="20"/>
                <w:bdr w:val="nil"/>
              </w:rPr>
            </w:pPr>
            <w:r w:rsidRPr="00970766">
              <w:rPr>
                <w:b/>
                <w:bCs/>
                <w:sz w:val="20"/>
                <w:szCs w:val="20"/>
                <w:bdr w:val="nil"/>
              </w:rPr>
              <w:t>Médecin prescripteur :</w:t>
            </w:r>
          </w:p>
          <w:p w14:paraId="42CCFBE4" w14:textId="77777777" w:rsidR="00AA7CC4" w:rsidRDefault="00AA7CC4" w:rsidP="00EC7346">
            <w:pPr>
              <w:jc w:val="both"/>
              <w:rPr>
                <w:b/>
                <w:bCs/>
                <w:sz w:val="20"/>
                <w:szCs w:val="20"/>
              </w:rPr>
            </w:pPr>
          </w:p>
          <w:p w14:paraId="060CBE03" w14:textId="18288271" w:rsidR="00B14435" w:rsidRPr="00970766" w:rsidRDefault="00B14435" w:rsidP="00EC7346">
            <w:pPr>
              <w:jc w:val="both"/>
              <w:rPr>
                <w:b/>
                <w:bCs/>
                <w:sz w:val="20"/>
                <w:szCs w:val="20"/>
              </w:rPr>
            </w:pPr>
            <w:r>
              <w:rPr>
                <w:b/>
                <w:bCs/>
                <w:sz w:val="20"/>
                <w:szCs w:val="20"/>
              </w:rPr>
              <w:t>N</w:t>
            </w:r>
            <w:r w:rsidRPr="00740BAC">
              <w:rPr>
                <w:b/>
                <w:bCs/>
                <w:sz w:val="20"/>
                <w:szCs w:val="20"/>
              </w:rPr>
              <w:t>° RPPS</w:t>
            </w:r>
            <w:r>
              <w:rPr>
                <w:b/>
                <w:bCs/>
                <w:sz w:val="20"/>
                <w:szCs w:val="20"/>
              </w:rPr>
              <w:t> :</w:t>
            </w:r>
          </w:p>
        </w:tc>
        <w:tc>
          <w:tcPr>
            <w:tcW w:w="3985" w:type="dxa"/>
          </w:tcPr>
          <w:p w14:paraId="31E23602" w14:textId="77777777" w:rsidR="00AA7CC4" w:rsidRPr="00970766" w:rsidRDefault="00AA7CC4" w:rsidP="00EC7346">
            <w:pPr>
              <w:jc w:val="both"/>
              <w:rPr>
                <w:sz w:val="20"/>
                <w:szCs w:val="20"/>
              </w:rPr>
            </w:pPr>
            <w:r w:rsidRPr="00970766">
              <w:rPr>
                <w:b/>
                <w:bCs/>
                <w:sz w:val="20"/>
                <w:szCs w:val="20"/>
                <w:bdr w:val="nil"/>
              </w:rPr>
              <w:t xml:space="preserve">JJ/MM/AAAA : </w:t>
            </w:r>
            <w:r w:rsidRPr="00970766">
              <w:rPr>
                <w:bCs/>
                <w:sz w:val="20"/>
                <w:szCs w:val="20"/>
                <w:bdr w:val="nil"/>
              </w:rPr>
              <w:t>|</w:t>
            </w:r>
            <w:r w:rsidRPr="00970766">
              <w:rPr>
                <w:bCs/>
                <w:sz w:val="20"/>
                <w:szCs w:val="20"/>
                <w:u w:val="single"/>
                <w:bdr w:val="nil"/>
              </w:rPr>
              <w:t xml:space="preserve">  </w:t>
            </w:r>
            <w:r w:rsidRPr="00970766">
              <w:rPr>
                <w:bCs/>
                <w:sz w:val="20"/>
                <w:szCs w:val="20"/>
                <w:bdr w:val="nil"/>
              </w:rPr>
              <w:t>||</w:t>
            </w:r>
            <w:r w:rsidRPr="00970766">
              <w:rPr>
                <w:bCs/>
                <w:sz w:val="20"/>
                <w:szCs w:val="20"/>
                <w:u w:val="single"/>
                <w:bdr w:val="nil"/>
              </w:rPr>
              <w:t xml:space="preserve">  </w:t>
            </w:r>
            <w:r w:rsidRPr="00970766">
              <w:rPr>
                <w:bCs/>
                <w:sz w:val="20"/>
                <w:szCs w:val="20"/>
                <w:bdr w:val="nil"/>
              </w:rPr>
              <w:t>|/|</w:t>
            </w:r>
            <w:r w:rsidRPr="00970766">
              <w:rPr>
                <w:bCs/>
                <w:sz w:val="20"/>
                <w:szCs w:val="20"/>
                <w:u w:val="single"/>
                <w:bdr w:val="nil"/>
              </w:rPr>
              <w:t xml:space="preserve">  </w:t>
            </w:r>
            <w:r w:rsidRPr="00970766">
              <w:rPr>
                <w:bCs/>
                <w:sz w:val="20"/>
                <w:szCs w:val="20"/>
                <w:bdr w:val="nil"/>
              </w:rPr>
              <w:t>||</w:t>
            </w:r>
            <w:r w:rsidRPr="00970766">
              <w:rPr>
                <w:bCs/>
                <w:sz w:val="20"/>
                <w:szCs w:val="20"/>
                <w:u w:val="single"/>
                <w:bdr w:val="nil"/>
              </w:rPr>
              <w:t xml:space="preserve">  </w:t>
            </w:r>
            <w:r w:rsidRPr="00970766">
              <w:rPr>
                <w:bCs/>
                <w:sz w:val="20"/>
                <w:szCs w:val="20"/>
                <w:bdr w:val="nil"/>
              </w:rPr>
              <w:t>|/ |</w:t>
            </w:r>
            <w:r w:rsidRPr="00970766">
              <w:rPr>
                <w:bCs/>
                <w:sz w:val="20"/>
                <w:szCs w:val="20"/>
                <w:u w:val="single"/>
                <w:bdr w:val="nil"/>
              </w:rPr>
              <w:t xml:space="preserve">  </w:t>
            </w:r>
            <w:r w:rsidRPr="00970766">
              <w:rPr>
                <w:bCs/>
                <w:sz w:val="20"/>
                <w:szCs w:val="20"/>
                <w:bdr w:val="nil"/>
              </w:rPr>
              <w:t>||</w:t>
            </w:r>
            <w:r w:rsidRPr="00970766">
              <w:rPr>
                <w:bCs/>
                <w:sz w:val="20"/>
                <w:szCs w:val="20"/>
                <w:u w:val="single"/>
                <w:bdr w:val="nil"/>
              </w:rPr>
              <w:t xml:space="preserve">  </w:t>
            </w:r>
            <w:r w:rsidRPr="00970766">
              <w:rPr>
                <w:bCs/>
                <w:sz w:val="20"/>
                <w:szCs w:val="20"/>
                <w:bdr w:val="nil"/>
              </w:rPr>
              <w:t>||</w:t>
            </w:r>
            <w:r w:rsidRPr="00970766">
              <w:rPr>
                <w:bCs/>
                <w:sz w:val="20"/>
                <w:szCs w:val="20"/>
                <w:u w:val="single"/>
                <w:bdr w:val="nil"/>
              </w:rPr>
              <w:t xml:space="preserve">  </w:t>
            </w:r>
            <w:r w:rsidRPr="00970766">
              <w:rPr>
                <w:bCs/>
                <w:sz w:val="20"/>
                <w:szCs w:val="20"/>
                <w:bdr w:val="nil"/>
              </w:rPr>
              <w:t>||</w:t>
            </w:r>
            <w:r w:rsidRPr="00970766">
              <w:rPr>
                <w:bCs/>
                <w:sz w:val="20"/>
                <w:szCs w:val="20"/>
                <w:u w:val="single"/>
                <w:bdr w:val="nil"/>
              </w:rPr>
              <w:t xml:space="preserve">  </w:t>
            </w:r>
            <w:r w:rsidRPr="00970766">
              <w:rPr>
                <w:bCs/>
                <w:sz w:val="20"/>
                <w:szCs w:val="20"/>
                <w:bdr w:val="nil"/>
              </w:rPr>
              <w:t>|</w:t>
            </w:r>
          </w:p>
        </w:tc>
      </w:tr>
      <w:tr w:rsidR="00AA7CC4" w:rsidRPr="00970766" w14:paraId="0FB30893" w14:textId="77777777" w:rsidTr="00EC7346">
        <w:tc>
          <w:tcPr>
            <w:tcW w:w="5041" w:type="dxa"/>
          </w:tcPr>
          <w:p w14:paraId="5727B5F2" w14:textId="77777777" w:rsidR="00AA7CC4" w:rsidRPr="00970766" w:rsidRDefault="00AA7CC4" w:rsidP="00EC7346">
            <w:pPr>
              <w:spacing w:beforeLines="50" w:before="120"/>
              <w:jc w:val="both"/>
              <w:rPr>
                <w:b/>
                <w:bCs/>
                <w:sz w:val="20"/>
                <w:szCs w:val="20"/>
              </w:rPr>
            </w:pPr>
            <w:r w:rsidRPr="00970766">
              <w:rPr>
                <w:b/>
                <w:bCs/>
                <w:sz w:val="20"/>
                <w:szCs w:val="20"/>
                <w:bdr w:val="nil"/>
              </w:rPr>
              <w:t>Hôpital (nom, adresse, service):</w:t>
            </w:r>
          </w:p>
        </w:tc>
        <w:tc>
          <w:tcPr>
            <w:tcW w:w="3985" w:type="dxa"/>
          </w:tcPr>
          <w:p w14:paraId="297BDBFC" w14:textId="77777777" w:rsidR="00AA7CC4" w:rsidRPr="00970766" w:rsidRDefault="00AA7CC4" w:rsidP="00EC7346">
            <w:pPr>
              <w:spacing w:beforeLines="50" w:before="120"/>
              <w:jc w:val="both"/>
              <w:rPr>
                <w:rFonts w:eastAsiaTheme="minorEastAsia"/>
                <w:b/>
                <w:bCs/>
                <w:sz w:val="20"/>
                <w:szCs w:val="20"/>
              </w:rPr>
            </w:pPr>
            <w:r w:rsidRPr="00970766">
              <w:rPr>
                <w:b/>
                <w:bCs/>
                <w:sz w:val="20"/>
                <w:szCs w:val="20"/>
                <w:bdr w:val="nil"/>
              </w:rPr>
              <w:t xml:space="preserve">Signature du médecin prescripteur : </w:t>
            </w:r>
          </w:p>
        </w:tc>
      </w:tr>
      <w:tr w:rsidR="00AA7CC4" w:rsidRPr="00970766" w14:paraId="3075B09D" w14:textId="77777777" w:rsidTr="00EC7346">
        <w:tc>
          <w:tcPr>
            <w:tcW w:w="5041" w:type="dxa"/>
          </w:tcPr>
          <w:p w14:paraId="625CA174" w14:textId="77777777" w:rsidR="00AA7CC4" w:rsidRPr="00970766" w:rsidRDefault="00AA7CC4" w:rsidP="00EC7346">
            <w:pPr>
              <w:spacing w:beforeLines="50" w:before="120"/>
              <w:jc w:val="both"/>
              <w:rPr>
                <w:sz w:val="20"/>
                <w:szCs w:val="20"/>
              </w:rPr>
            </w:pPr>
          </w:p>
        </w:tc>
        <w:tc>
          <w:tcPr>
            <w:tcW w:w="3985" w:type="dxa"/>
          </w:tcPr>
          <w:p w14:paraId="16AAC5DF" w14:textId="77777777" w:rsidR="00AA7CC4" w:rsidRPr="00970766" w:rsidRDefault="00AA7CC4" w:rsidP="00EC7346">
            <w:pPr>
              <w:spacing w:beforeLines="50" w:before="120"/>
              <w:jc w:val="both"/>
              <w:rPr>
                <w:sz w:val="20"/>
                <w:szCs w:val="20"/>
              </w:rPr>
            </w:pPr>
          </w:p>
        </w:tc>
      </w:tr>
      <w:tr w:rsidR="00AA7CC4" w:rsidRPr="00970766" w14:paraId="53907D48" w14:textId="77777777" w:rsidTr="00EC7346">
        <w:trPr>
          <w:trHeight w:val="754"/>
        </w:trPr>
        <w:tc>
          <w:tcPr>
            <w:tcW w:w="5041" w:type="dxa"/>
          </w:tcPr>
          <w:p w14:paraId="2E053E25" w14:textId="77777777" w:rsidR="00AA7CC4" w:rsidRPr="00970766" w:rsidRDefault="00AA7CC4" w:rsidP="00EC7346">
            <w:pPr>
              <w:spacing w:beforeLines="50" w:before="120"/>
              <w:jc w:val="both"/>
              <w:rPr>
                <w:b/>
                <w:bCs/>
                <w:sz w:val="20"/>
                <w:szCs w:val="20"/>
                <w:bdr w:val="nil"/>
              </w:rPr>
            </w:pPr>
            <w:r w:rsidRPr="00970766">
              <w:rPr>
                <w:b/>
                <w:bCs/>
                <w:sz w:val="20"/>
                <w:szCs w:val="20"/>
                <w:bdr w:val="nil"/>
              </w:rPr>
              <w:t>Courriel :</w:t>
            </w:r>
          </w:p>
          <w:p w14:paraId="1A2DD362" w14:textId="77777777" w:rsidR="00AA7CC4" w:rsidRPr="00970766" w:rsidRDefault="00AA7CC4" w:rsidP="00EC7346">
            <w:pPr>
              <w:spacing w:beforeLines="50" w:before="120"/>
              <w:jc w:val="both"/>
              <w:rPr>
                <w:b/>
                <w:bCs/>
                <w:sz w:val="20"/>
                <w:szCs w:val="20"/>
              </w:rPr>
            </w:pPr>
            <w:r w:rsidRPr="00970766">
              <w:rPr>
                <w:b/>
                <w:bCs/>
                <w:sz w:val="20"/>
                <w:szCs w:val="20"/>
                <w:bdr w:val="nil"/>
              </w:rPr>
              <w:t xml:space="preserve">Tel : </w:t>
            </w:r>
          </w:p>
        </w:tc>
        <w:tc>
          <w:tcPr>
            <w:tcW w:w="3985" w:type="dxa"/>
          </w:tcPr>
          <w:p w14:paraId="6B130415" w14:textId="77777777" w:rsidR="00AA7CC4" w:rsidRPr="00970766" w:rsidRDefault="00AA7CC4" w:rsidP="00EC7346">
            <w:pPr>
              <w:spacing w:beforeLines="50" w:before="120"/>
              <w:jc w:val="both"/>
              <w:rPr>
                <w:b/>
                <w:bCs/>
                <w:sz w:val="20"/>
                <w:szCs w:val="20"/>
              </w:rPr>
            </w:pPr>
          </w:p>
        </w:tc>
      </w:tr>
    </w:tbl>
    <w:p w14:paraId="69232379" w14:textId="77777777" w:rsidR="001E2226" w:rsidRDefault="001E2226" w:rsidP="001E2226">
      <w:pPr>
        <w:pStyle w:val="NormalWeb"/>
        <w:jc w:val="both"/>
        <w:rPr>
          <w:sz w:val="16"/>
          <w:szCs w:val="16"/>
          <w:lang w:val="fr-FR"/>
        </w:rPr>
      </w:pPr>
    </w:p>
    <w:p w14:paraId="0414BD84" w14:textId="77777777" w:rsidR="001E2226" w:rsidRPr="001E2226" w:rsidRDefault="001E2226" w:rsidP="001E2226">
      <w:pPr>
        <w:pStyle w:val="NormalWeb"/>
        <w:jc w:val="both"/>
        <w:rPr>
          <w:sz w:val="16"/>
          <w:szCs w:val="16"/>
          <w:lang w:val="fr-FR"/>
        </w:rPr>
      </w:pPr>
    </w:p>
    <w:p w14:paraId="2AB71B4A" w14:textId="33F4E0C3" w:rsidR="001E2226" w:rsidRDefault="009936CF" w:rsidP="009936CF">
      <w:pPr>
        <w:pStyle w:val="NormalWeb"/>
        <w:jc w:val="both"/>
        <w:rPr>
          <w:sz w:val="16"/>
          <w:szCs w:val="16"/>
          <w:lang w:val="fr-FR"/>
        </w:rPr>
      </w:pPr>
      <w:r w:rsidRPr="009936CF">
        <w:rPr>
          <w:sz w:val="16"/>
          <w:szCs w:val="16"/>
          <w:lang w:val="fr-FR"/>
        </w:rPr>
        <w:t>AbbVie</w:t>
      </w:r>
      <w:r w:rsidR="00EE2B5B" w:rsidRPr="00EE2B5B">
        <w:rPr>
          <w:sz w:val="16"/>
          <w:szCs w:val="16"/>
          <w:lang w:val="fr-FR"/>
        </w:rPr>
        <w:t xml:space="preserve">, situé 10 rue d’Arcueil 94150 Rungis, </w:t>
      </w:r>
      <w:r w:rsidRPr="009936CF">
        <w:rPr>
          <w:sz w:val="16"/>
          <w:szCs w:val="16"/>
          <w:lang w:val="fr-FR"/>
        </w:rPr>
        <w:t xml:space="preserve"> est responsable du traitement des données à caractère personnel mis en œuvre dans le contexte d’un cadre de prescription compassionnelle pour le médicament BOTOX 50, 100, 200 UNITÉS </w:t>
      </w:r>
      <w:r w:rsidR="00AC24F4" w:rsidRPr="009936CF">
        <w:rPr>
          <w:sz w:val="16"/>
          <w:szCs w:val="16"/>
          <w:lang w:val="fr-FR"/>
        </w:rPr>
        <w:t>ALLERGAN.</w:t>
      </w:r>
      <w:r w:rsidRPr="009936CF">
        <w:rPr>
          <w:sz w:val="16"/>
          <w:szCs w:val="16"/>
          <w:lang w:val="fr-FR"/>
        </w:rPr>
        <w:t xml:space="preserve"> Le traitement de vos données à caractère personnel est ainsi nécessaire pour permettre à AbbVie :</w:t>
      </w:r>
    </w:p>
    <w:p w14:paraId="4D9EB169" w14:textId="77777777" w:rsidR="000C2309" w:rsidRDefault="000C2309" w:rsidP="009936CF">
      <w:pPr>
        <w:pStyle w:val="NormalWeb"/>
        <w:jc w:val="both"/>
        <w:rPr>
          <w:sz w:val="16"/>
          <w:szCs w:val="16"/>
          <w:lang w:val="fr-FR"/>
        </w:rPr>
      </w:pPr>
    </w:p>
    <w:p w14:paraId="5C08E694" w14:textId="545F6EDB" w:rsidR="000C2309" w:rsidRDefault="000C2309" w:rsidP="000C2309">
      <w:pPr>
        <w:pStyle w:val="NormalWeb"/>
        <w:numPr>
          <w:ilvl w:val="0"/>
          <w:numId w:val="28"/>
        </w:numPr>
        <w:jc w:val="both"/>
        <w:rPr>
          <w:sz w:val="16"/>
          <w:szCs w:val="16"/>
          <w:lang w:val="fr-FR"/>
        </w:rPr>
      </w:pPr>
      <w:r w:rsidRPr="000C2309">
        <w:rPr>
          <w:sz w:val="16"/>
          <w:szCs w:val="16"/>
          <w:lang w:val="fr-FR"/>
        </w:rPr>
        <w:t>D’assurer le suivi de la collecte des données à caractère personnel des patients en vue de garantir une utilisation du médicament BOTOX 50, 100, 200 UNITÉS ALLERGAN conforme au protocole d’utilisation thérapeutique</w:t>
      </w:r>
    </w:p>
    <w:p w14:paraId="5C82A902" w14:textId="77777777" w:rsidR="000C2309" w:rsidRDefault="000C2309" w:rsidP="000C2309">
      <w:pPr>
        <w:pStyle w:val="NormalWeb"/>
        <w:numPr>
          <w:ilvl w:val="0"/>
          <w:numId w:val="28"/>
        </w:numPr>
        <w:jc w:val="both"/>
        <w:rPr>
          <w:sz w:val="16"/>
          <w:szCs w:val="16"/>
          <w:lang w:val="fr-FR"/>
        </w:rPr>
      </w:pPr>
      <w:r w:rsidRPr="000C2309">
        <w:rPr>
          <w:sz w:val="16"/>
          <w:szCs w:val="16"/>
          <w:lang w:val="fr-FR"/>
        </w:rPr>
        <w:t>De recueillir des informations sur les conditions d’utilisation du médicament sous cadre de prescription compassionnelle</w:t>
      </w:r>
    </w:p>
    <w:p w14:paraId="1B9AAB7D" w14:textId="77777777" w:rsidR="000C2309" w:rsidRPr="0038685B" w:rsidRDefault="000C2309" w:rsidP="0038685B">
      <w:pPr>
        <w:pStyle w:val="NormalWeb"/>
        <w:numPr>
          <w:ilvl w:val="0"/>
          <w:numId w:val="28"/>
        </w:numPr>
        <w:jc w:val="both"/>
        <w:rPr>
          <w:sz w:val="16"/>
          <w:szCs w:val="16"/>
          <w:lang w:val="fr-FR"/>
        </w:rPr>
      </w:pPr>
      <w:r w:rsidRPr="000C2309">
        <w:rPr>
          <w:sz w:val="16"/>
          <w:szCs w:val="16"/>
          <w:lang w:val="fr-FR"/>
        </w:rPr>
        <w:t>D’assurer légitimement la gestion des contacts avec les médecins prescripteurs et les pharmaciens dispensateurs de ces médicaments.</w:t>
      </w:r>
    </w:p>
    <w:p w14:paraId="17B19442" w14:textId="0A22F576" w:rsidR="00B91486" w:rsidRPr="00B469AB" w:rsidRDefault="001E2226" w:rsidP="00A03BF0">
      <w:pPr>
        <w:tabs>
          <w:tab w:val="left" w:pos="1400"/>
        </w:tabs>
        <w:spacing w:before="163" w:line="250" w:lineRule="auto"/>
        <w:ind w:right="845"/>
        <w:jc w:val="both"/>
        <w:rPr>
          <w:rFonts w:ascii="Imago" w:eastAsia="Times New Roman" w:hAnsi="Imago" w:cs="Times New Roman"/>
          <w:sz w:val="16"/>
          <w:szCs w:val="16"/>
        </w:rPr>
      </w:pPr>
      <w:r w:rsidRPr="00B469AB">
        <w:rPr>
          <w:rFonts w:ascii="Imago" w:eastAsia="Times New Roman" w:hAnsi="Imago" w:cs="Times New Roman"/>
          <w:sz w:val="16"/>
          <w:szCs w:val="16"/>
        </w:rPr>
        <w:lastRenderedPageBreak/>
        <w:t xml:space="preserve">Vos données sont conservées dans la limite d’un an suivant l’approbation par l’ANSM du résumé du dernier rapport de synthèse puis archivées jusqu’à 70 ans maximum à compter de l’expiration de la décision de l’ANSM ou de la date de décision de l’ANSM prononçant la suspension ou le retrait du cadre de prescription compassionnelle. Vos données seront ensuite supprimées ou anonymisées. AbbVie peut également produire des statistiques dans le cadre de ses activités et des services qu’elle met en œuvre après l’anonymisation de vos données ne permettant plus de vous identifier. Les destinataires de vos données sont AbbVie, les sous-traitants d’AbbVie présentant des garanties suffisantes au titre de la mise en œuvre de mesures techniques et organisationnelles appropriées, en particulier en termes de confidentialité et de sécurité et la maison mère d’AbbVie, AbbVie Inc (situés aux Etats-Unis d’Amérique), intervenant dans la mise en œuvre du cadre de prescription compassionnelle. Vos données sont également destinées aux organismes publics communautaires, nationaux ou locaux en charge de la surveillance des médicaments sous cadre de prescription compassionnelle. Le transfert de vos données vers la maison mère d’AbbVie, AbbVie Inc (Etats-Unis d’Amérique) est encadré par les clauses contractuelles types garantissant un niveau de protection suffisant des données personnelles. En cas de transfert subséquent vers des pays ne disposant pas de réglementation protectrice des données personnelles AbbVie s'assurera contractuellement que les données continueront à bénéficier d'une protection adéquate. Vous avez la possibilité de vous procurer une copie des clauses contractuelles types encadrant le transfert des données en vous adressant à </w:t>
      </w:r>
      <w:hyperlink r:id="rId27" w:history="1">
        <w:r w:rsidR="00B469AB" w:rsidRPr="00DD11B4">
          <w:rPr>
            <w:rStyle w:val="Lienhypertexte"/>
            <w:rFonts w:ascii="Imago" w:eastAsia="Times New Roman" w:hAnsi="Imago" w:cs="Times New Roman"/>
            <w:sz w:val="16"/>
            <w:szCs w:val="16"/>
          </w:rPr>
          <w:t>privacyoffice@abbvie.com</w:t>
        </w:r>
      </w:hyperlink>
      <w:r w:rsidRPr="00B469AB">
        <w:rPr>
          <w:rFonts w:ascii="Imago" w:eastAsia="Times New Roman" w:hAnsi="Imago" w:cs="Times New Roman"/>
          <w:sz w:val="16"/>
          <w:szCs w:val="16"/>
        </w:rPr>
        <w:t>. Vous êtes informé qu’en aucun cas vos données ne seront communiquées à des tiers non autorisés et en particulier vos données ne feront en aucun cas l’objet de commercialisation. Conformément à la réglementation, vous bénéficiez d’un droit d’accès, de rectification, de limitation du traitement de vos données, du droit d’introduire une réclamation auprès de la CNIL et du droit de définir des directives particulières relatives au sort de vos données après votre décès. Le droit d’opposition au traitement de vos données personnelles, le droit à l’effacement de vos données personnelles et le droit à la portabilité ne sont pas applicables à ce traitement. Vous pouvez exercer vos droits en vous adressant à</w:t>
      </w:r>
      <w:r w:rsidR="0038685B" w:rsidRPr="00B469AB">
        <w:rPr>
          <w:rFonts w:ascii="Imago" w:eastAsia="Times New Roman" w:hAnsi="Imago" w:cs="Times New Roman"/>
          <w:sz w:val="16"/>
          <w:szCs w:val="16"/>
        </w:rPr>
        <w:t xml:space="preserve"> : </w:t>
      </w:r>
      <w:hyperlink r:id="rId28" w:history="1">
        <w:r w:rsidR="00B469AB" w:rsidRPr="00DD11B4">
          <w:rPr>
            <w:rStyle w:val="Lienhypertexte"/>
            <w:rFonts w:ascii="Imago" w:eastAsia="Times New Roman" w:hAnsi="Imago" w:cs="Times New Roman"/>
            <w:sz w:val="16"/>
            <w:szCs w:val="16"/>
          </w:rPr>
          <w:t>privacyoffice@abbvie.com</w:t>
        </w:r>
      </w:hyperlink>
      <w:r w:rsidR="00B469AB">
        <w:rPr>
          <w:rFonts w:ascii="Imago" w:eastAsia="Times New Roman" w:hAnsi="Imago" w:cs="Times New Roman"/>
          <w:sz w:val="16"/>
          <w:szCs w:val="16"/>
        </w:rPr>
        <w:t xml:space="preserve">  </w:t>
      </w:r>
      <w:r w:rsidRPr="00B469AB">
        <w:rPr>
          <w:rFonts w:ascii="Imago" w:eastAsia="Times New Roman" w:hAnsi="Imago" w:cs="Times New Roman"/>
          <w:sz w:val="16"/>
          <w:szCs w:val="16"/>
        </w:rPr>
        <w:t xml:space="preserve"> ou en remplissant le formulaire accessible via le lien </w:t>
      </w:r>
      <w:hyperlink r:id="rId29" w:history="1">
        <w:r w:rsidR="00B469AB" w:rsidRPr="00DD11B4">
          <w:rPr>
            <w:rStyle w:val="Lienhypertexte"/>
            <w:rFonts w:ascii="Imago" w:eastAsia="Times New Roman" w:hAnsi="Imago" w:cs="Times New Roman"/>
            <w:sz w:val="16"/>
            <w:szCs w:val="16"/>
          </w:rPr>
          <w:t>https://abbviemetadata.my.site.com/AbbvieDSRM/s/?language=en_US</w:t>
        </w:r>
      </w:hyperlink>
      <w:r w:rsidR="00B469AB">
        <w:rPr>
          <w:rFonts w:ascii="Imago" w:eastAsia="Times New Roman" w:hAnsi="Imago" w:cs="Times New Roman"/>
          <w:sz w:val="16"/>
          <w:szCs w:val="16"/>
        </w:rPr>
        <w:t xml:space="preserve"> </w:t>
      </w:r>
      <w:r w:rsidRPr="00B469AB">
        <w:rPr>
          <w:rFonts w:ascii="Imago" w:eastAsia="Times New Roman" w:hAnsi="Imago" w:cs="Times New Roman"/>
          <w:sz w:val="16"/>
          <w:szCs w:val="16"/>
        </w:rPr>
        <w:t xml:space="preserve">ou envoyer un email à </w:t>
      </w:r>
      <w:hyperlink r:id="rId30" w:history="1">
        <w:r w:rsidR="00B469AB" w:rsidRPr="00DD11B4">
          <w:rPr>
            <w:rStyle w:val="Lienhypertexte"/>
            <w:rFonts w:ascii="Imago" w:eastAsia="Times New Roman" w:hAnsi="Imago" w:cs="Times New Roman"/>
            <w:sz w:val="16"/>
            <w:szCs w:val="16"/>
          </w:rPr>
          <w:t>privacydsr@abbvie.com</w:t>
        </w:r>
      </w:hyperlink>
      <w:r w:rsidRPr="00B469AB">
        <w:rPr>
          <w:rFonts w:ascii="Imago" w:eastAsia="Times New Roman" w:hAnsi="Imago" w:cs="Times New Roman"/>
          <w:sz w:val="16"/>
          <w:szCs w:val="16"/>
        </w:rPr>
        <w:t xml:space="preserve">. Vous pouvez contacter le délégué à la protection des données d’AbbVie aux coordonnées suivantes par email à l’adresse </w:t>
      </w:r>
      <w:hyperlink r:id="rId31" w:history="1">
        <w:r w:rsidR="00B469AB" w:rsidRPr="00DD11B4">
          <w:rPr>
            <w:rStyle w:val="Lienhypertexte"/>
            <w:rFonts w:ascii="Imago" w:eastAsia="Times New Roman" w:hAnsi="Imago" w:cs="Times New Roman"/>
            <w:sz w:val="16"/>
            <w:szCs w:val="16"/>
          </w:rPr>
          <w:t>privacyoffice@abbvie.com</w:t>
        </w:r>
      </w:hyperlink>
      <w:r w:rsidR="00B469AB">
        <w:rPr>
          <w:rFonts w:ascii="Imago" w:eastAsia="Times New Roman" w:hAnsi="Imago" w:cs="Times New Roman"/>
          <w:sz w:val="16"/>
          <w:szCs w:val="16"/>
        </w:rPr>
        <w:t xml:space="preserve"> </w:t>
      </w:r>
      <w:r w:rsidRPr="00B469AB">
        <w:rPr>
          <w:rFonts w:ascii="Imago" w:eastAsia="Times New Roman" w:hAnsi="Imago" w:cs="Times New Roman"/>
          <w:sz w:val="16"/>
          <w:szCs w:val="16"/>
        </w:rPr>
        <w:t xml:space="preserve">ou par courrier : AbbVie Customer Service Attn: Privacy Department 36M 1 N. Waukegan Road North Chicago, IL 60064-6163. Pour toute information complémentaire, nous vous invitons à consulter notre Politique de confidentialité </w:t>
      </w:r>
      <w:hyperlink r:id="rId32" w:history="1">
        <w:r w:rsidR="00B469AB" w:rsidRPr="00DD11B4">
          <w:rPr>
            <w:rStyle w:val="Lienhypertexte"/>
            <w:rFonts w:ascii="Imago" w:eastAsia="Times New Roman" w:hAnsi="Imago" w:cs="Times New Roman"/>
            <w:sz w:val="16"/>
            <w:szCs w:val="16"/>
          </w:rPr>
          <w:t>http://www.abbvie.fr/privacy/home.html</w:t>
        </w:r>
      </w:hyperlink>
      <w:r w:rsidR="00B469AB">
        <w:rPr>
          <w:rFonts w:ascii="Imago" w:eastAsia="Times New Roman" w:hAnsi="Imago" w:cs="Times New Roman"/>
          <w:sz w:val="16"/>
          <w:szCs w:val="16"/>
        </w:rPr>
        <w:t xml:space="preserve">. </w:t>
      </w:r>
    </w:p>
    <w:p w14:paraId="12916426" w14:textId="77777777" w:rsidR="00B91486" w:rsidRDefault="00B91486" w:rsidP="00A03BF0">
      <w:pPr>
        <w:tabs>
          <w:tab w:val="left" w:pos="1400"/>
        </w:tabs>
        <w:spacing w:before="163" w:line="250" w:lineRule="auto"/>
        <w:ind w:right="845"/>
        <w:jc w:val="both"/>
        <w:rPr>
          <w:rFonts w:ascii="Arial" w:hAnsi="Arial" w:cs="Arial"/>
          <w:b/>
          <w:color w:val="1E3662"/>
          <w:sz w:val="20"/>
          <w:szCs w:val="20"/>
        </w:rPr>
      </w:pPr>
    </w:p>
    <w:p w14:paraId="6EBBB3CF" w14:textId="77777777" w:rsidR="00FC333E" w:rsidRDefault="00FC333E">
      <w:pPr>
        <w:rPr>
          <w:rFonts w:ascii="Arial" w:hAnsi="Arial" w:cs="Arial"/>
          <w:b/>
          <w:color w:val="1E3662"/>
          <w:sz w:val="20"/>
          <w:szCs w:val="20"/>
        </w:rPr>
      </w:pPr>
      <w:r>
        <w:rPr>
          <w:rFonts w:ascii="Arial" w:hAnsi="Arial" w:cs="Arial"/>
          <w:b/>
          <w:color w:val="1E3662"/>
          <w:sz w:val="20"/>
          <w:szCs w:val="20"/>
        </w:rPr>
        <w:br w:type="page"/>
      </w:r>
    </w:p>
    <w:p w14:paraId="31EDFA45" w14:textId="77777777" w:rsidR="00A03BF0" w:rsidRDefault="00AA7CC4" w:rsidP="005841E9">
      <w:pPr>
        <w:tabs>
          <w:tab w:val="left" w:pos="1400"/>
        </w:tabs>
        <w:spacing w:before="163" w:line="250" w:lineRule="auto"/>
        <w:ind w:right="845"/>
        <w:jc w:val="both"/>
        <w:outlineLvl w:val="2"/>
        <w:rPr>
          <w:rFonts w:ascii="Arial" w:hAnsi="Arial" w:cs="Arial"/>
          <w:b/>
          <w:color w:val="1E3662"/>
          <w:sz w:val="20"/>
          <w:szCs w:val="20"/>
        </w:rPr>
      </w:pPr>
      <w:bookmarkStart w:id="12" w:name="_Toc158900879"/>
      <w:r w:rsidRPr="00970766">
        <w:rPr>
          <w:rFonts w:ascii="Arial" w:hAnsi="Arial" w:cs="Arial"/>
          <w:b/>
          <w:color w:val="1E3662"/>
          <w:sz w:val="20"/>
          <w:szCs w:val="20"/>
        </w:rPr>
        <w:lastRenderedPageBreak/>
        <w:t>A</w:t>
      </w:r>
      <w:r w:rsidR="007D5AAD" w:rsidRPr="00970766">
        <w:rPr>
          <w:rFonts w:ascii="Arial" w:hAnsi="Arial" w:cs="Arial"/>
          <w:b/>
          <w:color w:val="1E3662"/>
          <w:sz w:val="20"/>
          <w:szCs w:val="20"/>
        </w:rPr>
        <w:t xml:space="preserve">NNEXE </w:t>
      </w:r>
      <w:r w:rsidR="003E5E09" w:rsidRPr="00970766">
        <w:rPr>
          <w:rFonts w:ascii="Arial" w:hAnsi="Arial" w:cs="Arial"/>
          <w:b/>
          <w:color w:val="1E3662"/>
          <w:sz w:val="20"/>
          <w:szCs w:val="20"/>
        </w:rPr>
        <w:t>1</w:t>
      </w:r>
      <w:r w:rsidRPr="00970766">
        <w:rPr>
          <w:rFonts w:ascii="Arial" w:hAnsi="Arial" w:cs="Arial"/>
          <w:b/>
          <w:color w:val="1E3662"/>
          <w:sz w:val="20"/>
          <w:szCs w:val="20"/>
        </w:rPr>
        <w:t>.2 : fiche de suivi pour les visites initiales V1</w:t>
      </w:r>
      <w:r w:rsidR="00A03BF0">
        <w:rPr>
          <w:rFonts w:ascii="Arial" w:hAnsi="Arial" w:cs="Arial"/>
          <w:b/>
          <w:color w:val="1E3662"/>
          <w:sz w:val="20"/>
          <w:szCs w:val="20"/>
        </w:rPr>
        <w:t xml:space="preserve"> et V2</w:t>
      </w:r>
      <w:bookmarkEnd w:id="12"/>
      <w:r w:rsidR="00A03BF0">
        <w:rPr>
          <w:rFonts w:ascii="Arial" w:hAnsi="Arial" w:cs="Arial"/>
          <w:b/>
          <w:color w:val="1E3662"/>
          <w:sz w:val="20"/>
          <w:szCs w:val="20"/>
        </w:rPr>
        <w:t xml:space="preserve"> </w:t>
      </w:r>
    </w:p>
    <w:p w14:paraId="11A6FC77" w14:textId="6C2CB57A" w:rsidR="00A03BF0" w:rsidRPr="00A03BF0" w:rsidRDefault="00A03BF0" w:rsidP="00A03BF0">
      <w:pPr>
        <w:tabs>
          <w:tab w:val="left" w:pos="1400"/>
        </w:tabs>
        <w:spacing w:before="163" w:line="250" w:lineRule="auto"/>
        <w:ind w:right="845"/>
        <w:jc w:val="both"/>
        <w:rPr>
          <w:rFonts w:ascii="Arial" w:hAnsi="Arial" w:cs="Arial"/>
          <w:sz w:val="20"/>
          <w:szCs w:val="20"/>
        </w:rPr>
      </w:pPr>
      <w:r w:rsidRPr="00A03BF0">
        <w:rPr>
          <w:rFonts w:ascii="Arial" w:hAnsi="Arial" w:cs="Arial"/>
          <w:sz w:val="20"/>
          <w:szCs w:val="20"/>
        </w:rPr>
        <w:t>À</w:t>
      </w:r>
      <w:r w:rsidR="00AA7CC4" w:rsidRPr="00A03BF0">
        <w:rPr>
          <w:rFonts w:ascii="Arial" w:hAnsi="Arial" w:cs="Arial"/>
          <w:sz w:val="20"/>
          <w:szCs w:val="20"/>
        </w:rPr>
        <w:t xml:space="preserve"> réaliser dans les 24 semaines suivant l’initiation du traitement et avant toute administr</w:t>
      </w:r>
      <w:r>
        <w:rPr>
          <w:rFonts w:ascii="Arial" w:hAnsi="Arial" w:cs="Arial"/>
          <w:sz w:val="20"/>
          <w:szCs w:val="20"/>
        </w:rPr>
        <w:t>ation supplémentaire de BOTOX).</w:t>
      </w:r>
    </w:p>
    <w:p w14:paraId="4E301B13" w14:textId="77777777" w:rsidR="00AA7CC4" w:rsidRPr="00A03BF0" w:rsidRDefault="00A03BF0" w:rsidP="00A03BF0">
      <w:pPr>
        <w:tabs>
          <w:tab w:val="left" w:pos="1400"/>
        </w:tabs>
        <w:spacing w:before="163" w:line="250" w:lineRule="auto"/>
        <w:ind w:right="845"/>
        <w:jc w:val="both"/>
        <w:rPr>
          <w:rFonts w:ascii="Arial" w:hAnsi="Arial" w:cs="Arial"/>
          <w:sz w:val="20"/>
          <w:szCs w:val="20"/>
        </w:rPr>
      </w:pPr>
      <w:r w:rsidRPr="00A03BF0">
        <w:rPr>
          <w:rFonts w:ascii="Arial" w:hAnsi="Arial" w:cs="Arial"/>
          <w:sz w:val="20"/>
          <w:szCs w:val="20"/>
        </w:rPr>
        <w:t>À</w:t>
      </w:r>
      <w:r w:rsidR="00AA7CC4" w:rsidRPr="00A03BF0">
        <w:rPr>
          <w:rFonts w:ascii="Arial" w:hAnsi="Arial" w:cs="Arial"/>
          <w:sz w:val="20"/>
          <w:szCs w:val="20"/>
        </w:rPr>
        <w:t xml:space="preserve"> saisir de manière électronique uniquement</w:t>
      </w:r>
      <w:r>
        <w:rPr>
          <w:rFonts w:ascii="Arial" w:hAnsi="Arial" w:cs="Arial"/>
          <w:sz w:val="20"/>
          <w:szCs w:val="20"/>
        </w:rPr>
        <w:t>.</w:t>
      </w:r>
    </w:p>
    <w:p w14:paraId="268B8A6F" w14:textId="77777777" w:rsidR="00AA7CC4" w:rsidRPr="00970766" w:rsidRDefault="00AA7CC4" w:rsidP="00AA7CC4">
      <w:pPr>
        <w:spacing w:line="60" w:lineRule="exact"/>
        <w:jc w:val="both"/>
        <w:rPr>
          <w:sz w:val="20"/>
          <w:szCs w:val="20"/>
          <w:lang w:eastAsia="zh-CN"/>
        </w:rPr>
      </w:pPr>
    </w:p>
    <w:p w14:paraId="524A98B1" w14:textId="0A3AF512" w:rsidR="00AA7CC4" w:rsidRPr="00970766" w:rsidRDefault="00AA7CC4" w:rsidP="00AA7CC4">
      <w:pPr>
        <w:pBdr>
          <w:top w:val="single" w:sz="4" w:space="1" w:color="auto"/>
          <w:left w:val="single" w:sz="4" w:space="0" w:color="auto"/>
          <w:bottom w:val="single" w:sz="4" w:space="1" w:color="auto"/>
          <w:right w:val="single" w:sz="4" w:space="4" w:color="auto"/>
        </w:pBdr>
        <w:shd w:val="clear" w:color="auto" w:fill="CCC0D9"/>
        <w:spacing w:line="400" w:lineRule="exact"/>
        <w:ind w:rightChars="37" w:right="81"/>
        <w:jc w:val="center"/>
        <w:rPr>
          <w:b/>
          <w:bCs/>
          <w:sz w:val="28"/>
          <w:szCs w:val="28"/>
          <w:lang w:eastAsia="zh-CN"/>
        </w:rPr>
      </w:pPr>
      <w:r w:rsidRPr="00970766">
        <w:rPr>
          <w:b/>
          <w:bCs/>
          <w:sz w:val="28"/>
          <w:szCs w:val="28"/>
          <w:bdr w:val="nil"/>
        </w:rPr>
        <w:t>Cadre de prescription compassionnelle BOTOX</w:t>
      </w:r>
    </w:p>
    <w:p w14:paraId="12D0AC60" w14:textId="77777777" w:rsidR="00AA7CC4" w:rsidRPr="00970766" w:rsidRDefault="00AA7CC4" w:rsidP="00AA7CC4">
      <w:pPr>
        <w:pBdr>
          <w:top w:val="single" w:sz="4" w:space="1" w:color="auto"/>
          <w:left w:val="single" w:sz="4" w:space="0" w:color="auto"/>
          <w:bottom w:val="single" w:sz="4" w:space="1" w:color="auto"/>
          <w:right w:val="single" w:sz="4" w:space="4" w:color="auto"/>
        </w:pBdr>
        <w:shd w:val="clear" w:color="auto" w:fill="F1F1F1"/>
        <w:spacing w:line="400" w:lineRule="exact"/>
        <w:ind w:rightChars="37" w:right="81"/>
        <w:jc w:val="center"/>
        <w:rPr>
          <w:b/>
          <w:bCs/>
          <w:sz w:val="28"/>
          <w:szCs w:val="28"/>
          <w:bdr w:val="nil"/>
        </w:rPr>
      </w:pPr>
      <w:r w:rsidRPr="00970766">
        <w:rPr>
          <w:b/>
          <w:bCs/>
          <w:sz w:val="28"/>
          <w:szCs w:val="28"/>
          <w:bdr w:val="nil"/>
        </w:rPr>
        <w:t>FICHE DE SUIVI – V1/V2</w:t>
      </w:r>
    </w:p>
    <w:p w14:paraId="6A718BD4" w14:textId="77777777" w:rsidR="00AA7CC4" w:rsidRPr="00970766" w:rsidRDefault="00AA7CC4" w:rsidP="00AA7CC4">
      <w:pPr>
        <w:pBdr>
          <w:top w:val="single" w:sz="4" w:space="1" w:color="auto"/>
          <w:left w:val="single" w:sz="4" w:space="0" w:color="auto"/>
          <w:bottom w:val="single" w:sz="4" w:space="1" w:color="auto"/>
          <w:right w:val="single" w:sz="4" w:space="4" w:color="auto"/>
        </w:pBdr>
        <w:shd w:val="clear" w:color="auto" w:fill="F1F1F1"/>
        <w:spacing w:line="400" w:lineRule="exact"/>
        <w:ind w:rightChars="37" w:right="81"/>
        <w:jc w:val="center"/>
        <w:rPr>
          <w:b/>
          <w:bCs/>
          <w:sz w:val="28"/>
          <w:szCs w:val="28"/>
          <w:bdr w:val="nil"/>
        </w:rPr>
      </w:pPr>
      <w:r w:rsidRPr="00970766">
        <w:rPr>
          <w:b/>
          <w:bCs/>
          <w:sz w:val="28"/>
          <w:szCs w:val="28"/>
          <w:bdr w:val="nil"/>
        </w:rPr>
        <w:t xml:space="preserve"> V1 : dans les 12 semaines après l’initiation du traitement (1</w:t>
      </w:r>
      <w:r w:rsidRPr="00970766">
        <w:rPr>
          <w:b/>
          <w:bCs/>
          <w:sz w:val="28"/>
          <w:szCs w:val="28"/>
          <w:bdr w:val="nil"/>
          <w:vertAlign w:val="superscript"/>
        </w:rPr>
        <w:t>ère</w:t>
      </w:r>
      <w:r w:rsidRPr="00970766">
        <w:rPr>
          <w:b/>
          <w:bCs/>
          <w:sz w:val="28"/>
          <w:szCs w:val="28"/>
          <w:bdr w:val="nil"/>
        </w:rPr>
        <w:t xml:space="preserve"> administration)</w:t>
      </w:r>
    </w:p>
    <w:p w14:paraId="210E439F" w14:textId="77777777" w:rsidR="00AA7CC4" w:rsidRPr="00970766" w:rsidRDefault="00AA7CC4" w:rsidP="00AA7CC4">
      <w:pPr>
        <w:pBdr>
          <w:top w:val="single" w:sz="4" w:space="1" w:color="auto"/>
          <w:left w:val="single" w:sz="4" w:space="0" w:color="auto"/>
          <w:bottom w:val="single" w:sz="4" w:space="1" w:color="auto"/>
          <w:right w:val="single" w:sz="4" w:space="4" w:color="auto"/>
        </w:pBdr>
        <w:shd w:val="clear" w:color="auto" w:fill="F1F1F1"/>
        <w:spacing w:line="400" w:lineRule="exact"/>
        <w:ind w:rightChars="37" w:right="81"/>
        <w:jc w:val="center"/>
        <w:rPr>
          <w:b/>
          <w:bCs/>
          <w:sz w:val="28"/>
          <w:szCs w:val="28"/>
          <w:bdr w:val="nil"/>
        </w:rPr>
      </w:pPr>
      <w:r w:rsidRPr="00970766">
        <w:rPr>
          <w:b/>
          <w:bCs/>
          <w:sz w:val="28"/>
          <w:szCs w:val="28"/>
          <w:bdr w:val="nil"/>
        </w:rPr>
        <w:t>V2 : dans les 12 semaines après la 2</w:t>
      </w:r>
      <w:r w:rsidRPr="00970766">
        <w:rPr>
          <w:b/>
          <w:bCs/>
          <w:sz w:val="28"/>
          <w:szCs w:val="28"/>
          <w:bdr w:val="nil"/>
          <w:vertAlign w:val="superscript"/>
        </w:rPr>
        <w:t>ème</w:t>
      </w:r>
      <w:r w:rsidRPr="00970766">
        <w:rPr>
          <w:b/>
          <w:bCs/>
          <w:sz w:val="28"/>
          <w:szCs w:val="28"/>
          <w:bdr w:val="nil"/>
        </w:rPr>
        <w:t xml:space="preserve"> administration</w:t>
      </w:r>
    </w:p>
    <w:p w14:paraId="3B44EB0D" w14:textId="12D86ECF" w:rsidR="00AA7CC4" w:rsidRPr="00970766" w:rsidRDefault="00AA7CC4" w:rsidP="00AA7CC4">
      <w:pPr>
        <w:tabs>
          <w:tab w:val="left" w:pos="4678"/>
        </w:tabs>
        <w:spacing w:before="120" w:after="120"/>
        <w:ind w:right="425"/>
        <w:jc w:val="both"/>
        <w:rPr>
          <w:b/>
          <w:sz w:val="20"/>
          <w:szCs w:val="20"/>
        </w:rPr>
      </w:pPr>
      <w:r w:rsidRPr="00970766">
        <w:rPr>
          <w:b/>
          <w:sz w:val="20"/>
          <w:szCs w:val="20"/>
        </w:rPr>
        <w:t xml:space="preserve">Si le traitement a été débuté avant la mise en place de ce CPC, que plus de deux administrations de BOTOX ont été effectuées et qu’un bénéfice est observé chez le patient (diminution de l’intensité de la douleur d’au moins 30% par rapport à l’évaluation avant la mise en place du traitement), </w:t>
      </w:r>
      <w:r w:rsidR="0085566A">
        <w:rPr>
          <w:b/>
          <w:sz w:val="20"/>
          <w:szCs w:val="20"/>
        </w:rPr>
        <w:t>passez directement à l’ANNEXE 1</w:t>
      </w:r>
      <w:r w:rsidRPr="00970766">
        <w:rPr>
          <w:b/>
          <w:sz w:val="20"/>
          <w:szCs w:val="20"/>
        </w:rPr>
        <w:t>.3 Fiche de suivi trimestrielle – Vx.</w:t>
      </w:r>
    </w:p>
    <w:p w14:paraId="5DFA25B7" w14:textId="77777777" w:rsidR="00AA7CC4" w:rsidRPr="00970766" w:rsidRDefault="00AA7CC4" w:rsidP="00AA7CC4">
      <w:pPr>
        <w:spacing w:line="60" w:lineRule="exact"/>
        <w:jc w:val="both"/>
        <w:rPr>
          <w:sz w:val="20"/>
          <w:szCs w:val="20"/>
        </w:rPr>
      </w:pPr>
    </w:p>
    <w:p w14:paraId="6085CF12" w14:textId="77777777" w:rsidR="00AA7CC4" w:rsidRPr="00970766" w:rsidRDefault="00AA7CC4" w:rsidP="00AA7CC4">
      <w:pPr>
        <w:spacing w:line="60" w:lineRule="exact"/>
        <w:jc w:val="both"/>
        <w:rPr>
          <w:sz w:val="20"/>
          <w:szCs w:val="20"/>
        </w:rPr>
      </w:pPr>
    </w:p>
    <w:p w14:paraId="0865CD78" w14:textId="77777777" w:rsidR="00AA7CC4" w:rsidRPr="00F85008" w:rsidRDefault="003E5E09" w:rsidP="00AA7CC4">
      <w:pPr>
        <w:pBdr>
          <w:top w:val="single" w:sz="4" w:space="2" w:color="auto"/>
          <w:left w:val="single" w:sz="4" w:space="0" w:color="auto"/>
          <w:bottom w:val="single" w:sz="4" w:space="1" w:color="auto"/>
          <w:right w:val="single" w:sz="4" w:space="31" w:color="auto"/>
        </w:pBdr>
        <w:tabs>
          <w:tab w:val="left" w:pos="9639"/>
        </w:tabs>
        <w:ind w:right="1112"/>
        <w:jc w:val="center"/>
        <w:rPr>
          <w:rFonts w:ascii="Arial" w:eastAsia="Calibri" w:hAnsi="Arial" w:cs="Arial"/>
          <w:sz w:val="20"/>
          <w:szCs w:val="20"/>
          <w:lang w:val="en-GB"/>
        </w:rPr>
      </w:pPr>
      <w:r w:rsidRPr="00F85008">
        <w:rPr>
          <w:rFonts w:ascii="Arial" w:eastAsia="Calibri" w:hAnsi="Arial" w:cs="Arial"/>
          <w:sz w:val="20"/>
          <w:szCs w:val="20"/>
          <w:lang w:val="en-GB"/>
        </w:rPr>
        <w:t>Date de visite :</w:t>
      </w:r>
      <w:r w:rsidR="00AA7CC4" w:rsidRPr="00F85008">
        <w:rPr>
          <w:rFonts w:ascii="Arial" w:eastAsia="Calibri" w:hAnsi="Arial" w:cs="Arial"/>
          <w:sz w:val="20"/>
          <w:szCs w:val="20"/>
          <w:lang w:val="en-GB"/>
        </w:rPr>
        <w:t xml:space="preserve"> I_I_I  I_I_I  I_I_I_I_I</w:t>
      </w:r>
    </w:p>
    <w:p w14:paraId="44882599" w14:textId="77777777" w:rsidR="00AA7CC4" w:rsidRPr="00F85008" w:rsidRDefault="00AA7CC4" w:rsidP="00AA7CC4">
      <w:pPr>
        <w:shd w:val="clear" w:color="auto" w:fill="DDD9C3"/>
        <w:tabs>
          <w:tab w:val="left" w:pos="9480"/>
        </w:tabs>
        <w:spacing w:beforeLines="50" w:before="120" w:afterLines="50" w:after="120"/>
        <w:rPr>
          <w:sz w:val="24"/>
          <w:szCs w:val="24"/>
          <w:lang w:val="en-GB"/>
        </w:rPr>
      </w:pPr>
      <w:r w:rsidRPr="00F85008">
        <w:rPr>
          <w:b/>
          <w:sz w:val="24"/>
          <w:szCs w:val="24"/>
          <w:bdr w:val="nil"/>
          <w:lang w:val="en-GB"/>
        </w:rPr>
        <w:t>IDENTIFICATION DU PATIENT</w:t>
      </w:r>
    </w:p>
    <w:p w14:paraId="3617307B" w14:textId="77777777" w:rsidR="00AA7CC4" w:rsidRPr="00F85008" w:rsidRDefault="00AA7CC4" w:rsidP="00AA7CC4">
      <w:pPr>
        <w:tabs>
          <w:tab w:val="left" w:pos="4678"/>
        </w:tabs>
        <w:spacing w:before="120" w:after="120"/>
        <w:ind w:right="1112"/>
        <w:rPr>
          <w:rFonts w:ascii="Arial" w:eastAsia="Calibri" w:hAnsi="Arial" w:cs="Arial"/>
          <w:sz w:val="20"/>
          <w:szCs w:val="20"/>
          <w:lang w:val="en-GB"/>
        </w:rPr>
      </w:pPr>
      <w:r w:rsidRPr="00F85008">
        <w:rPr>
          <w:rFonts w:ascii="Arial" w:eastAsia="Calibri" w:hAnsi="Arial" w:cs="Arial"/>
          <w:sz w:val="20"/>
          <w:szCs w:val="20"/>
          <w:lang w:val="en-GB"/>
        </w:rPr>
        <w:t>Initiales (</w:t>
      </w:r>
      <w:r w:rsidRPr="00F85008">
        <w:rPr>
          <w:rFonts w:ascii="Arial" w:eastAsia="Calibri" w:hAnsi="Arial" w:cs="Arial"/>
          <w:i/>
          <w:sz w:val="20"/>
          <w:szCs w:val="20"/>
          <w:lang w:val="en-GB"/>
        </w:rPr>
        <w:t>Nom – Prénom</w:t>
      </w:r>
      <w:r w:rsidRPr="00F85008">
        <w:rPr>
          <w:rFonts w:ascii="Arial" w:eastAsia="Calibri" w:hAnsi="Arial" w:cs="Arial"/>
          <w:sz w:val="20"/>
          <w:szCs w:val="20"/>
          <w:lang w:val="en-GB"/>
        </w:rPr>
        <w:t>) : I_I_I_I – I_I</w:t>
      </w:r>
      <w:r w:rsidR="003E5E09" w:rsidRPr="00F85008">
        <w:rPr>
          <w:rFonts w:ascii="Arial" w:eastAsia="Calibri" w:hAnsi="Arial" w:cs="Arial"/>
          <w:sz w:val="20"/>
          <w:szCs w:val="20"/>
          <w:lang w:val="en-GB"/>
        </w:rPr>
        <w:t>_I</w:t>
      </w:r>
      <w:r w:rsidRPr="00F85008">
        <w:rPr>
          <w:rFonts w:ascii="Arial" w:eastAsia="Calibri" w:hAnsi="Arial" w:cs="Arial"/>
          <w:sz w:val="20"/>
          <w:szCs w:val="20"/>
          <w:lang w:val="en-GB"/>
        </w:rPr>
        <w:t xml:space="preserve">     </w:t>
      </w:r>
      <w:r w:rsidRPr="00F85008">
        <w:rPr>
          <w:rFonts w:ascii="Arial" w:eastAsia="Calibri" w:hAnsi="Arial" w:cs="Arial"/>
          <w:sz w:val="20"/>
          <w:szCs w:val="20"/>
          <w:lang w:val="en-GB"/>
        </w:rPr>
        <w:tab/>
      </w:r>
      <w:r w:rsidR="003E5E09" w:rsidRPr="00F85008">
        <w:rPr>
          <w:b/>
          <w:bCs/>
          <w:sz w:val="20"/>
          <w:szCs w:val="20"/>
          <w:bdr w:val="nil"/>
          <w:lang w:val="en-GB"/>
        </w:rPr>
        <w:t xml:space="preserve">POIDS : </w:t>
      </w:r>
      <w:r w:rsidR="003E5E09" w:rsidRPr="00F85008">
        <w:rPr>
          <w:sz w:val="20"/>
          <w:szCs w:val="20"/>
          <w:bdr w:val="nil"/>
          <w:lang w:val="en-GB"/>
        </w:rPr>
        <w:t>|</w:t>
      </w:r>
      <w:r w:rsidR="003E5E09" w:rsidRPr="00F85008">
        <w:rPr>
          <w:sz w:val="20"/>
          <w:szCs w:val="20"/>
          <w:u w:val="single"/>
          <w:bdr w:val="nil"/>
          <w:lang w:val="en-GB"/>
        </w:rPr>
        <w:t xml:space="preserve">  |  |  </w:t>
      </w:r>
      <w:r w:rsidR="003E5E09" w:rsidRPr="00F85008">
        <w:rPr>
          <w:sz w:val="20"/>
          <w:szCs w:val="20"/>
          <w:bdr w:val="nil"/>
          <w:lang w:val="en-GB"/>
        </w:rPr>
        <w:t>| kg</w:t>
      </w:r>
    </w:p>
    <w:p w14:paraId="32ABA69E" w14:textId="77777777" w:rsidR="00AA7CC4" w:rsidRPr="00970766" w:rsidRDefault="00AA7CC4" w:rsidP="00AA7CC4">
      <w:pPr>
        <w:tabs>
          <w:tab w:val="left" w:pos="4678"/>
        </w:tabs>
        <w:spacing w:before="120" w:after="120"/>
        <w:ind w:right="1112"/>
        <w:rPr>
          <w:rFonts w:ascii="Arial" w:eastAsia="Calibri" w:hAnsi="Arial" w:cs="Arial"/>
          <w:sz w:val="20"/>
          <w:szCs w:val="20"/>
        </w:rPr>
      </w:pPr>
      <w:r w:rsidRPr="00970766">
        <w:rPr>
          <w:rFonts w:ascii="Wingdings" w:eastAsia="Wingdings" w:hAnsi="Wingdings" w:cs="Wingdings"/>
          <w:sz w:val="17"/>
          <w:szCs w:val="17"/>
          <w:bdr w:val="nil"/>
        </w:rPr>
        <w:t></w:t>
      </w:r>
      <w:r w:rsidRPr="00970766">
        <w:rPr>
          <w:rFonts w:ascii="Arial" w:eastAsia="Calibri" w:hAnsi="Arial" w:cs="Arial"/>
          <w:sz w:val="20"/>
          <w:szCs w:val="20"/>
        </w:rPr>
        <w:t xml:space="preserve"> V1 : dans les 12 semaines après l’initiation du traitement (1ère administration)</w:t>
      </w:r>
    </w:p>
    <w:p w14:paraId="7E23BD42" w14:textId="77777777" w:rsidR="00AA7CC4" w:rsidRPr="00970766" w:rsidRDefault="00AA7CC4" w:rsidP="00AA7CC4">
      <w:pPr>
        <w:tabs>
          <w:tab w:val="left" w:pos="4678"/>
        </w:tabs>
        <w:spacing w:before="120" w:after="120"/>
        <w:ind w:right="1112"/>
        <w:rPr>
          <w:rFonts w:ascii="Arial" w:eastAsia="Calibri" w:hAnsi="Arial" w:cs="Arial"/>
          <w:sz w:val="20"/>
          <w:szCs w:val="20"/>
        </w:rPr>
      </w:pPr>
      <w:r w:rsidRPr="00970766">
        <w:rPr>
          <w:rFonts w:ascii="Wingdings" w:eastAsia="Wingdings" w:hAnsi="Wingdings" w:cs="Wingdings"/>
          <w:sz w:val="17"/>
          <w:szCs w:val="17"/>
          <w:bdr w:val="nil"/>
        </w:rPr>
        <w:t></w:t>
      </w:r>
      <w:r w:rsidRPr="00970766">
        <w:rPr>
          <w:rFonts w:ascii="Arial" w:eastAsia="Calibri" w:hAnsi="Arial" w:cs="Arial"/>
          <w:sz w:val="20"/>
          <w:szCs w:val="20"/>
        </w:rPr>
        <w:t xml:space="preserve"> V2 : dans les 12 semaines après la 2ème administration</w:t>
      </w:r>
    </w:p>
    <w:p w14:paraId="3C208038" w14:textId="77777777" w:rsidR="00AA7CC4" w:rsidRPr="00970766" w:rsidRDefault="00AA7CC4" w:rsidP="00AA7CC4">
      <w:pPr>
        <w:tabs>
          <w:tab w:val="left" w:pos="4678"/>
        </w:tabs>
        <w:spacing w:before="120" w:after="120"/>
        <w:ind w:right="1112"/>
        <w:rPr>
          <w:sz w:val="20"/>
          <w:szCs w:val="20"/>
          <w:bdr w:val="nil"/>
        </w:rPr>
      </w:pPr>
      <w:r w:rsidRPr="00970766">
        <w:rPr>
          <w:sz w:val="20"/>
          <w:szCs w:val="20"/>
          <w:bdr w:val="nil"/>
        </w:rPr>
        <w:t xml:space="preserve"> </w:t>
      </w:r>
    </w:p>
    <w:p w14:paraId="45E3A5E8" w14:textId="141FC8AE" w:rsidR="00AA7CC4" w:rsidRPr="00970766" w:rsidRDefault="00AA7CC4" w:rsidP="00AA7CC4">
      <w:pPr>
        <w:shd w:val="clear" w:color="auto" w:fill="DDD9C3"/>
        <w:tabs>
          <w:tab w:val="left" w:pos="9480"/>
        </w:tabs>
        <w:spacing w:beforeLines="50" w:before="120" w:afterLines="50" w:after="120"/>
        <w:rPr>
          <w:b/>
          <w:bCs/>
          <w:sz w:val="24"/>
          <w:szCs w:val="24"/>
        </w:rPr>
      </w:pPr>
      <w:r w:rsidRPr="00970766">
        <w:rPr>
          <w:b/>
          <w:bCs/>
          <w:sz w:val="24"/>
          <w:szCs w:val="24"/>
          <w:bdr w:val="nil"/>
        </w:rPr>
        <w:t xml:space="preserve">TRAITEMENT PAR BOTOX </w:t>
      </w:r>
    </w:p>
    <w:p w14:paraId="49608CA6" w14:textId="226267A5" w:rsidR="00AA7CC4" w:rsidRPr="00970766" w:rsidRDefault="00AA7CC4" w:rsidP="00AA7CC4">
      <w:pPr>
        <w:tabs>
          <w:tab w:val="left" w:pos="460"/>
        </w:tabs>
        <w:spacing w:before="39"/>
        <w:rPr>
          <w:sz w:val="20"/>
          <w:szCs w:val="20"/>
          <w:bdr w:val="nil"/>
        </w:rPr>
      </w:pPr>
      <w:r w:rsidRPr="00970766">
        <w:rPr>
          <w:sz w:val="20"/>
          <w:szCs w:val="20"/>
          <w:bdr w:val="nil"/>
        </w:rPr>
        <w:t xml:space="preserve">Depuis la dernière visite, le traitement par BOTOX  a-t-il été modifié ?   </w:t>
      </w:r>
      <w:r w:rsidR="00B94272" w:rsidRPr="00970766">
        <w:rPr>
          <w:rFonts w:ascii="Wingdings" w:eastAsia="Wingdings" w:hAnsi="Wingdings" w:cs="Wingdings"/>
        </w:rPr>
        <w:t></w:t>
      </w:r>
      <w:r w:rsidRPr="00970766">
        <w:rPr>
          <w:sz w:val="20"/>
          <w:szCs w:val="20"/>
          <w:bdr w:val="nil"/>
        </w:rPr>
        <w:t xml:space="preserve">  non         </w:t>
      </w:r>
      <w:r w:rsidR="00B94272" w:rsidRPr="00970766">
        <w:rPr>
          <w:rFonts w:ascii="Wingdings" w:eastAsia="Wingdings" w:hAnsi="Wingdings" w:cs="Wingdings"/>
        </w:rPr>
        <w:t></w:t>
      </w:r>
      <w:r w:rsidRPr="00970766">
        <w:rPr>
          <w:sz w:val="20"/>
          <w:szCs w:val="20"/>
          <w:bdr w:val="nil"/>
        </w:rPr>
        <w:t xml:space="preserve">  oui   </w:t>
      </w:r>
    </w:p>
    <w:p w14:paraId="18008E34" w14:textId="77777777" w:rsidR="00AA7CC4" w:rsidRPr="00970766" w:rsidRDefault="00AA7CC4" w:rsidP="00AA7CC4">
      <w:pPr>
        <w:jc w:val="both"/>
        <w:rPr>
          <w:sz w:val="20"/>
          <w:szCs w:val="20"/>
          <w:bdr w:val="nil"/>
        </w:rPr>
      </w:pPr>
      <w:r w:rsidRPr="00970766">
        <w:rPr>
          <w:sz w:val="20"/>
          <w:szCs w:val="20"/>
          <w:bdr w:val="nil"/>
        </w:rPr>
        <w:t>Si oui, veuillez préciser :</w:t>
      </w:r>
    </w:p>
    <w:p w14:paraId="685C28D2" w14:textId="77777777" w:rsidR="00AA7CC4" w:rsidRPr="00970766" w:rsidRDefault="00AA7CC4" w:rsidP="00AA7CC4">
      <w:pPr>
        <w:ind w:firstLine="454"/>
        <w:jc w:val="both"/>
        <w:rPr>
          <w:rFonts w:cs="SimSun"/>
          <w:sz w:val="20"/>
          <w:szCs w:val="20"/>
          <w:bdr w:val="nil"/>
          <w:lang w:eastAsia="zh-CN"/>
        </w:rPr>
      </w:pPr>
      <w:r w:rsidRPr="00970766">
        <w:rPr>
          <w:rFonts w:ascii="Wingdings" w:eastAsia="Wingdings" w:hAnsi="Wingdings" w:cs="Wingdings"/>
          <w:sz w:val="17"/>
          <w:szCs w:val="17"/>
          <w:bdr w:val="nil"/>
        </w:rPr>
        <w:t></w:t>
      </w:r>
      <w:r w:rsidRPr="00970766">
        <w:rPr>
          <w:sz w:val="20"/>
          <w:szCs w:val="20"/>
          <w:bdr w:val="nil"/>
        </w:rPr>
        <w:t xml:space="preserve"> </w:t>
      </w:r>
      <w:r w:rsidRPr="00970766">
        <w:rPr>
          <w:rFonts w:cs="SimSun"/>
          <w:sz w:val="20"/>
          <w:szCs w:val="20"/>
          <w:bdr w:val="nil"/>
          <w:lang w:eastAsia="zh-CN"/>
        </w:rPr>
        <w:t xml:space="preserve">modification de la posologie     </w:t>
      </w:r>
      <w:r w:rsidRPr="00970766">
        <w:rPr>
          <w:rFonts w:ascii="Wingdings" w:eastAsia="Wingdings" w:hAnsi="Wingdings" w:cs="Wingdings"/>
          <w:sz w:val="17"/>
          <w:szCs w:val="17"/>
          <w:bdr w:val="nil"/>
        </w:rPr>
        <w:t></w:t>
      </w:r>
      <w:r w:rsidRPr="00970766">
        <w:rPr>
          <w:sz w:val="20"/>
          <w:szCs w:val="20"/>
          <w:bdr w:val="nil"/>
        </w:rPr>
        <w:t xml:space="preserve"> </w:t>
      </w:r>
      <w:r w:rsidRPr="00970766">
        <w:rPr>
          <w:rFonts w:cs="SimSun"/>
          <w:sz w:val="20"/>
          <w:szCs w:val="20"/>
          <w:bdr w:val="nil"/>
          <w:lang w:eastAsia="zh-CN"/>
        </w:rPr>
        <w:t xml:space="preserve">Interruption temporaire     </w:t>
      </w:r>
      <w:r w:rsidRPr="00970766">
        <w:rPr>
          <w:rFonts w:ascii="Wingdings" w:eastAsia="Wingdings" w:hAnsi="Wingdings" w:cs="Wingdings"/>
          <w:sz w:val="17"/>
          <w:szCs w:val="17"/>
          <w:bdr w:val="nil"/>
        </w:rPr>
        <w:t></w:t>
      </w:r>
      <w:r w:rsidRPr="00970766">
        <w:rPr>
          <w:sz w:val="20"/>
          <w:szCs w:val="20"/>
          <w:bdr w:val="nil"/>
        </w:rPr>
        <w:t xml:space="preserve"> </w:t>
      </w:r>
      <w:r w:rsidRPr="00970766">
        <w:rPr>
          <w:rFonts w:cs="SimSun"/>
          <w:sz w:val="20"/>
          <w:szCs w:val="20"/>
          <w:bdr w:val="nil"/>
          <w:lang w:eastAsia="zh-CN"/>
        </w:rPr>
        <w:t xml:space="preserve">Interruption définitive du médicament </w:t>
      </w:r>
    </w:p>
    <w:p w14:paraId="3296E884" w14:textId="77777777" w:rsidR="00AA7CC4" w:rsidRPr="00970766" w:rsidRDefault="00AA7CC4" w:rsidP="00AA7CC4">
      <w:pPr>
        <w:ind w:firstLine="454"/>
        <w:jc w:val="both"/>
        <w:rPr>
          <w:sz w:val="20"/>
          <w:szCs w:val="20"/>
          <w:bdr w:val="nil"/>
        </w:rPr>
      </w:pPr>
    </w:p>
    <w:p w14:paraId="6262DCD4" w14:textId="6B564D1B" w:rsidR="00AA7CC4" w:rsidRPr="00970766" w:rsidRDefault="00AA7CC4" w:rsidP="00AA7CC4">
      <w:pPr>
        <w:spacing w:beforeLines="50" w:before="120" w:afterLines="50" w:after="120"/>
        <w:jc w:val="both"/>
        <w:rPr>
          <w:sz w:val="20"/>
          <w:szCs w:val="20"/>
        </w:rPr>
      </w:pPr>
      <w:r w:rsidRPr="00970766">
        <w:rPr>
          <w:sz w:val="20"/>
          <w:szCs w:val="20"/>
        </w:rPr>
        <w:t xml:space="preserve"> Si la raison de la modification est la survenue d’un effet indésirable, procéder à la décla</w:t>
      </w:r>
      <w:r w:rsidR="00686C54" w:rsidRPr="00970766">
        <w:rPr>
          <w:sz w:val="20"/>
          <w:szCs w:val="20"/>
        </w:rPr>
        <w:t xml:space="preserve">ration (cf. modalités en </w:t>
      </w:r>
      <w:r w:rsidR="00785084">
        <w:rPr>
          <w:sz w:val="20"/>
          <w:szCs w:val="20"/>
        </w:rPr>
        <w:t>A</w:t>
      </w:r>
      <w:r w:rsidR="00686C54" w:rsidRPr="00970766">
        <w:rPr>
          <w:sz w:val="20"/>
          <w:szCs w:val="20"/>
        </w:rPr>
        <w:t>nnexe 5</w:t>
      </w:r>
      <w:r w:rsidRPr="00970766">
        <w:rPr>
          <w:sz w:val="20"/>
          <w:szCs w:val="20"/>
        </w:rPr>
        <w:t>)</w:t>
      </w:r>
    </w:p>
    <w:p w14:paraId="05BE98CC" w14:textId="77777777" w:rsidR="00AA7CC4" w:rsidRPr="00970766" w:rsidRDefault="00AA7CC4" w:rsidP="00AA7CC4">
      <w:pPr>
        <w:ind w:firstLine="454"/>
        <w:jc w:val="both"/>
        <w:rPr>
          <w:sz w:val="20"/>
          <w:szCs w:val="20"/>
          <w:bdr w:val="nil"/>
        </w:rPr>
      </w:pPr>
    </w:p>
    <w:p w14:paraId="7BF86D2C" w14:textId="67ECFDE8" w:rsidR="00AA7CC4" w:rsidRDefault="00AA7CC4" w:rsidP="00AA7CC4">
      <w:r w:rsidRPr="00970766">
        <w:rPr>
          <w:rFonts w:cs="SimSun"/>
          <w:sz w:val="20"/>
          <w:szCs w:val="20"/>
          <w:bdr w:val="nil"/>
          <w:lang w:eastAsia="zh-CN"/>
        </w:rPr>
        <w:t xml:space="preserve">En cas d’arrêt définitif du traitement, merci de remplir et transmette la </w:t>
      </w:r>
      <w:hyperlink r:id="rId33" w:anchor="Arret_traitement" w:history="1">
        <w:r w:rsidRPr="00970766">
          <w:rPr>
            <w:rStyle w:val="Lienhypertexte"/>
          </w:rPr>
          <w:t>fiche d’arrêt définitif de traitement</w:t>
        </w:r>
      </w:hyperlink>
      <w:r w:rsidR="00367B5A" w:rsidRPr="00970766">
        <w:t xml:space="preserve"> (voir </w:t>
      </w:r>
      <w:r w:rsidR="00785084">
        <w:t>A</w:t>
      </w:r>
      <w:r w:rsidR="00367B5A" w:rsidRPr="00970766">
        <w:t>nnexe 1</w:t>
      </w:r>
      <w:r w:rsidRPr="00970766">
        <w:t>.4 ci-après).</w:t>
      </w:r>
    </w:p>
    <w:p w14:paraId="0481317E" w14:textId="77777777" w:rsidR="00B20D56" w:rsidRPr="00970766" w:rsidRDefault="00B20D56" w:rsidP="00AA7CC4"/>
    <w:p w14:paraId="6B544FAA" w14:textId="77777777" w:rsidR="00AA7CC4" w:rsidRPr="00970766" w:rsidRDefault="00AA7CC4" w:rsidP="00AA7CC4">
      <w:pPr>
        <w:shd w:val="clear" w:color="auto" w:fill="DDD9C3"/>
        <w:tabs>
          <w:tab w:val="left" w:pos="9480"/>
        </w:tabs>
        <w:spacing w:beforeLines="50" w:before="120" w:afterLines="50" w:after="120"/>
        <w:rPr>
          <w:b/>
          <w:bCs/>
          <w:sz w:val="24"/>
          <w:szCs w:val="24"/>
        </w:rPr>
      </w:pPr>
      <w:r w:rsidRPr="00970766">
        <w:rPr>
          <w:b/>
          <w:bCs/>
          <w:sz w:val="24"/>
          <w:szCs w:val="24"/>
          <w:bdr w:val="nil"/>
        </w:rPr>
        <w:t>EVALUATION DE L’ETAT CLINIQUE DEPUIS LE DEBUT DU TRAITEMENT</w:t>
      </w:r>
    </w:p>
    <w:p w14:paraId="1C8122FF" w14:textId="77777777" w:rsidR="00AA7CC4" w:rsidRPr="00970766" w:rsidRDefault="00AA7CC4" w:rsidP="00AA7CC4">
      <w:pPr>
        <w:spacing w:beforeLines="50" w:before="120" w:afterLines="50" w:after="120"/>
        <w:jc w:val="both"/>
        <w:rPr>
          <w:rFonts w:ascii="SimSun" w:hAnsi="SimSun" w:cs="SimSun"/>
          <w:sz w:val="20"/>
          <w:szCs w:val="20"/>
          <w:bdr w:val="nil"/>
        </w:rPr>
      </w:pPr>
      <w:r w:rsidRPr="00970766">
        <w:rPr>
          <w:b/>
          <w:bCs/>
          <w:sz w:val="20"/>
          <w:szCs w:val="20"/>
          <w:bdr w:val="nil"/>
        </w:rPr>
        <w:t>Améli</w:t>
      </w:r>
      <w:r w:rsidR="00367B5A" w:rsidRPr="00970766">
        <w:rPr>
          <w:b/>
          <w:bCs/>
          <w:sz w:val="20"/>
          <w:szCs w:val="20"/>
          <w:bdr w:val="nil"/>
        </w:rPr>
        <w:t>oration des symptômes cliniques</w:t>
      </w:r>
      <w:r w:rsidRPr="00970766">
        <w:rPr>
          <w:b/>
          <w:bCs/>
          <w:sz w:val="20"/>
          <w:szCs w:val="20"/>
          <w:bdr w:val="nil"/>
        </w:rPr>
        <w:t xml:space="preserve"> :       </w:t>
      </w:r>
      <w:r w:rsidR="00367B5A" w:rsidRPr="00970766">
        <w:rPr>
          <w:rFonts w:ascii="Wingdings" w:eastAsia="Wingdings" w:hAnsi="Wingdings" w:cs="Wingdings"/>
        </w:rPr>
        <w:t></w:t>
      </w:r>
      <w:r w:rsidR="00367B5A" w:rsidRPr="00970766">
        <w:rPr>
          <w:sz w:val="20"/>
          <w:szCs w:val="20"/>
          <w:bdr w:val="nil"/>
        </w:rPr>
        <w:t xml:space="preserve">  non         </w:t>
      </w:r>
      <w:r w:rsidR="00367B5A" w:rsidRPr="00970766">
        <w:rPr>
          <w:rFonts w:ascii="Wingdings" w:eastAsia="Wingdings" w:hAnsi="Wingdings" w:cs="Wingdings"/>
        </w:rPr>
        <w:t></w:t>
      </w:r>
      <w:r w:rsidR="00367B5A" w:rsidRPr="00970766">
        <w:rPr>
          <w:sz w:val="20"/>
          <w:szCs w:val="20"/>
          <w:bdr w:val="nil"/>
        </w:rPr>
        <w:t xml:space="preserve">  oui   </w:t>
      </w:r>
    </w:p>
    <w:p w14:paraId="21285C64" w14:textId="77777777" w:rsidR="00AA7CC4" w:rsidRPr="00970766" w:rsidRDefault="00AA7CC4" w:rsidP="00AA7CC4">
      <w:pPr>
        <w:spacing w:beforeLines="50" w:before="120" w:afterLines="50" w:after="120"/>
        <w:jc w:val="both"/>
        <w:rPr>
          <w:b/>
          <w:sz w:val="20"/>
          <w:szCs w:val="20"/>
          <w:bdr w:val="nil"/>
        </w:rPr>
      </w:pPr>
    </w:p>
    <w:p w14:paraId="246D344F" w14:textId="77777777" w:rsidR="00AA7CC4" w:rsidRPr="00970766" w:rsidRDefault="00AA7CC4" w:rsidP="00AA7CC4">
      <w:pPr>
        <w:spacing w:beforeLines="50" w:before="120" w:afterLines="50" w:after="120"/>
        <w:jc w:val="both"/>
        <w:rPr>
          <w:rFonts w:ascii="SimSun" w:hAnsi="SimSun" w:cs="SimSun"/>
          <w:sz w:val="20"/>
          <w:szCs w:val="20"/>
          <w:bdr w:val="nil"/>
        </w:rPr>
      </w:pPr>
      <w:r w:rsidRPr="00970766">
        <w:rPr>
          <w:b/>
          <w:sz w:val="20"/>
          <w:szCs w:val="20"/>
          <w:bdr w:val="nil"/>
        </w:rPr>
        <w:lastRenderedPageBreak/>
        <w:t>Diminution de l’intensité moyenne de la douleur ou obtention d’un soulagement de la douleur d’</w:t>
      </w:r>
      <w:r w:rsidRPr="00970766">
        <w:rPr>
          <w:b/>
          <w:sz w:val="20"/>
          <w:szCs w:val="20"/>
          <w:u w:val="single"/>
          <w:bdr w:val="nil"/>
        </w:rPr>
        <w:t>au moins 30% </w:t>
      </w:r>
      <w:r w:rsidRPr="00970766">
        <w:rPr>
          <w:b/>
          <w:sz w:val="20"/>
          <w:szCs w:val="20"/>
          <w:bdr w:val="nil"/>
        </w:rPr>
        <w:t>:</w:t>
      </w:r>
      <w:r w:rsidRPr="00970766">
        <w:rPr>
          <w:rFonts w:ascii="Wingdings" w:eastAsia="Wingdings" w:hAnsi="Wingdings" w:cs="Wingdings"/>
          <w:sz w:val="17"/>
          <w:szCs w:val="17"/>
          <w:bdr w:val="nil"/>
        </w:rPr>
        <w:t></w:t>
      </w:r>
      <w:r w:rsidR="00175288" w:rsidRPr="00970766">
        <w:rPr>
          <w:rFonts w:ascii="Wingdings" w:eastAsia="Wingdings" w:hAnsi="Wingdings" w:cs="Wingdings"/>
        </w:rPr>
        <w:t></w:t>
      </w:r>
      <w:r w:rsidR="00175288" w:rsidRPr="00970766">
        <w:rPr>
          <w:rFonts w:ascii="Wingdings" w:eastAsia="Wingdings" w:hAnsi="Wingdings" w:cs="Wingdings"/>
        </w:rPr>
        <w:t></w:t>
      </w:r>
      <w:r w:rsidR="00175288" w:rsidRPr="00970766">
        <w:rPr>
          <w:sz w:val="20"/>
          <w:szCs w:val="20"/>
          <w:bdr w:val="nil"/>
        </w:rPr>
        <w:t xml:space="preserve">  non         </w:t>
      </w:r>
      <w:r w:rsidR="00175288" w:rsidRPr="00970766">
        <w:rPr>
          <w:rFonts w:ascii="Wingdings" w:eastAsia="Wingdings" w:hAnsi="Wingdings" w:cs="Wingdings"/>
        </w:rPr>
        <w:t></w:t>
      </w:r>
      <w:r w:rsidR="00175288" w:rsidRPr="00970766">
        <w:rPr>
          <w:sz w:val="20"/>
          <w:szCs w:val="20"/>
          <w:bdr w:val="nil"/>
        </w:rPr>
        <w:t xml:space="preserve">  oui</w:t>
      </w:r>
    </w:p>
    <w:p w14:paraId="0C7C7539" w14:textId="77777777" w:rsidR="00AA7CC4" w:rsidRPr="00970766" w:rsidRDefault="00AA7CC4" w:rsidP="00AA7CC4">
      <w:pPr>
        <w:spacing w:beforeLines="50" w:before="120" w:afterLines="50" w:after="120"/>
        <w:jc w:val="both"/>
        <w:rPr>
          <w:rFonts w:ascii="Wingdings" w:eastAsia="Wingdings" w:hAnsi="Wingdings" w:cs="Wingdings"/>
          <w:b/>
          <w:sz w:val="17"/>
          <w:szCs w:val="17"/>
          <w:bdr w:val="nil"/>
        </w:rPr>
      </w:pPr>
      <w:r w:rsidRPr="00970766">
        <w:rPr>
          <w:b/>
          <w:sz w:val="20"/>
          <w:szCs w:val="20"/>
          <w:bdr w:val="nil"/>
        </w:rPr>
        <w:t>Consommation des traitements concomitants pour la prise en charge de la douleur neuropathique :</w:t>
      </w:r>
    </w:p>
    <w:p w14:paraId="1DA9B9DE" w14:textId="77777777" w:rsidR="00AA7CC4" w:rsidRPr="00970766" w:rsidRDefault="00AA7CC4" w:rsidP="00AA7CC4">
      <w:pPr>
        <w:spacing w:beforeLines="50" w:before="120" w:afterLines="50" w:after="120"/>
        <w:jc w:val="both"/>
        <w:rPr>
          <w:sz w:val="20"/>
          <w:szCs w:val="20"/>
          <w:bdr w:val="nil"/>
        </w:rPr>
      </w:pPr>
      <w:r w:rsidRPr="00970766">
        <w:rPr>
          <w:rFonts w:ascii="Wingdings" w:eastAsia="Wingdings" w:hAnsi="Wingdings" w:cs="Wingdings"/>
          <w:sz w:val="17"/>
          <w:szCs w:val="17"/>
          <w:bdr w:val="nil"/>
        </w:rPr>
        <w:t></w:t>
      </w:r>
      <w:r w:rsidRPr="00970766">
        <w:rPr>
          <w:rFonts w:ascii="Wingdings" w:eastAsia="Wingdings" w:hAnsi="Wingdings" w:cs="Wingdings"/>
          <w:sz w:val="17"/>
          <w:szCs w:val="17"/>
          <w:bdr w:val="nil"/>
        </w:rPr>
        <w:t></w:t>
      </w:r>
      <w:r w:rsidRPr="00970766">
        <w:rPr>
          <w:sz w:val="20"/>
          <w:szCs w:val="20"/>
          <w:bdr w:val="nil"/>
        </w:rPr>
        <w:t xml:space="preserve">augmentée </w:t>
      </w:r>
      <w:r w:rsidRPr="00970766">
        <w:rPr>
          <w:rFonts w:ascii="Wingdings" w:eastAsia="Wingdings" w:hAnsi="Wingdings" w:cs="Wingdings"/>
          <w:sz w:val="17"/>
          <w:szCs w:val="17"/>
          <w:bdr w:val="nil"/>
        </w:rPr>
        <w:t></w:t>
      </w:r>
      <w:r w:rsidRPr="00970766">
        <w:rPr>
          <w:rFonts w:ascii="Wingdings" w:eastAsia="Wingdings" w:hAnsi="Wingdings" w:cs="Wingdings"/>
          <w:sz w:val="17"/>
          <w:szCs w:val="17"/>
          <w:bdr w:val="nil"/>
        </w:rPr>
        <w:t></w:t>
      </w:r>
      <w:r w:rsidRPr="00970766">
        <w:rPr>
          <w:rFonts w:ascii="Wingdings" w:eastAsia="Wingdings" w:hAnsi="Wingdings" w:cs="Wingdings"/>
          <w:sz w:val="17"/>
          <w:szCs w:val="17"/>
          <w:bdr w:val="nil"/>
        </w:rPr>
        <w:t></w:t>
      </w:r>
      <w:r w:rsidRPr="00970766">
        <w:rPr>
          <w:rFonts w:ascii="Wingdings" w:eastAsia="Wingdings" w:hAnsi="Wingdings" w:cs="Wingdings"/>
          <w:sz w:val="17"/>
          <w:szCs w:val="17"/>
          <w:bdr w:val="nil"/>
        </w:rPr>
        <w:t></w:t>
      </w:r>
      <w:r w:rsidRPr="00970766">
        <w:rPr>
          <w:rFonts w:ascii="Wingdings" w:eastAsia="Wingdings" w:hAnsi="Wingdings" w:cs="Wingdings"/>
          <w:sz w:val="17"/>
          <w:szCs w:val="17"/>
          <w:bdr w:val="nil"/>
        </w:rPr>
        <w:t></w:t>
      </w:r>
      <w:r w:rsidRPr="00970766">
        <w:rPr>
          <w:rFonts w:ascii="Wingdings" w:eastAsia="Wingdings" w:hAnsi="Wingdings" w:cs="Wingdings"/>
          <w:sz w:val="17"/>
          <w:szCs w:val="17"/>
          <w:bdr w:val="nil"/>
        </w:rPr>
        <w:t></w:t>
      </w:r>
      <w:r w:rsidRPr="00970766">
        <w:rPr>
          <w:rFonts w:ascii="Wingdings" w:eastAsia="Wingdings" w:hAnsi="Wingdings" w:cs="Wingdings"/>
          <w:sz w:val="17"/>
          <w:szCs w:val="17"/>
          <w:bdr w:val="nil"/>
        </w:rPr>
        <w:t></w:t>
      </w:r>
      <w:r w:rsidRPr="00970766">
        <w:rPr>
          <w:rFonts w:ascii="Wingdings" w:eastAsia="Wingdings" w:hAnsi="Wingdings" w:cs="Wingdings"/>
          <w:sz w:val="17"/>
          <w:szCs w:val="17"/>
          <w:bdr w:val="nil"/>
        </w:rPr>
        <w:t></w:t>
      </w:r>
      <w:r w:rsidRPr="00970766">
        <w:rPr>
          <w:sz w:val="20"/>
          <w:szCs w:val="20"/>
          <w:bdr w:val="nil"/>
        </w:rPr>
        <w:t xml:space="preserve">inchangée </w:t>
      </w:r>
      <w:r w:rsidRPr="00970766">
        <w:rPr>
          <w:rFonts w:ascii="SimSun" w:hAnsi="SimSun" w:cs="SimSun"/>
          <w:sz w:val="20"/>
          <w:szCs w:val="20"/>
          <w:bdr w:val="nil"/>
        </w:rPr>
        <w:t xml:space="preserve"> </w:t>
      </w:r>
      <w:r w:rsidRPr="00970766">
        <w:rPr>
          <w:rFonts w:ascii="SimSun" w:hAnsi="SimSun" w:cs="SimSun"/>
          <w:sz w:val="20"/>
          <w:szCs w:val="20"/>
          <w:bdr w:val="nil"/>
        </w:rPr>
        <w:tab/>
      </w:r>
      <w:r w:rsidRPr="00970766">
        <w:rPr>
          <w:rFonts w:ascii="Wingdings" w:eastAsia="Wingdings" w:hAnsi="Wingdings" w:cs="Wingdings"/>
          <w:sz w:val="17"/>
          <w:szCs w:val="17"/>
          <w:bdr w:val="nil"/>
        </w:rPr>
        <w:t></w:t>
      </w:r>
      <w:r w:rsidRPr="00970766">
        <w:rPr>
          <w:rFonts w:ascii="Wingdings" w:eastAsia="Wingdings" w:hAnsi="Wingdings" w:cs="Wingdings"/>
          <w:sz w:val="17"/>
          <w:szCs w:val="17"/>
          <w:bdr w:val="nil"/>
        </w:rPr>
        <w:t></w:t>
      </w:r>
      <w:r w:rsidRPr="00970766">
        <w:rPr>
          <w:sz w:val="20"/>
          <w:szCs w:val="20"/>
          <w:bdr w:val="nil"/>
        </w:rPr>
        <w:t xml:space="preserve">diminuée    </w:t>
      </w:r>
      <w:r w:rsidRPr="00970766">
        <w:rPr>
          <w:sz w:val="20"/>
          <w:szCs w:val="20"/>
          <w:bdr w:val="nil"/>
        </w:rPr>
        <w:tab/>
        <w:t xml:space="preserve">    </w:t>
      </w:r>
      <w:r w:rsidRPr="00970766">
        <w:rPr>
          <w:rFonts w:ascii="Wingdings" w:eastAsia="Wingdings" w:hAnsi="Wingdings" w:cs="Wingdings"/>
          <w:sz w:val="17"/>
          <w:szCs w:val="17"/>
          <w:bdr w:val="nil"/>
        </w:rPr>
        <w:t></w:t>
      </w:r>
      <w:r w:rsidRPr="00970766">
        <w:rPr>
          <w:rFonts w:ascii="Wingdings" w:eastAsia="Wingdings" w:hAnsi="Wingdings" w:cs="Wingdings"/>
          <w:sz w:val="17"/>
          <w:szCs w:val="17"/>
          <w:bdr w:val="nil"/>
        </w:rPr>
        <w:t></w:t>
      </w:r>
      <w:r w:rsidRPr="00970766">
        <w:rPr>
          <w:sz w:val="20"/>
          <w:szCs w:val="20"/>
          <w:bdr w:val="nil"/>
        </w:rPr>
        <w:t>pas d’autre traitement</w:t>
      </w:r>
    </w:p>
    <w:p w14:paraId="134C28EE" w14:textId="77777777" w:rsidR="00AA7CC4" w:rsidRPr="00970766" w:rsidRDefault="00AA7CC4" w:rsidP="00AA7CC4">
      <w:pPr>
        <w:spacing w:beforeLines="50" w:before="120" w:afterLines="50" w:after="120"/>
        <w:jc w:val="both"/>
        <w:rPr>
          <w:b/>
          <w:sz w:val="20"/>
          <w:szCs w:val="20"/>
          <w:bdr w:val="nil"/>
        </w:rPr>
      </w:pPr>
    </w:p>
    <w:p w14:paraId="6BCAFD89" w14:textId="6405EFE2" w:rsidR="00AA7CC4" w:rsidRPr="00970766" w:rsidRDefault="00AA7CC4" w:rsidP="00AA7CC4">
      <w:pPr>
        <w:spacing w:beforeLines="50" w:before="120" w:afterLines="50" w:after="120"/>
        <w:jc w:val="both"/>
        <w:rPr>
          <w:sz w:val="20"/>
          <w:szCs w:val="20"/>
        </w:rPr>
      </w:pPr>
      <w:r w:rsidRPr="00970766">
        <w:rPr>
          <w:sz w:val="20"/>
          <w:szCs w:val="20"/>
        </w:rPr>
        <w:t xml:space="preserve"> En cas de survenue d’un effet indésirable, procéder à la décla</w:t>
      </w:r>
      <w:r w:rsidR="00175288" w:rsidRPr="00970766">
        <w:rPr>
          <w:sz w:val="20"/>
          <w:szCs w:val="20"/>
        </w:rPr>
        <w:t xml:space="preserve">ration (cf. modalités en </w:t>
      </w:r>
      <w:r w:rsidR="00785084">
        <w:rPr>
          <w:sz w:val="20"/>
          <w:szCs w:val="20"/>
        </w:rPr>
        <w:t>A</w:t>
      </w:r>
      <w:r w:rsidR="00175288" w:rsidRPr="00970766">
        <w:rPr>
          <w:sz w:val="20"/>
          <w:szCs w:val="20"/>
        </w:rPr>
        <w:t>nnexe 5</w:t>
      </w:r>
      <w:r w:rsidRPr="00970766">
        <w:rPr>
          <w:sz w:val="20"/>
          <w:szCs w:val="20"/>
        </w:rPr>
        <w:t>)</w:t>
      </w:r>
    </w:p>
    <w:p w14:paraId="656D711F" w14:textId="77777777" w:rsidR="0057481E" w:rsidRPr="00970766" w:rsidRDefault="0057481E" w:rsidP="00AA7CC4">
      <w:pPr>
        <w:spacing w:beforeLines="50" w:before="120" w:afterLines="50" w:after="120"/>
        <w:jc w:val="both"/>
        <w:rPr>
          <w:sz w:val="20"/>
          <w:szCs w:val="20"/>
          <w:bdr w:val="nil"/>
        </w:rPr>
      </w:pPr>
    </w:p>
    <w:p w14:paraId="0693762B" w14:textId="4C805A5E" w:rsidR="00D57516" w:rsidRPr="00970766" w:rsidRDefault="00D57516" w:rsidP="00D57516">
      <w:pPr>
        <w:shd w:val="clear" w:color="auto" w:fill="DDD9C3"/>
        <w:tabs>
          <w:tab w:val="left" w:pos="9480"/>
        </w:tabs>
        <w:spacing w:beforeLines="50" w:before="120" w:afterLines="50" w:after="120"/>
        <w:rPr>
          <w:b/>
          <w:bCs/>
          <w:sz w:val="24"/>
          <w:szCs w:val="24"/>
        </w:rPr>
      </w:pPr>
      <w:r>
        <w:rPr>
          <w:b/>
          <w:bCs/>
          <w:sz w:val="24"/>
          <w:szCs w:val="24"/>
          <w:bdr w:val="nil"/>
        </w:rPr>
        <w:t xml:space="preserve">TOLERANCE </w:t>
      </w:r>
      <w:r w:rsidRPr="00970766">
        <w:rPr>
          <w:b/>
          <w:bCs/>
          <w:sz w:val="24"/>
          <w:szCs w:val="24"/>
          <w:bdr w:val="nil"/>
        </w:rPr>
        <w:t>DU TRAITEMENT</w:t>
      </w:r>
    </w:p>
    <w:p w14:paraId="4880C908" w14:textId="342EF3C4" w:rsidR="00AA7CC4" w:rsidRPr="00970766" w:rsidRDefault="00AA7CC4" w:rsidP="0057481E">
      <w:pPr>
        <w:tabs>
          <w:tab w:val="left" w:pos="460"/>
        </w:tabs>
        <w:spacing w:before="39"/>
        <w:rPr>
          <w:rFonts w:cs="SimSun"/>
          <w:sz w:val="20"/>
          <w:szCs w:val="20"/>
          <w:bdr w:val="nil"/>
          <w:lang w:eastAsia="zh-CN"/>
        </w:rPr>
      </w:pPr>
      <w:r w:rsidRPr="00970766">
        <w:rPr>
          <w:b/>
          <w:bCs/>
          <w:sz w:val="20"/>
          <w:szCs w:val="20"/>
          <w:bdr w:val="nil"/>
        </w:rPr>
        <w:t>Effets indésirables</w:t>
      </w:r>
      <w:r w:rsidRPr="00970766">
        <w:rPr>
          <w:sz w:val="20"/>
          <w:szCs w:val="20"/>
          <w:bdr w:val="nil"/>
        </w:rPr>
        <w:t xml:space="preserve"> </w:t>
      </w:r>
      <w:r w:rsidRPr="00970766">
        <w:rPr>
          <w:b/>
          <w:sz w:val="20"/>
          <w:szCs w:val="20"/>
          <w:bdr w:val="nil"/>
        </w:rPr>
        <w:t>BOTOX</w:t>
      </w:r>
    </w:p>
    <w:p w14:paraId="0FAD02C3" w14:textId="27D355AE" w:rsidR="00AA7CC4" w:rsidRPr="00970766" w:rsidRDefault="00AA7CC4" w:rsidP="00AA7CC4">
      <w:pPr>
        <w:spacing w:before="29"/>
        <w:jc w:val="both"/>
        <w:rPr>
          <w:sz w:val="20"/>
          <w:szCs w:val="20"/>
          <w:bdr w:val="nil"/>
        </w:rPr>
      </w:pPr>
      <w:r w:rsidRPr="00970766">
        <w:rPr>
          <w:sz w:val="20"/>
          <w:szCs w:val="20"/>
        </w:rPr>
        <w:t>Si le patient a présenté un effet indésirable, veuillez procéder à la déclaration (cf</w:t>
      </w:r>
      <w:r w:rsidR="00175288" w:rsidRPr="00970766">
        <w:rPr>
          <w:sz w:val="20"/>
          <w:szCs w:val="20"/>
        </w:rPr>
        <w:t xml:space="preserve">. modalités en </w:t>
      </w:r>
      <w:r w:rsidR="00785084">
        <w:rPr>
          <w:sz w:val="20"/>
          <w:szCs w:val="20"/>
        </w:rPr>
        <w:t>A</w:t>
      </w:r>
      <w:r w:rsidR="00175288" w:rsidRPr="00970766">
        <w:rPr>
          <w:sz w:val="20"/>
          <w:szCs w:val="20"/>
        </w:rPr>
        <w:t>nnexe 5</w:t>
      </w:r>
      <w:r w:rsidRPr="00970766">
        <w:rPr>
          <w:sz w:val="20"/>
          <w:szCs w:val="20"/>
        </w:rPr>
        <w:t>)</w:t>
      </w:r>
    </w:p>
    <w:p w14:paraId="6B6C4710" w14:textId="051DD394" w:rsidR="00D57516" w:rsidRPr="00970766" w:rsidRDefault="00D57516" w:rsidP="00D57516">
      <w:pPr>
        <w:shd w:val="clear" w:color="auto" w:fill="DDD9C3"/>
        <w:tabs>
          <w:tab w:val="left" w:pos="9480"/>
        </w:tabs>
        <w:spacing w:beforeLines="50" w:before="120" w:afterLines="50" w:after="120"/>
        <w:rPr>
          <w:b/>
          <w:bCs/>
          <w:sz w:val="24"/>
          <w:szCs w:val="24"/>
        </w:rPr>
      </w:pPr>
      <w:r>
        <w:rPr>
          <w:b/>
          <w:bCs/>
          <w:sz w:val="24"/>
          <w:szCs w:val="24"/>
          <w:bdr w:val="nil"/>
        </w:rPr>
        <w:t>GROSSESSE</w:t>
      </w:r>
    </w:p>
    <w:p w14:paraId="3C4FC4B5" w14:textId="6FEDF57E" w:rsidR="00AA7CC4" w:rsidRPr="00970766" w:rsidRDefault="00AA7CC4" w:rsidP="0057481E">
      <w:pPr>
        <w:tabs>
          <w:tab w:val="left" w:pos="460"/>
        </w:tabs>
        <w:spacing w:before="39"/>
        <w:rPr>
          <w:sz w:val="20"/>
          <w:szCs w:val="20"/>
          <w:bdr w:val="nil"/>
          <w:lang w:eastAsia="zh-CN"/>
        </w:rPr>
      </w:pPr>
      <w:r w:rsidRPr="00970766">
        <w:rPr>
          <w:sz w:val="20"/>
          <w:szCs w:val="20"/>
          <w:lang w:eastAsia="zh-CN"/>
        </w:rPr>
        <w:t>En cas de survenue d’une grossesse ou d'une utilisation pendant l’allaitement, procéder à la déclaration (cf</w:t>
      </w:r>
      <w:r w:rsidR="00175288" w:rsidRPr="00970766">
        <w:rPr>
          <w:sz w:val="20"/>
          <w:szCs w:val="20"/>
          <w:lang w:eastAsia="zh-CN"/>
        </w:rPr>
        <w:t>.</w:t>
      </w:r>
      <w:r w:rsidRPr="00970766">
        <w:rPr>
          <w:sz w:val="20"/>
          <w:szCs w:val="20"/>
          <w:lang w:eastAsia="zh-CN"/>
        </w:rPr>
        <w:t xml:space="preserve"> </w:t>
      </w:r>
      <w:r w:rsidR="00785084">
        <w:rPr>
          <w:sz w:val="20"/>
          <w:szCs w:val="20"/>
          <w:lang w:eastAsia="zh-CN"/>
        </w:rPr>
        <w:t>A</w:t>
      </w:r>
      <w:r w:rsidRPr="00970766">
        <w:rPr>
          <w:sz w:val="20"/>
          <w:szCs w:val="20"/>
          <w:lang w:eastAsia="zh-CN"/>
        </w:rPr>
        <w:t xml:space="preserve">nnexe 5) et </w:t>
      </w:r>
      <w:r w:rsidRPr="00970766">
        <w:rPr>
          <w:sz w:val="20"/>
          <w:szCs w:val="20"/>
          <w:bdr w:val="nil"/>
          <w:lang w:eastAsia="zh-CN"/>
        </w:rPr>
        <w:t xml:space="preserve"> ré-évaluer la continuité du traitement chez la patiente (cf</w:t>
      </w:r>
      <w:r w:rsidR="00175288" w:rsidRPr="00970766">
        <w:rPr>
          <w:sz w:val="20"/>
          <w:szCs w:val="20"/>
          <w:bdr w:val="nil"/>
          <w:lang w:eastAsia="zh-CN"/>
        </w:rPr>
        <w:t>.</w:t>
      </w:r>
      <w:r w:rsidRPr="00970766">
        <w:rPr>
          <w:sz w:val="20"/>
          <w:szCs w:val="20"/>
          <w:bdr w:val="nil"/>
          <w:lang w:eastAsia="zh-CN"/>
        </w:rPr>
        <w:t xml:space="preserve"> RCP rubrique 4.6)</w:t>
      </w:r>
    </w:p>
    <w:p w14:paraId="5B3A23DA" w14:textId="77777777" w:rsidR="00AA7CC4" w:rsidRPr="00970766" w:rsidRDefault="00AA7CC4" w:rsidP="00AA7CC4">
      <w:pPr>
        <w:spacing w:before="29"/>
        <w:jc w:val="both"/>
        <w:rPr>
          <w:sz w:val="20"/>
          <w:szCs w:val="20"/>
          <w:highlight w:val="yellow"/>
          <w:bdr w:val="nil"/>
        </w:rPr>
      </w:pPr>
    </w:p>
    <w:p w14:paraId="607E42B4" w14:textId="084A8358" w:rsidR="00AA7CC4" w:rsidRPr="00970766" w:rsidRDefault="00AA7CC4" w:rsidP="00AA7CC4">
      <w:pPr>
        <w:shd w:val="clear" w:color="auto" w:fill="DDD9C3"/>
        <w:tabs>
          <w:tab w:val="left" w:pos="9480"/>
        </w:tabs>
        <w:spacing w:beforeLines="50" w:before="120" w:afterLines="50" w:after="120"/>
        <w:rPr>
          <w:b/>
          <w:bCs/>
          <w:sz w:val="24"/>
          <w:szCs w:val="24"/>
          <w:bdr w:val="nil"/>
        </w:rPr>
      </w:pPr>
      <w:r w:rsidRPr="00970766">
        <w:rPr>
          <w:b/>
          <w:bCs/>
          <w:sz w:val="24"/>
          <w:szCs w:val="24"/>
          <w:bdr w:val="nil"/>
        </w:rPr>
        <w:t>DECISION CONCERNANT LA POURSUITE DU TRAITEMENT</w:t>
      </w:r>
      <w:r w:rsidRPr="00970766">
        <w:t xml:space="preserve"> </w:t>
      </w:r>
      <w:r w:rsidRPr="00970766">
        <w:rPr>
          <w:b/>
          <w:bCs/>
          <w:sz w:val="24"/>
          <w:szCs w:val="24"/>
          <w:bdr w:val="nil"/>
        </w:rPr>
        <w:t>BOTOX</w:t>
      </w:r>
    </w:p>
    <w:p w14:paraId="66D1CB6E" w14:textId="77777777" w:rsidR="00AA7CC4" w:rsidRPr="00970766" w:rsidRDefault="00AA7CC4" w:rsidP="00AA7CC4">
      <w:pPr>
        <w:rPr>
          <w:b/>
        </w:rPr>
      </w:pPr>
      <w:r w:rsidRPr="00970766">
        <w:rPr>
          <w:b/>
        </w:rPr>
        <w:t xml:space="preserve">Lors de la V2, s’il n’est pas constaté de diminution de l’intensité moyenne de la douleur ou d’obtention d’un soulagement de la douleur d’au moins 30%, </w:t>
      </w:r>
      <w:r w:rsidRPr="00970766">
        <w:rPr>
          <w:b/>
          <w:u w:val="single"/>
        </w:rPr>
        <w:t>le traitement doit être arrêté</w:t>
      </w:r>
      <w:r w:rsidRPr="00970766">
        <w:rPr>
          <w:b/>
        </w:rPr>
        <w:t>.</w:t>
      </w:r>
    </w:p>
    <w:p w14:paraId="19762536" w14:textId="77777777" w:rsidR="00AA7CC4" w:rsidRPr="00970766" w:rsidRDefault="00AA7CC4" w:rsidP="00AA7CC4">
      <w:pPr>
        <w:rPr>
          <w:sz w:val="20"/>
          <w:szCs w:val="20"/>
          <w:bdr w:val="nil"/>
        </w:rPr>
      </w:pPr>
      <w:r w:rsidRPr="00970766">
        <w:rPr>
          <w:rFonts w:ascii="Wingdings" w:eastAsia="Wingdings" w:hAnsi="Wingdings" w:cs="Wingdings"/>
        </w:rPr>
        <w:t></w:t>
      </w:r>
      <w:r w:rsidRPr="00970766">
        <w:t xml:space="preserve"> Arrêt définitif du traitement      </w:t>
      </w:r>
    </w:p>
    <w:p w14:paraId="647E51D2" w14:textId="0C5C1D24" w:rsidR="00AA7CC4" w:rsidRPr="00970766" w:rsidRDefault="00AA7CC4" w:rsidP="00AA7CC4">
      <w:r w:rsidRPr="00970766">
        <w:t xml:space="preserve">En cas d’arrêt de traitement ou de décès du patient, merci de remplir et transmette la </w:t>
      </w:r>
      <w:hyperlink r:id="rId34" w:anchor="Arret_traitement" w:history="1">
        <w:r w:rsidRPr="00970766">
          <w:rPr>
            <w:rStyle w:val="Lienhypertexte"/>
          </w:rPr>
          <w:t>fiche d’arrêt définitif de traitement</w:t>
        </w:r>
      </w:hyperlink>
      <w:r w:rsidR="00175288" w:rsidRPr="00970766">
        <w:t xml:space="preserve"> (voir </w:t>
      </w:r>
      <w:r w:rsidR="00785084">
        <w:t>A</w:t>
      </w:r>
      <w:r w:rsidR="00175288" w:rsidRPr="00970766">
        <w:t>nnexe 1</w:t>
      </w:r>
      <w:r w:rsidRPr="00970766">
        <w:t>.4 ci-après).</w:t>
      </w:r>
    </w:p>
    <w:p w14:paraId="5D15D0E2" w14:textId="77777777" w:rsidR="00AA7CC4" w:rsidRPr="00970766" w:rsidRDefault="00AA7CC4" w:rsidP="00AA7CC4">
      <w:pPr>
        <w:tabs>
          <w:tab w:val="left" w:pos="6060"/>
          <w:tab w:val="left" w:pos="6780"/>
        </w:tabs>
        <w:jc w:val="both"/>
      </w:pPr>
      <w:r w:rsidRPr="00970766">
        <w:rPr>
          <w:rFonts w:ascii="Wingdings" w:eastAsia="Wingdings" w:hAnsi="Wingdings" w:cs="Wingdings"/>
        </w:rPr>
        <w:t></w:t>
      </w:r>
      <w:r w:rsidRPr="00970766">
        <w:rPr>
          <w:rFonts w:ascii="Wingdings" w:eastAsia="Wingdings" w:hAnsi="Wingdings" w:cs="Wingdings"/>
          <w:sz w:val="17"/>
          <w:szCs w:val="17"/>
          <w:bdr w:val="nil"/>
        </w:rPr>
        <w:t></w:t>
      </w:r>
      <w:r w:rsidRPr="00970766">
        <w:t xml:space="preserve">Poursuite du traitement                  </w:t>
      </w:r>
    </w:p>
    <w:p w14:paraId="28FB6803" w14:textId="77777777" w:rsidR="00AA7CC4" w:rsidRPr="00970766" w:rsidRDefault="00AA7CC4" w:rsidP="00AA7CC4">
      <w:pPr>
        <w:tabs>
          <w:tab w:val="left" w:pos="6060"/>
          <w:tab w:val="left" w:pos="6780"/>
        </w:tabs>
        <w:jc w:val="both"/>
        <w:rPr>
          <w:sz w:val="20"/>
          <w:szCs w:val="20"/>
          <w:bdr w:val="nil"/>
        </w:rPr>
      </w:pPr>
      <w:r w:rsidRPr="00970766">
        <w:t xml:space="preserve">Dans ce cas, dose totale prescrite (Unités ALLERGAN) : </w:t>
      </w:r>
      <w:r w:rsidRPr="00970766">
        <w:rPr>
          <w:b/>
          <w:sz w:val="20"/>
          <w:szCs w:val="20"/>
          <w:bdr w:val="nil"/>
        </w:rPr>
        <w:t xml:space="preserve">                           </w:t>
      </w:r>
      <w:r w:rsidR="00B94272" w:rsidRPr="00970766">
        <w:rPr>
          <w:rFonts w:ascii="Wingdings" w:eastAsia="Wingdings" w:hAnsi="Wingdings" w:cs="Wingdings"/>
        </w:rPr>
        <w:t></w:t>
      </w:r>
      <w:r w:rsidRPr="00970766">
        <w:rPr>
          <w:sz w:val="20"/>
          <w:szCs w:val="20"/>
          <w:bdr w:val="nil"/>
        </w:rPr>
        <w:t xml:space="preserve"> standard              </w:t>
      </w:r>
      <w:r w:rsidR="00B94272" w:rsidRPr="00970766">
        <w:rPr>
          <w:rFonts w:ascii="Wingdings" w:eastAsia="Wingdings" w:hAnsi="Wingdings" w:cs="Wingdings"/>
        </w:rPr>
        <w:t></w:t>
      </w:r>
      <w:r w:rsidRPr="00970766">
        <w:rPr>
          <w:sz w:val="20"/>
          <w:szCs w:val="20"/>
          <w:bdr w:val="nil"/>
        </w:rPr>
        <w:t xml:space="preserve"> modification de dose</w:t>
      </w:r>
    </w:p>
    <w:p w14:paraId="4FD202DF" w14:textId="77098CE3" w:rsidR="00AA7CC4" w:rsidRPr="00970766" w:rsidRDefault="00AA7CC4" w:rsidP="0057481E">
      <w:pPr>
        <w:tabs>
          <w:tab w:val="left" w:pos="6060"/>
          <w:tab w:val="left" w:pos="6780"/>
        </w:tabs>
        <w:jc w:val="both"/>
        <w:rPr>
          <w:sz w:val="20"/>
          <w:szCs w:val="20"/>
          <w:bdr w:val="nil"/>
        </w:rPr>
      </w:pPr>
      <w:r w:rsidRPr="00970766">
        <w:rPr>
          <w:sz w:val="20"/>
          <w:szCs w:val="20"/>
        </w:rPr>
        <w:t>Si la raison de la modification de dose est la survenue d’un effet indésirable, procéder à la décla</w:t>
      </w:r>
      <w:r w:rsidR="00175288" w:rsidRPr="00970766">
        <w:rPr>
          <w:sz w:val="20"/>
          <w:szCs w:val="20"/>
        </w:rPr>
        <w:t xml:space="preserve">ration (cf. modalités en </w:t>
      </w:r>
      <w:r w:rsidR="00785084">
        <w:rPr>
          <w:sz w:val="20"/>
          <w:szCs w:val="20"/>
        </w:rPr>
        <w:t>A</w:t>
      </w:r>
      <w:r w:rsidR="00175288" w:rsidRPr="00970766">
        <w:rPr>
          <w:sz w:val="20"/>
          <w:szCs w:val="20"/>
        </w:rPr>
        <w:t>nnexe 5</w:t>
      </w:r>
      <w:r w:rsidRPr="00970766">
        <w:rPr>
          <w:sz w:val="20"/>
          <w:szCs w:val="20"/>
        </w:rPr>
        <w:t>)</w:t>
      </w:r>
    </w:p>
    <w:p w14:paraId="46C4FF4D" w14:textId="77777777" w:rsidR="00AA7CC4" w:rsidRPr="00970766" w:rsidRDefault="00AA7CC4" w:rsidP="00AA7CC4">
      <w:pPr>
        <w:rPr>
          <w:rStyle w:val="lev"/>
        </w:rPr>
      </w:pPr>
    </w:p>
    <w:tbl>
      <w:tblPr>
        <w:tblW w:w="0" w:type="auto"/>
        <w:tblBorders>
          <w:top w:val="single" w:sz="18" w:space="0" w:color="auto"/>
          <w:left w:val="single" w:sz="18" w:space="0" w:color="auto"/>
          <w:bottom w:val="single" w:sz="18" w:space="0" w:color="auto"/>
          <w:right w:val="single" w:sz="18" w:space="0" w:color="auto"/>
        </w:tblBorders>
        <w:tblCellMar>
          <w:top w:w="28" w:type="dxa"/>
          <w:left w:w="28" w:type="dxa"/>
          <w:bottom w:w="28" w:type="dxa"/>
          <w:right w:w="28" w:type="dxa"/>
        </w:tblCellMar>
        <w:tblLook w:val="04A0" w:firstRow="1" w:lastRow="0" w:firstColumn="1" w:lastColumn="0" w:noHBand="0" w:noVBand="1"/>
      </w:tblPr>
      <w:tblGrid>
        <w:gridCol w:w="5041"/>
        <w:gridCol w:w="3985"/>
      </w:tblGrid>
      <w:tr w:rsidR="00AA7CC4" w:rsidRPr="00970766" w14:paraId="09B720E4" w14:textId="77777777" w:rsidTr="00EC7346">
        <w:tc>
          <w:tcPr>
            <w:tcW w:w="5041" w:type="dxa"/>
          </w:tcPr>
          <w:p w14:paraId="0E830218" w14:textId="77777777" w:rsidR="00AA7CC4" w:rsidRPr="00970766" w:rsidRDefault="00AA7CC4" w:rsidP="00EC7346">
            <w:pPr>
              <w:jc w:val="both"/>
              <w:rPr>
                <w:b/>
                <w:bCs/>
                <w:sz w:val="20"/>
                <w:szCs w:val="20"/>
                <w:bdr w:val="nil"/>
              </w:rPr>
            </w:pPr>
            <w:r w:rsidRPr="00970766">
              <w:rPr>
                <w:b/>
                <w:bCs/>
                <w:sz w:val="20"/>
                <w:szCs w:val="20"/>
                <w:bdr w:val="nil"/>
              </w:rPr>
              <w:t>Médecin prescripteur :</w:t>
            </w:r>
          </w:p>
          <w:p w14:paraId="6520DF99" w14:textId="77777777" w:rsidR="00AA7CC4" w:rsidRDefault="00AA7CC4" w:rsidP="00EC7346">
            <w:pPr>
              <w:jc w:val="both"/>
              <w:rPr>
                <w:b/>
                <w:bCs/>
                <w:sz w:val="20"/>
                <w:szCs w:val="20"/>
              </w:rPr>
            </w:pPr>
          </w:p>
          <w:p w14:paraId="52F41362" w14:textId="1C390529" w:rsidR="00B14435" w:rsidRPr="00970766" w:rsidRDefault="00B14435" w:rsidP="00EC7346">
            <w:pPr>
              <w:jc w:val="both"/>
              <w:rPr>
                <w:b/>
                <w:bCs/>
                <w:sz w:val="20"/>
                <w:szCs w:val="20"/>
              </w:rPr>
            </w:pPr>
            <w:r>
              <w:rPr>
                <w:b/>
                <w:bCs/>
                <w:sz w:val="20"/>
                <w:szCs w:val="20"/>
              </w:rPr>
              <w:t>N</w:t>
            </w:r>
            <w:r w:rsidRPr="00740BAC">
              <w:rPr>
                <w:b/>
                <w:bCs/>
                <w:sz w:val="20"/>
                <w:szCs w:val="20"/>
              </w:rPr>
              <w:t>° RPPS</w:t>
            </w:r>
            <w:r>
              <w:rPr>
                <w:b/>
                <w:bCs/>
                <w:sz w:val="20"/>
                <w:szCs w:val="20"/>
              </w:rPr>
              <w:t> :</w:t>
            </w:r>
          </w:p>
        </w:tc>
        <w:tc>
          <w:tcPr>
            <w:tcW w:w="3985" w:type="dxa"/>
          </w:tcPr>
          <w:p w14:paraId="78986712" w14:textId="77777777" w:rsidR="00AA7CC4" w:rsidRPr="00970766" w:rsidRDefault="00AA7CC4" w:rsidP="00EC7346">
            <w:pPr>
              <w:jc w:val="both"/>
              <w:rPr>
                <w:sz w:val="20"/>
                <w:szCs w:val="20"/>
              </w:rPr>
            </w:pPr>
            <w:r w:rsidRPr="00970766">
              <w:rPr>
                <w:b/>
                <w:bCs/>
                <w:sz w:val="20"/>
                <w:szCs w:val="20"/>
                <w:bdr w:val="nil"/>
              </w:rPr>
              <w:t xml:space="preserve">JJ/MM/AAAA : </w:t>
            </w:r>
            <w:r w:rsidRPr="00970766">
              <w:rPr>
                <w:bCs/>
                <w:sz w:val="20"/>
                <w:szCs w:val="20"/>
                <w:bdr w:val="nil"/>
              </w:rPr>
              <w:t>|</w:t>
            </w:r>
            <w:r w:rsidRPr="00970766">
              <w:rPr>
                <w:bCs/>
                <w:sz w:val="20"/>
                <w:szCs w:val="20"/>
                <w:u w:val="single"/>
                <w:bdr w:val="nil"/>
              </w:rPr>
              <w:t xml:space="preserve">  </w:t>
            </w:r>
            <w:r w:rsidRPr="00970766">
              <w:rPr>
                <w:bCs/>
                <w:sz w:val="20"/>
                <w:szCs w:val="20"/>
                <w:bdr w:val="nil"/>
              </w:rPr>
              <w:t>||</w:t>
            </w:r>
            <w:r w:rsidRPr="00970766">
              <w:rPr>
                <w:bCs/>
                <w:sz w:val="20"/>
                <w:szCs w:val="20"/>
                <w:u w:val="single"/>
                <w:bdr w:val="nil"/>
              </w:rPr>
              <w:t xml:space="preserve">  </w:t>
            </w:r>
            <w:r w:rsidRPr="00970766">
              <w:rPr>
                <w:bCs/>
                <w:sz w:val="20"/>
                <w:szCs w:val="20"/>
                <w:bdr w:val="nil"/>
              </w:rPr>
              <w:t>|/|</w:t>
            </w:r>
            <w:r w:rsidRPr="00970766">
              <w:rPr>
                <w:bCs/>
                <w:sz w:val="20"/>
                <w:szCs w:val="20"/>
                <w:u w:val="single"/>
                <w:bdr w:val="nil"/>
              </w:rPr>
              <w:t xml:space="preserve">  </w:t>
            </w:r>
            <w:r w:rsidRPr="00970766">
              <w:rPr>
                <w:bCs/>
                <w:sz w:val="20"/>
                <w:szCs w:val="20"/>
                <w:bdr w:val="nil"/>
              </w:rPr>
              <w:t>||</w:t>
            </w:r>
            <w:r w:rsidRPr="00970766">
              <w:rPr>
                <w:bCs/>
                <w:sz w:val="20"/>
                <w:szCs w:val="20"/>
                <w:u w:val="single"/>
                <w:bdr w:val="nil"/>
              </w:rPr>
              <w:t xml:space="preserve">  </w:t>
            </w:r>
            <w:r w:rsidRPr="00970766">
              <w:rPr>
                <w:bCs/>
                <w:sz w:val="20"/>
                <w:szCs w:val="20"/>
                <w:bdr w:val="nil"/>
              </w:rPr>
              <w:t>|/ |</w:t>
            </w:r>
            <w:r w:rsidRPr="00970766">
              <w:rPr>
                <w:bCs/>
                <w:sz w:val="20"/>
                <w:szCs w:val="20"/>
                <w:u w:val="single"/>
                <w:bdr w:val="nil"/>
              </w:rPr>
              <w:t xml:space="preserve">  </w:t>
            </w:r>
            <w:r w:rsidRPr="00970766">
              <w:rPr>
                <w:bCs/>
                <w:sz w:val="20"/>
                <w:szCs w:val="20"/>
                <w:bdr w:val="nil"/>
              </w:rPr>
              <w:t>||</w:t>
            </w:r>
            <w:r w:rsidRPr="00970766">
              <w:rPr>
                <w:bCs/>
                <w:sz w:val="20"/>
                <w:szCs w:val="20"/>
                <w:u w:val="single"/>
                <w:bdr w:val="nil"/>
              </w:rPr>
              <w:t xml:space="preserve">  </w:t>
            </w:r>
            <w:r w:rsidRPr="00970766">
              <w:rPr>
                <w:bCs/>
                <w:sz w:val="20"/>
                <w:szCs w:val="20"/>
                <w:bdr w:val="nil"/>
              </w:rPr>
              <w:t>||</w:t>
            </w:r>
            <w:r w:rsidRPr="00970766">
              <w:rPr>
                <w:bCs/>
                <w:sz w:val="20"/>
                <w:szCs w:val="20"/>
                <w:u w:val="single"/>
                <w:bdr w:val="nil"/>
              </w:rPr>
              <w:t xml:space="preserve">  </w:t>
            </w:r>
            <w:r w:rsidRPr="00970766">
              <w:rPr>
                <w:bCs/>
                <w:sz w:val="20"/>
                <w:szCs w:val="20"/>
                <w:bdr w:val="nil"/>
              </w:rPr>
              <w:t>||</w:t>
            </w:r>
            <w:r w:rsidRPr="00970766">
              <w:rPr>
                <w:bCs/>
                <w:sz w:val="20"/>
                <w:szCs w:val="20"/>
                <w:u w:val="single"/>
                <w:bdr w:val="nil"/>
              </w:rPr>
              <w:t xml:space="preserve">  </w:t>
            </w:r>
            <w:r w:rsidRPr="00970766">
              <w:rPr>
                <w:bCs/>
                <w:sz w:val="20"/>
                <w:szCs w:val="20"/>
                <w:bdr w:val="nil"/>
              </w:rPr>
              <w:t>|</w:t>
            </w:r>
          </w:p>
        </w:tc>
      </w:tr>
      <w:tr w:rsidR="00AA7CC4" w:rsidRPr="00970766" w14:paraId="7A62D2B7" w14:textId="77777777" w:rsidTr="00EC7346">
        <w:tc>
          <w:tcPr>
            <w:tcW w:w="5041" w:type="dxa"/>
          </w:tcPr>
          <w:p w14:paraId="51758E56" w14:textId="77777777" w:rsidR="00AA7CC4" w:rsidRPr="00970766" w:rsidRDefault="00AA7CC4" w:rsidP="00EC7346">
            <w:pPr>
              <w:spacing w:beforeLines="50" w:before="120"/>
              <w:jc w:val="both"/>
              <w:rPr>
                <w:b/>
                <w:bCs/>
                <w:sz w:val="20"/>
                <w:szCs w:val="20"/>
              </w:rPr>
            </w:pPr>
            <w:r w:rsidRPr="00970766">
              <w:rPr>
                <w:b/>
                <w:bCs/>
                <w:sz w:val="20"/>
                <w:szCs w:val="20"/>
                <w:bdr w:val="nil"/>
              </w:rPr>
              <w:t>Hôpital (nom, adresse, service):</w:t>
            </w:r>
          </w:p>
        </w:tc>
        <w:tc>
          <w:tcPr>
            <w:tcW w:w="3985" w:type="dxa"/>
          </w:tcPr>
          <w:p w14:paraId="25E26C55" w14:textId="77777777" w:rsidR="00AA7CC4" w:rsidRPr="00970766" w:rsidRDefault="00AA7CC4" w:rsidP="00EC7346">
            <w:pPr>
              <w:spacing w:beforeLines="50" w:before="120"/>
              <w:jc w:val="both"/>
              <w:rPr>
                <w:rFonts w:eastAsiaTheme="minorEastAsia"/>
                <w:b/>
                <w:bCs/>
                <w:sz w:val="20"/>
                <w:szCs w:val="20"/>
              </w:rPr>
            </w:pPr>
            <w:r w:rsidRPr="00970766">
              <w:rPr>
                <w:b/>
                <w:bCs/>
                <w:sz w:val="20"/>
                <w:szCs w:val="20"/>
                <w:bdr w:val="nil"/>
              </w:rPr>
              <w:t xml:space="preserve">Signature du médecin prescripteur : </w:t>
            </w:r>
          </w:p>
        </w:tc>
      </w:tr>
      <w:tr w:rsidR="00AA7CC4" w:rsidRPr="00970766" w14:paraId="1D5732B3" w14:textId="77777777" w:rsidTr="00EC7346">
        <w:tc>
          <w:tcPr>
            <w:tcW w:w="5041" w:type="dxa"/>
          </w:tcPr>
          <w:p w14:paraId="3245D77E" w14:textId="77777777" w:rsidR="00AA7CC4" w:rsidRPr="00970766" w:rsidRDefault="00AA7CC4" w:rsidP="00EC7346">
            <w:pPr>
              <w:spacing w:beforeLines="50" w:before="120"/>
              <w:jc w:val="both"/>
              <w:rPr>
                <w:sz w:val="20"/>
                <w:szCs w:val="20"/>
              </w:rPr>
            </w:pPr>
          </w:p>
        </w:tc>
        <w:tc>
          <w:tcPr>
            <w:tcW w:w="3985" w:type="dxa"/>
          </w:tcPr>
          <w:p w14:paraId="3C68D8F0" w14:textId="77777777" w:rsidR="00AA7CC4" w:rsidRPr="00970766" w:rsidRDefault="00AA7CC4" w:rsidP="00EC7346">
            <w:pPr>
              <w:spacing w:beforeLines="50" w:before="120"/>
              <w:jc w:val="both"/>
              <w:rPr>
                <w:sz w:val="20"/>
                <w:szCs w:val="20"/>
              </w:rPr>
            </w:pPr>
          </w:p>
        </w:tc>
      </w:tr>
      <w:tr w:rsidR="00AA7CC4" w:rsidRPr="00970766" w14:paraId="481E0A74" w14:textId="77777777" w:rsidTr="00EC7346">
        <w:trPr>
          <w:trHeight w:val="754"/>
        </w:trPr>
        <w:tc>
          <w:tcPr>
            <w:tcW w:w="5041" w:type="dxa"/>
          </w:tcPr>
          <w:p w14:paraId="3540C9C1" w14:textId="77777777" w:rsidR="00AA7CC4" w:rsidRPr="00970766" w:rsidRDefault="00AA7CC4" w:rsidP="00EC7346">
            <w:pPr>
              <w:spacing w:beforeLines="50" w:before="120"/>
              <w:jc w:val="both"/>
              <w:rPr>
                <w:b/>
                <w:bCs/>
                <w:sz w:val="20"/>
                <w:szCs w:val="20"/>
                <w:bdr w:val="nil"/>
              </w:rPr>
            </w:pPr>
            <w:r w:rsidRPr="00970766">
              <w:rPr>
                <w:b/>
                <w:bCs/>
                <w:sz w:val="20"/>
                <w:szCs w:val="20"/>
                <w:bdr w:val="nil"/>
              </w:rPr>
              <w:t>Courriel :</w:t>
            </w:r>
          </w:p>
          <w:p w14:paraId="1188CAF5" w14:textId="77777777" w:rsidR="00AA7CC4" w:rsidRPr="00970766" w:rsidRDefault="00AA7CC4" w:rsidP="00EC7346">
            <w:pPr>
              <w:spacing w:beforeLines="50" w:before="120"/>
              <w:jc w:val="both"/>
              <w:rPr>
                <w:b/>
                <w:bCs/>
                <w:sz w:val="20"/>
                <w:szCs w:val="20"/>
              </w:rPr>
            </w:pPr>
            <w:r w:rsidRPr="00970766">
              <w:rPr>
                <w:b/>
                <w:bCs/>
                <w:sz w:val="20"/>
                <w:szCs w:val="20"/>
                <w:bdr w:val="nil"/>
              </w:rPr>
              <w:t xml:space="preserve">Tel : </w:t>
            </w:r>
          </w:p>
        </w:tc>
        <w:tc>
          <w:tcPr>
            <w:tcW w:w="3985" w:type="dxa"/>
          </w:tcPr>
          <w:p w14:paraId="47DEC450" w14:textId="77777777" w:rsidR="00AA7CC4" w:rsidRPr="00970766" w:rsidRDefault="00AA7CC4" w:rsidP="00EC7346">
            <w:pPr>
              <w:spacing w:beforeLines="50" w:before="120"/>
              <w:jc w:val="both"/>
              <w:rPr>
                <w:b/>
                <w:bCs/>
                <w:sz w:val="20"/>
                <w:szCs w:val="20"/>
              </w:rPr>
            </w:pPr>
          </w:p>
        </w:tc>
      </w:tr>
    </w:tbl>
    <w:p w14:paraId="5D863278" w14:textId="1191FC69" w:rsidR="001D44F6" w:rsidRDefault="001D44F6" w:rsidP="001D44F6">
      <w:pPr>
        <w:pStyle w:val="NormalWeb"/>
        <w:jc w:val="both"/>
        <w:rPr>
          <w:sz w:val="16"/>
          <w:szCs w:val="16"/>
          <w:lang w:val="fr-FR"/>
        </w:rPr>
      </w:pPr>
      <w:r w:rsidRPr="009936CF">
        <w:rPr>
          <w:sz w:val="16"/>
          <w:szCs w:val="16"/>
          <w:lang w:val="fr-FR"/>
        </w:rPr>
        <w:lastRenderedPageBreak/>
        <w:t>AbbVie</w:t>
      </w:r>
      <w:r w:rsidRPr="00EE2B5B">
        <w:rPr>
          <w:sz w:val="16"/>
          <w:szCs w:val="16"/>
          <w:lang w:val="fr-FR"/>
        </w:rPr>
        <w:t xml:space="preserve">, situé 10 rue d’Arcueil 94150 Rungis, </w:t>
      </w:r>
      <w:r w:rsidRPr="009936CF">
        <w:rPr>
          <w:sz w:val="16"/>
          <w:szCs w:val="16"/>
          <w:lang w:val="fr-FR"/>
        </w:rPr>
        <w:t xml:space="preserve"> est responsable du traitement des données à caractère personnel mis en œuvre dans le contexte d’un cadre de prescription compassionnelle pour le médicament BOTOX 50, 100, 200 UNITÉS ALLERGAN. Le traitement de vos données à caractère personnel est ainsi nécessaire pour permettre à AbbVie :</w:t>
      </w:r>
    </w:p>
    <w:p w14:paraId="004B0BBA" w14:textId="77777777" w:rsidR="001D44F6" w:rsidRDefault="001D44F6" w:rsidP="001D44F6">
      <w:pPr>
        <w:pStyle w:val="NormalWeb"/>
        <w:jc w:val="both"/>
        <w:rPr>
          <w:sz w:val="16"/>
          <w:szCs w:val="16"/>
          <w:lang w:val="fr-FR"/>
        </w:rPr>
      </w:pPr>
    </w:p>
    <w:p w14:paraId="5A0D81C9" w14:textId="669231EB" w:rsidR="001D44F6" w:rsidRDefault="001D44F6" w:rsidP="001D44F6">
      <w:pPr>
        <w:pStyle w:val="NormalWeb"/>
        <w:numPr>
          <w:ilvl w:val="0"/>
          <w:numId w:val="28"/>
        </w:numPr>
        <w:jc w:val="both"/>
        <w:rPr>
          <w:sz w:val="16"/>
          <w:szCs w:val="16"/>
          <w:lang w:val="fr-FR"/>
        </w:rPr>
      </w:pPr>
      <w:r w:rsidRPr="000C2309">
        <w:rPr>
          <w:sz w:val="16"/>
          <w:szCs w:val="16"/>
          <w:lang w:val="fr-FR"/>
        </w:rPr>
        <w:t>D’assurer le suivi de la collecte des données à caractère personnel des patients en vue de garantir une utilisation du médicament BOTOX 50, 100, 200 UNITÉS ALLERGAN conforme au protocole d’utilisation thérapeutique</w:t>
      </w:r>
    </w:p>
    <w:p w14:paraId="5338E418" w14:textId="77777777" w:rsidR="001D44F6" w:rsidRDefault="001D44F6" w:rsidP="001D44F6">
      <w:pPr>
        <w:pStyle w:val="NormalWeb"/>
        <w:numPr>
          <w:ilvl w:val="0"/>
          <w:numId w:val="28"/>
        </w:numPr>
        <w:jc w:val="both"/>
        <w:rPr>
          <w:sz w:val="16"/>
          <w:szCs w:val="16"/>
          <w:lang w:val="fr-FR"/>
        </w:rPr>
      </w:pPr>
      <w:r w:rsidRPr="000C2309">
        <w:rPr>
          <w:sz w:val="16"/>
          <w:szCs w:val="16"/>
          <w:lang w:val="fr-FR"/>
        </w:rPr>
        <w:t>De recueillir des informations sur les conditions d’utilisation du médicament sous cadre de prescription compassionnelle</w:t>
      </w:r>
    </w:p>
    <w:p w14:paraId="48936068" w14:textId="77777777" w:rsidR="001D44F6" w:rsidRPr="0038685B" w:rsidRDefault="001D44F6" w:rsidP="001D44F6">
      <w:pPr>
        <w:pStyle w:val="NormalWeb"/>
        <w:numPr>
          <w:ilvl w:val="0"/>
          <w:numId w:val="28"/>
        </w:numPr>
        <w:jc w:val="both"/>
        <w:rPr>
          <w:sz w:val="16"/>
          <w:szCs w:val="16"/>
          <w:lang w:val="fr-FR"/>
        </w:rPr>
      </w:pPr>
      <w:r w:rsidRPr="000C2309">
        <w:rPr>
          <w:sz w:val="16"/>
          <w:szCs w:val="16"/>
          <w:lang w:val="fr-FR"/>
        </w:rPr>
        <w:t>D’assurer légitimement la gestion des contacts avec les médecins prescripteurs et les pharmaciens dispensateurs de ces médicaments.</w:t>
      </w:r>
    </w:p>
    <w:p w14:paraId="4383D25E" w14:textId="7845A84B" w:rsidR="00AA7CC4" w:rsidRPr="007A7F4C" w:rsidRDefault="001D44F6" w:rsidP="007A7F4C">
      <w:pPr>
        <w:tabs>
          <w:tab w:val="left" w:pos="1400"/>
        </w:tabs>
        <w:spacing w:before="163" w:line="250" w:lineRule="auto"/>
        <w:ind w:right="845"/>
        <w:jc w:val="both"/>
        <w:rPr>
          <w:rFonts w:ascii="Imago" w:eastAsia="Times New Roman" w:hAnsi="Imago" w:cs="Times New Roman"/>
          <w:sz w:val="16"/>
          <w:szCs w:val="16"/>
        </w:rPr>
      </w:pPr>
      <w:r w:rsidRPr="00B469AB">
        <w:rPr>
          <w:rFonts w:ascii="Imago" w:eastAsia="Times New Roman" w:hAnsi="Imago" w:cs="Times New Roman"/>
          <w:sz w:val="16"/>
          <w:szCs w:val="16"/>
        </w:rPr>
        <w:t xml:space="preserve">Vos données sont conservées dans la limite d’un an suivant l’approbation par l’ANSM du résumé du dernier rapport de synthèse puis archivées jusqu’à 70 ans maximum à compter de l’expiration de la décision de l’ANSM ou de la date de décision de l’ANSM prononçant la suspension ou le retrait du cadre de prescription compassionnelle. Vos données seront ensuite supprimées ou anonymisées. AbbVie peut également produire des statistiques dans le cadre de ses activités et des services qu’elle met en œuvre après l’anonymisation de vos données ne permettant plus de vous identifier. Les destinataires de vos données sont AbbVie, les sous-traitants d’AbbVie présentant des garanties suffisantes au titre de la mise en œuvre de mesures techniques et organisationnelles appropriées, en particulier en termes de confidentialité et de sécurité et la maison mère d’AbbVie, AbbVie Inc (situés aux Etats-Unis d’Amérique), intervenant dans la mise en œuvre du cadre de prescription compassionnelle. Vos données sont également destinées aux organismes publics communautaires, nationaux ou locaux en charge de la surveillance des médicaments sous cadre de prescription compassionnelle. Le transfert de vos données vers la maison mère d’AbbVie, AbbVie Inc (Etats-Unis d’Amérique) est encadré par les clauses contractuelles types garantissant un niveau de protection suffisant des données personnelles. En cas de transfert subséquent vers des pays ne disposant pas de réglementation protectrice des données personnelles AbbVie s'assurera contractuellement que les données continueront à bénéficier d'une protection adéquate. Vous avez la possibilité de vous procurer une copie des clauses contractuelles types encadrant le transfert des données en vous adressant à </w:t>
      </w:r>
      <w:hyperlink r:id="rId35" w:history="1">
        <w:r w:rsidRPr="00DD11B4">
          <w:rPr>
            <w:rStyle w:val="Lienhypertexte"/>
            <w:rFonts w:ascii="Imago" w:eastAsia="Times New Roman" w:hAnsi="Imago" w:cs="Times New Roman"/>
            <w:sz w:val="16"/>
            <w:szCs w:val="16"/>
          </w:rPr>
          <w:t>privacyoffice@abbvie.com</w:t>
        </w:r>
      </w:hyperlink>
      <w:r w:rsidRPr="00B469AB">
        <w:rPr>
          <w:rFonts w:ascii="Imago" w:eastAsia="Times New Roman" w:hAnsi="Imago" w:cs="Times New Roman"/>
          <w:sz w:val="16"/>
          <w:szCs w:val="16"/>
        </w:rPr>
        <w:t xml:space="preserve">. Vous êtes informé qu’en aucun cas vos données ne seront communiquées à des tiers non autorisés et en particulier vos données ne feront en aucun cas l’objet de commercialisation. Conformément à la réglementation, vous bénéficiez d’un droit d’accès, de rectification, de limitation du traitement de vos données, du droit d’introduire une réclamation auprès de la CNIL et du droit de définir des directives particulières relatives au sort de vos données après votre décès. Le droit d’opposition au traitement de vos données personnelles, le droit à l’effacement de vos données personnelles et le droit à la portabilité ne sont pas applicables à ce traitement. Vous pouvez exercer vos droits en vous adressant à : </w:t>
      </w:r>
      <w:hyperlink r:id="rId36" w:history="1">
        <w:r w:rsidRPr="00DD11B4">
          <w:rPr>
            <w:rStyle w:val="Lienhypertexte"/>
            <w:rFonts w:ascii="Imago" w:eastAsia="Times New Roman" w:hAnsi="Imago" w:cs="Times New Roman"/>
            <w:sz w:val="16"/>
            <w:szCs w:val="16"/>
          </w:rPr>
          <w:t>privacyoffice@abbvie.com</w:t>
        </w:r>
      </w:hyperlink>
      <w:r>
        <w:rPr>
          <w:rFonts w:ascii="Imago" w:eastAsia="Times New Roman" w:hAnsi="Imago" w:cs="Times New Roman"/>
          <w:sz w:val="16"/>
          <w:szCs w:val="16"/>
        </w:rPr>
        <w:t xml:space="preserve">  </w:t>
      </w:r>
      <w:r w:rsidRPr="00B469AB">
        <w:rPr>
          <w:rFonts w:ascii="Imago" w:eastAsia="Times New Roman" w:hAnsi="Imago" w:cs="Times New Roman"/>
          <w:sz w:val="16"/>
          <w:szCs w:val="16"/>
        </w:rPr>
        <w:t xml:space="preserve"> ou en remplissant le formulaire accessible via le lien </w:t>
      </w:r>
      <w:hyperlink r:id="rId37" w:history="1">
        <w:r w:rsidRPr="00DD11B4">
          <w:rPr>
            <w:rStyle w:val="Lienhypertexte"/>
            <w:rFonts w:ascii="Imago" w:eastAsia="Times New Roman" w:hAnsi="Imago" w:cs="Times New Roman"/>
            <w:sz w:val="16"/>
            <w:szCs w:val="16"/>
          </w:rPr>
          <w:t>https://abbviemetadata.my.site.com/AbbvieDSRM/s/?language=en_US</w:t>
        </w:r>
      </w:hyperlink>
      <w:r>
        <w:rPr>
          <w:rFonts w:ascii="Imago" w:eastAsia="Times New Roman" w:hAnsi="Imago" w:cs="Times New Roman"/>
          <w:sz w:val="16"/>
          <w:szCs w:val="16"/>
        </w:rPr>
        <w:t xml:space="preserve"> </w:t>
      </w:r>
      <w:r w:rsidRPr="00B469AB">
        <w:rPr>
          <w:rFonts w:ascii="Imago" w:eastAsia="Times New Roman" w:hAnsi="Imago" w:cs="Times New Roman"/>
          <w:sz w:val="16"/>
          <w:szCs w:val="16"/>
        </w:rPr>
        <w:t xml:space="preserve">ou envoyer un email à </w:t>
      </w:r>
      <w:hyperlink r:id="rId38" w:history="1">
        <w:r w:rsidRPr="00DD11B4">
          <w:rPr>
            <w:rStyle w:val="Lienhypertexte"/>
            <w:rFonts w:ascii="Imago" w:eastAsia="Times New Roman" w:hAnsi="Imago" w:cs="Times New Roman"/>
            <w:sz w:val="16"/>
            <w:szCs w:val="16"/>
          </w:rPr>
          <w:t>privacydsr@abbvie.com</w:t>
        </w:r>
      </w:hyperlink>
      <w:r w:rsidRPr="00B469AB">
        <w:rPr>
          <w:rFonts w:ascii="Imago" w:eastAsia="Times New Roman" w:hAnsi="Imago" w:cs="Times New Roman"/>
          <w:sz w:val="16"/>
          <w:szCs w:val="16"/>
        </w:rPr>
        <w:t xml:space="preserve">. Vous pouvez contacter le délégué à la protection des données d’AbbVie aux coordonnées suivantes par email à l’adresse </w:t>
      </w:r>
      <w:hyperlink r:id="rId39" w:history="1">
        <w:r w:rsidRPr="00DD11B4">
          <w:rPr>
            <w:rStyle w:val="Lienhypertexte"/>
            <w:rFonts w:ascii="Imago" w:eastAsia="Times New Roman" w:hAnsi="Imago" w:cs="Times New Roman"/>
            <w:sz w:val="16"/>
            <w:szCs w:val="16"/>
          </w:rPr>
          <w:t>privacyoffice@abbvie.com</w:t>
        </w:r>
      </w:hyperlink>
      <w:r>
        <w:rPr>
          <w:rFonts w:ascii="Imago" w:eastAsia="Times New Roman" w:hAnsi="Imago" w:cs="Times New Roman"/>
          <w:sz w:val="16"/>
          <w:szCs w:val="16"/>
        </w:rPr>
        <w:t xml:space="preserve"> </w:t>
      </w:r>
      <w:r w:rsidRPr="00B469AB">
        <w:rPr>
          <w:rFonts w:ascii="Imago" w:eastAsia="Times New Roman" w:hAnsi="Imago" w:cs="Times New Roman"/>
          <w:sz w:val="16"/>
          <w:szCs w:val="16"/>
        </w:rPr>
        <w:t xml:space="preserve">ou par courrier : AbbVie Customer Service Attn: Privacy Department 36M 1 N. Waukegan Road North Chicago, IL 60064-6163. Pour toute information complémentaire, nous vous invitons à consulter notre Politique de confidentialité </w:t>
      </w:r>
      <w:hyperlink r:id="rId40" w:history="1">
        <w:r w:rsidRPr="00DD11B4">
          <w:rPr>
            <w:rStyle w:val="Lienhypertexte"/>
            <w:rFonts w:ascii="Imago" w:eastAsia="Times New Roman" w:hAnsi="Imago" w:cs="Times New Roman"/>
            <w:sz w:val="16"/>
            <w:szCs w:val="16"/>
          </w:rPr>
          <w:t>http://www.abbvie.fr/privacy/home.html</w:t>
        </w:r>
      </w:hyperlink>
      <w:r>
        <w:rPr>
          <w:rFonts w:ascii="Imago" w:eastAsia="Times New Roman" w:hAnsi="Imago" w:cs="Times New Roman"/>
          <w:sz w:val="16"/>
          <w:szCs w:val="16"/>
        </w:rPr>
        <w:t>.</w:t>
      </w:r>
      <w:r w:rsidR="00AA7CC4" w:rsidRPr="00970766">
        <w:rPr>
          <w:rFonts w:ascii="Arial" w:hAnsi="Arial" w:cs="Arial"/>
          <w:b/>
          <w:color w:val="1E3662"/>
          <w:sz w:val="20"/>
          <w:szCs w:val="20"/>
        </w:rPr>
        <w:br w:type="page"/>
      </w:r>
    </w:p>
    <w:p w14:paraId="332A2BE7" w14:textId="77777777" w:rsidR="000074F3" w:rsidRDefault="008F1BC0" w:rsidP="005841E9">
      <w:pPr>
        <w:outlineLvl w:val="2"/>
        <w:rPr>
          <w:rFonts w:ascii="Arial" w:hAnsi="Arial" w:cs="Arial"/>
          <w:b/>
          <w:color w:val="1E3662"/>
          <w:sz w:val="20"/>
          <w:szCs w:val="20"/>
        </w:rPr>
      </w:pPr>
      <w:bookmarkStart w:id="13" w:name="_Toc158900880"/>
      <w:r w:rsidRPr="00970766">
        <w:rPr>
          <w:rFonts w:ascii="Arial" w:hAnsi="Arial" w:cs="Arial"/>
          <w:b/>
          <w:color w:val="1E3662"/>
          <w:sz w:val="20"/>
          <w:szCs w:val="20"/>
        </w:rPr>
        <w:lastRenderedPageBreak/>
        <w:t xml:space="preserve">ANNEXE </w:t>
      </w:r>
      <w:r w:rsidR="002834E6" w:rsidRPr="00970766">
        <w:rPr>
          <w:rFonts w:ascii="Arial" w:hAnsi="Arial" w:cs="Arial"/>
          <w:b/>
          <w:color w:val="1E3662"/>
          <w:sz w:val="20"/>
          <w:szCs w:val="20"/>
        </w:rPr>
        <w:t>1</w:t>
      </w:r>
      <w:r w:rsidR="00AA7CC4" w:rsidRPr="00970766">
        <w:rPr>
          <w:rFonts w:ascii="Arial" w:hAnsi="Arial" w:cs="Arial"/>
          <w:b/>
          <w:color w:val="1E3662"/>
          <w:sz w:val="20"/>
          <w:szCs w:val="20"/>
        </w:rPr>
        <w:t>.3 : fiche de suivi Vx (visites trimestrielles)</w:t>
      </w:r>
      <w:bookmarkEnd w:id="13"/>
      <w:r w:rsidR="00AA7CC4" w:rsidRPr="00970766">
        <w:rPr>
          <w:rFonts w:ascii="Arial" w:hAnsi="Arial" w:cs="Arial"/>
          <w:b/>
          <w:color w:val="1E3662"/>
          <w:sz w:val="20"/>
          <w:szCs w:val="20"/>
        </w:rPr>
        <w:t xml:space="preserve"> </w:t>
      </w:r>
    </w:p>
    <w:p w14:paraId="73E308E4" w14:textId="77777777" w:rsidR="00AA7CC4" w:rsidRPr="000074F3" w:rsidRDefault="000074F3" w:rsidP="000074F3">
      <w:pPr>
        <w:rPr>
          <w:sz w:val="20"/>
          <w:szCs w:val="20"/>
          <w:lang w:eastAsia="zh-CN"/>
        </w:rPr>
      </w:pPr>
      <w:r w:rsidRPr="000074F3">
        <w:rPr>
          <w:rFonts w:ascii="Arial" w:hAnsi="Arial" w:cs="Arial"/>
          <w:sz w:val="20"/>
          <w:szCs w:val="20"/>
        </w:rPr>
        <w:t>À</w:t>
      </w:r>
      <w:r w:rsidR="00AA7CC4" w:rsidRPr="000074F3">
        <w:rPr>
          <w:rFonts w:ascii="Arial" w:hAnsi="Arial" w:cs="Arial"/>
          <w:sz w:val="20"/>
          <w:szCs w:val="20"/>
        </w:rPr>
        <w:t xml:space="preserve"> saisir de manière électronique uniquement</w:t>
      </w:r>
      <w:r>
        <w:rPr>
          <w:rFonts w:ascii="Arial" w:hAnsi="Arial" w:cs="Arial"/>
          <w:sz w:val="20"/>
          <w:szCs w:val="20"/>
        </w:rPr>
        <w:t>.</w:t>
      </w:r>
    </w:p>
    <w:p w14:paraId="67D91A12" w14:textId="3BEA67B8" w:rsidR="00AA7CC4" w:rsidRPr="00970766" w:rsidRDefault="00AA7CC4" w:rsidP="00AA7CC4">
      <w:pPr>
        <w:pBdr>
          <w:top w:val="single" w:sz="4" w:space="1" w:color="auto"/>
          <w:left w:val="single" w:sz="4" w:space="0" w:color="auto"/>
          <w:bottom w:val="single" w:sz="4" w:space="1" w:color="auto"/>
          <w:right w:val="single" w:sz="4" w:space="4" w:color="auto"/>
        </w:pBdr>
        <w:shd w:val="clear" w:color="auto" w:fill="CCC0D9"/>
        <w:spacing w:line="400" w:lineRule="exact"/>
        <w:ind w:rightChars="37" w:right="81"/>
        <w:jc w:val="center"/>
        <w:rPr>
          <w:b/>
          <w:bCs/>
          <w:sz w:val="28"/>
          <w:szCs w:val="28"/>
          <w:lang w:eastAsia="zh-CN"/>
        </w:rPr>
      </w:pPr>
      <w:r w:rsidRPr="00970766">
        <w:rPr>
          <w:b/>
          <w:bCs/>
          <w:sz w:val="28"/>
          <w:szCs w:val="28"/>
          <w:bdr w:val="nil"/>
        </w:rPr>
        <w:t>Cadre de prescription compassionnelle BOTOX</w:t>
      </w:r>
    </w:p>
    <w:p w14:paraId="0ECA1F80" w14:textId="77777777" w:rsidR="00AA7CC4" w:rsidRPr="00970766" w:rsidRDefault="00AA7CC4" w:rsidP="00AA7CC4">
      <w:pPr>
        <w:pBdr>
          <w:top w:val="single" w:sz="4" w:space="1" w:color="auto"/>
          <w:left w:val="single" w:sz="4" w:space="0" w:color="auto"/>
          <w:bottom w:val="single" w:sz="4" w:space="1" w:color="auto"/>
          <w:right w:val="single" w:sz="4" w:space="4" w:color="auto"/>
        </w:pBdr>
        <w:shd w:val="clear" w:color="auto" w:fill="F1F1F1"/>
        <w:spacing w:line="400" w:lineRule="exact"/>
        <w:ind w:rightChars="37" w:right="81"/>
        <w:jc w:val="center"/>
        <w:rPr>
          <w:b/>
          <w:bCs/>
          <w:sz w:val="28"/>
          <w:szCs w:val="28"/>
          <w:bdr w:val="nil"/>
        </w:rPr>
      </w:pPr>
      <w:r w:rsidRPr="00970766">
        <w:rPr>
          <w:b/>
          <w:bCs/>
          <w:sz w:val="28"/>
          <w:szCs w:val="28"/>
          <w:bdr w:val="nil"/>
        </w:rPr>
        <w:t>FICHE DE SUIVI - Vx</w:t>
      </w:r>
    </w:p>
    <w:p w14:paraId="7B2727BF" w14:textId="77777777" w:rsidR="00AA7CC4" w:rsidRPr="00307F74" w:rsidRDefault="00AA7CC4" w:rsidP="00AD389C">
      <w:pPr>
        <w:pBdr>
          <w:top w:val="single" w:sz="4" w:space="1" w:color="auto"/>
          <w:left w:val="single" w:sz="4" w:space="0" w:color="auto"/>
          <w:bottom w:val="single" w:sz="4" w:space="1" w:color="auto"/>
          <w:right w:val="single" w:sz="4" w:space="4" w:color="auto"/>
        </w:pBdr>
        <w:shd w:val="clear" w:color="auto" w:fill="F1F1F1"/>
        <w:spacing w:line="400" w:lineRule="exact"/>
        <w:ind w:rightChars="37" w:right="81"/>
        <w:jc w:val="center"/>
        <w:rPr>
          <w:b/>
          <w:sz w:val="20"/>
          <w:szCs w:val="20"/>
          <w:bdr w:val="nil"/>
        </w:rPr>
      </w:pPr>
      <w:r w:rsidRPr="00970766">
        <w:rPr>
          <w:b/>
          <w:bCs/>
          <w:sz w:val="28"/>
          <w:szCs w:val="28"/>
          <w:bdr w:val="nil"/>
        </w:rPr>
        <w:t xml:space="preserve"> </w:t>
      </w:r>
      <w:r w:rsidRPr="00307F74">
        <w:rPr>
          <w:b/>
          <w:sz w:val="28"/>
          <w:szCs w:val="28"/>
          <w:bdr w:val="nil"/>
        </w:rPr>
        <w:t>(visites trimestrielles)</w:t>
      </w:r>
    </w:p>
    <w:p w14:paraId="282CB7B5" w14:textId="77777777" w:rsidR="00AA7CC4" w:rsidRPr="00307F74" w:rsidRDefault="00AA7CC4" w:rsidP="00AA7CC4">
      <w:pPr>
        <w:spacing w:line="60" w:lineRule="exact"/>
        <w:jc w:val="both"/>
        <w:rPr>
          <w:sz w:val="20"/>
          <w:szCs w:val="20"/>
        </w:rPr>
      </w:pPr>
    </w:p>
    <w:p w14:paraId="56907531" w14:textId="77777777" w:rsidR="00AA7CC4" w:rsidRPr="00F85008" w:rsidRDefault="00AA7CC4" w:rsidP="00AA7CC4">
      <w:pPr>
        <w:pBdr>
          <w:top w:val="single" w:sz="4" w:space="2" w:color="auto"/>
          <w:left w:val="single" w:sz="4" w:space="0" w:color="auto"/>
          <w:bottom w:val="single" w:sz="4" w:space="1" w:color="auto"/>
          <w:right w:val="single" w:sz="4" w:space="31" w:color="auto"/>
        </w:pBdr>
        <w:tabs>
          <w:tab w:val="left" w:pos="9639"/>
        </w:tabs>
        <w:ind w:right="1112"/>
        <w:jc w:val="center"/>
        <w:rPr>
          <w:rFonts w:ascii="Arial" w:eastAsia="Calibri" w:hAnsi="Arial" w:cs="Arial"/>
          <w:sz w:val="20"/>
          <w:szCs w:val="20"/>
          <w:lang w:val="en-GB"/>
        </w:rPr>
      </w:pPr>
      <w:r w:rsidRPr="00F85008">
        <w:rPr>
          <w:rFonts w:ascii="Arial" w:eastAsia="Calibri" w:hAnsi="Arial" w:cs="Arial"/>
          <w:sz w:val="20"/>
          <w:szCs w:val="20"/>
          <w:lang w:val="en-GB"/>
        </w:rPr>
        <w:t>Date de vis</w:t>
      </w:r>
      <w:r w:rsidR="00175288" w:rsidRPr="00F85008">
        <w:rPr>
          <w:rFonts w:ascii="Arial" w:eastAsia="Calibri" w:hAnsi="Arial" w:cs="Arial"/>
          <w:sz w:val="20"/>
          <w:szCs w:val="20"/>
          <w:lang w:val="en-GB"/>
        </w:rPr>
        <w:t>ite</w:t>
      </w:r>
      <w:r w:rsidRPr="00F85008">
        <w:rPr>
          <w:rFonts w:ascii="Arial" w:eastAsia="Calibri" w:hAnsi="Arial" w:cs="Arial"/>
          <w:sz w:val="20"/>
          <w:szCs w:val="20"/>
          <w:lang w:val="en-GB"/>
        </w:rPr>
        <w:t xml:space="preserve"> : I_I_I  I_I_I  I_I_I_I_I</w:t>
      </w:r>
    </w:p>
    <w:p w14:paraId="7EECBBDA" w14:textId="77777777" w:rsidR="00AA7CC4" w:rsidRPr="00F85008" w:rsidRDefault="00AA7CC4" w:rsidP="00AA7CC4">
      <w:pPr>
        <w:shd w:val="clear" w:color="auto" w:fill="DDD9C3"/>
        <w:tabs>
          <w:tab w:val="left" w:pos="9480"/>
        </w:tabs>
        <w:spacing w:beforeLines="50" w:before="120" w:afterLines="50" w:after="120"/>
        <w:rPr>
          <w:sz w:val="24"/>
          <w:szCs w:val="24"/>
          <w:lang w:val="en-GB"/>
        </w:rPr>
      </w:pPr>
      <w:r w:rsidRPr="00F85008">
        <w:rPr>
          <w:b/>
          <w:bCs/>
          <w:sz w:val="24"/>
          <w:szCs w:val="24"/>
          <w:bdr w:val="nil"/>
          <w:lang w:val="en-GB"/>
        </w:rPr>
        <w:t>IDENTIFICATION DU PATIENT</w:t>
      </w:r>
    </w:p>
    <w:p w14:paraId="5AEF9F57" w14:textId="77777777" w:rsidR="00AA7CC4" w:rsidRPr="00F85008" w:rsidRDefault="00AA7CC4" w:rsidP="00AA7CC4">
      <w:pPr>
        <w:tabs>
          <w:tab w:val="left" w:pos="4678"/>
        </w:tabs>
        <w:spacing w:before="120" w:after="120"/>
        <w:ind w:right="1112"/>
        <w:rPr>
          <w:rFonts w:ascii="Arial" w:eastAsia="Calibri" w:hAnsi="Arial" w:cs="Arial"/>
          <w:sz w:val="20"/>
          <w:szCs w:val="20"/>
          <w:lang w:val="en-GB"/>
        </w:rPr>
      </w:pPr>
      <w:r w:rsidRPr="00F85008">
        <w:rPr>
          <w:rFonts w:ascii="Arial" w:eastAsia="Calibri" w:hAnsi="Arial" w:cs="Arial"/>
          <w:sz w:val="20"/>
          <w:szCs w:val="20"/>
          <w:lang w:val="en-GB"/>
        </w:rPr>
        <w:t>Initiales (</w:t>
      </w:r>
      <w:r w:rsidRPr="00F85008">
        <w:rPr>
          <w:rFonts w:ascii="Arial" w:eastAsia="Calibri" w:hAnsi="Arial" w:cs="Arial"/>
          <w:i/>
          <w:sz w:val="20"/>
          <w:szCs w:val="20"/>
          <w:lang w:val="en-GB"/>
        </w:rPr>
        <w:t>Nom – Prénom</w:t>
      </w:r>
      <w:r w:rsidRPr="00F85008">
        <w:rPr>
          <w:rFonts w:ascii="Arial" w:eastAsia="Calibri" w:hAnsi="Arial" w:cs="Arial"/>
          <w:sz w:val="20"/>
          <w:szCs w:val="20"/>
          <w:lang w:val="en-GB"/>
        </w:rPr>
        <w:t>) : I_I_I_I – I_I</w:t>
      </w:r>
      <w:r w:rsidR="00175288" w:rsidRPr="00F85008">
        <w:rPr>
          <w:rFonts w:ascii="Arial" w:eastAsia="Calibri" w:hAnsi="Arial" w:cs="Arial"/>
          <w:sz w:val="20"/>
          <w:szCs w:val="20"/>
          <w:lang w:val="en-GB"/>
        </w:rPr>
        <w:t>_I</w:t>
      </w:r>
      <w:r w:rsidRPr="00F85008">
        <w:rPr>
          <w:rFonts w:ascii="Arial" w:eastAsia="Calibri" w:hAnsi="Arial" w:cs="Arial"/>
          <w:sz w:val="20"/>
          <w:szCs w:val="20"/>
          <w:lang w:val="en-GB"/>
        </w:rPr>
        <w:t xml:space="preserve">   </w:t>
      </w:r>
      <w:r w:rsidR="00175288" w:rsidRPr="00F85008">
        <w:rPr>
          <w:rFonts w:ascii="Arial" w:eastAsia="Calibri" w:hAnsi="Arial" w:cs="Arial"/>
          <w:sz w:val="20"/>
          <w:szCs w:val="20"/>
          <w:lang w:val="en-GB"/>
        </w:rPr>
        <w:tab/>
      </w:r>
      <w:r w:rsidR="00175288" w:rsidRPr="00F85008">
        <w:rPr>
          <w:rFonts w:ascii="Arial" w:hAnsi="Arial" w:cs="Arial"/>
          <w:bCs/>
          <w:sz w:val="20"/>
          <w:szCs w:val="20"/>
          <w:bdr w:val="nil"/>
          <w:lang w:val="en-GB"/>
        </w:rPr>
        <w:t xml:space="preserve">POIDS : </w:t>
      </w:r>
      <w:r w:rsidR="00175288" w:rsidRPr="00F85008">
        <w:rPr>
          <w:rFonts w:ascii="Arial" w:hAnsi="Arial" w:cs="Arial"/>
          <w:sz w:val="20"/>
          <w:szCs w:val="20"/>
          <w:bdr w:val="nil"/>
          <w:lang w:val="en-GB"/>
        </w:rPr>
        <w:t>|</w:t>
      </w:r>
      <w:r w:rsidR="00175288" w:rsidRPr="00F85008">
        <w:rPr>
          <w:rFonts w:ascii="Arial" w:hAnsi="Arial" w:cs="Arial"/>
          <w:sz w:val="20"/>
          <w:szCs w:val="20"/>
          <w:u w:val="single"/>
          <w:bdr w:val="nil"/>
          <w:lang w:val="en-GB"/>
        </w:rPr>
        <w:t xml:space="preserve">  |  |  </w:t>
      </w:r>
      <w:r w:rsidR="00175288" w:rsidRPr="00F85008">
        <w:rPr>
          <w:rFonts w:ascii="Arial" w:hAnsi="Arial" w:cs="Arial"/>
          <w:sz w:val="20"/>
          <w:szCs w:val="20"/>
          <w:bdr w:val="nil"/>
          <w:lang w:val="en-GB"/>
        </w:rPr>
        <w:t>| kg</w:t>
      </w:r>
    </w:p>
    <w:p w14:paraId="35C0C444" w14:textId="77777777" w:rsidR="00AA7CC4" w:rsidRPr="00F85008" w:rsidRDefault="00AA7CC4" w:rsidP="00AA7CC4">
      <w:pPr>
        <w:tabs>
          <w:tab w:val="left" w:pos="4678"/>
        </w:tabs>
        <w:spacing w:before="120" w:after="120"/>
        <w:ind w:right="1112"/>
        <w:rPr>
          <w:rFonts w:ascii="Arial" w:eastAsia="Calibri" w:hAnsi="Arial" w:cs="Arial"/>
          <w:sz w:val="20"/>
          <w:szCs w:val="20"/>
          <w:lang w:val="en-GB"/>
        </w:rPr>
      </w:pPr>
      <w:r w:rsidRPr="00F85008">
        <w:rPr>
          <w:rFonts w:ascii="Arial" w:eastAsia="Calibri" w:hAnsi="Arial" w:cs="Arial"/>
          <w:sz w:val="20"/>
          <w:szCs w:val="20"/>
          <w:lang w:val="en-GB"/>
        </w:rPr>
        <w:t xml:space="preserve"> </w:t>
      </w:r>
    </w:p>
    <w:p w14:paraId="3F36419D" w14:textId="2A99D06B" w:rsidR="00AA7CC4" w:rsidRPr="00970766" w:rsidRDefault="00AA7CC4" w:rsidP="00AA7CC4">
      <w:pPr>
        <w:shd w:val="clear" w:color="auto" w:fill="DDD9C3"/>
        <w:tabs>
          <w:tab w:val="left" w:pos="9480"/>
        </w:tabs>
        <w:spacing w:beforeLines="50" w:before="120" w:afterLines="50" w:after="120"/>
        <w:rPr>
          <w:b/>
          <w:bCs/>
          <w:sz w:val="24"/>
          <w:szCs w:val="24"/>
        </w:rPr>
      </w:pPr>
      <w:r w:rsidRPr="00970766">
        <w:rPr>
          <w:b/>
          <w:bCs/>
          <w:sz w:val="24"/>
          <w:szCs w:val="24"/>
          <w:bdr w:val="nil"/>
        </w:rPr>
        <w:t xml:space="preserve">TRAITEMENT PAR BOTOX </w:t>
      </w:r>
    </w:p>
    <w:p w14:paraId="1F8006DE" w14:textId="2D9D71FB" w:rsidR="00AA7CC4" w:rsidRPr="00970766" w:rsidRDefault="00AA7CC4" w:rsidP="00AA7CC4">
      <w:pPr>
        <w:tabs>
          <w:tab w:val="left" w:pos="460"/>
        </w:tabs>
        <w:spacing w:before="39"/>
        <w:rPr>
          <w:sz w:val="20"/>
          <w:szCs w:val="20"/>
          <w:bdr w:val="nil"/>
        </w:rPr>
      </w:pPr>
      <w:r w:rsidRPr="00970766">
        <w:rPr>
          <w:sz w:val="20"/>
          <w:szCs w:val="20"/>
          <w:bdr w:val="nil"/>
        </w:rPr>
        <w:t xml:space="preserve">Depuis la dernière visite de CPC, le traitement par BOTOX  a-t-il été modifié ?   </w:t>
      </w:r>
      <w:r w:rsidR="00B94272" w:rsidRPr="00970766">
        <w:rPr>
          <w:rFonts w:ascii="Wingdings" w:eastAsia="Wingdings" w:hAnsi="Wingdings" w:cs="Wingdings"/>
        </w:rPr>
        <w:t></w:t>
      </w:r>
      <w:r w:rsidRPr="00970766">
        <w:rPr>
          <w:sz w:val="20"/>
          <w:szCs w:val="20"/>
          <w:bdr w:val="nil"/>
        </w:rPr>
        <w:t xml:space="preserve">  non         </w:t>
      </w:r>
      <w:r w:rsidR="00B94272" w:rsidRPr="00970766">
        <w:rPr>
          <w:rFonts w:ascii="Wingdings" w:eastAsia="Wingdings" w:hAnsi="Wingdings" w:cs="Wingdings"/>
        </w:rPr>
        <w:t></w:t>
      </w:r>
      <w:r w:rsidRPr="00970766">
        <w:rPr>
          <w:sz w:val="20"/>
          <w:szCs w:val="20"/>
          <w:bdr w:val="nil"/>
        </w:rPr>
        <w:t xml:space="preserve">  oui   </w:t>
      </w:r>
    </w:p>
    <w:p w14:paraId="0D943C88" w14:textId="77777777" w:rsidR="00AA7CC4" w:rsidRPr="00970766" w:rsidRDefault="00AA7CC4" w:rsidP="00AA7CC4">
      <w:pPr>
        <w:jc w:val="both"/>
        <w:rPr>
          <w:sz w:val="20"/>
          <w:szCs w:val="20"/>
          <w:bdr w:val="nil"/>
        </w:rPr>
      </w:pPr>
      <w:r w:rsidRPr="00970766">
        <w:rPr>
          <w:sz w:val="20"/>
          <w:szCs w:val="20"/>
          <w:bdr w:val="nil"/>
        </w:rPr>
        <w:t>Si oui, veuillez préciser :</w:t>
      </w:r>
    </w:p>
    <w:p w14:paraId="0AE2E4A2" w14:textId="77777777" w:rsidR="00AA7CC4" w:rsidRPr="00970766" w:rsidRDefault="00AA7CC4" w:rsidP="00AA7CC4">
      <w:pPr>
        <w:ind w:firstLine="454"/>
        <w:jc w:val="both"/>
        <w:rPr>
          <w:sz w:val="20"/>
          <w:szCs w:val="20"/>
          <w:bdr w:val="nil"/>
        </w:rPr>
      </w:pPr>
      <w:r w:rsidRPr="00970766">
        <w:rPr>
          <w:rFonts w:ascii="Wingdings" w:eastAsia="Wingdings" w:hAnsi="Wingdings" w:cs="Wingdings"/>
          <w:sz w:val="17"/>
          <w:szCs w:val="17"/>
          <w:bdr w:val="nil"/>
        </w:rPr>
        <w:t></w:t>
      </w:r>
      <w:r w:rsidRPr="00970766">
        <w:rPr>
          <w:sz w:val="20"/>
          <w:szCs w:val="20"/>
          <w:bdr w:val="nil"/>
        </w:rPr>
        <w:t xml:space="preserve"> </w:t>
      </w:r>
      <w:r w:rsidRPr="00970766">
        <w:rPr>
          <w:rFonts w:cs="SimSun"/>
          <w:sz w:val="20"/>
          <w:szCs w:val="20"/>
          <w:bdr w:val="nil"/>
          <w:lang w:eastAsia="zh-CN"/>
        </w:rPr>
        <w:t xml:space="preserve">modification de la posologie     </w:t>
      </w:r>
      <w:r w:rsidRPr="00970766">
        <w:rPr>
          <w:rFonts w:ascii="Wingdings" w:eastAsia="Wingdings" w:hAnsi="Wingdings" w:cs="Wingdings"/>
          <w:sz w:val="17"/>
          <w:szCs w:val="17"/>
          <w:bdr w:val="nil"/>
        </w:rPr>
        <w:t></w:t>
      </w:r>
      <w:r w:rsidRPr="00970766">
        <w:rPr>
          <w:sz w:val="20"/>
          <w:szCs w:val="20"/>
          <w:bdr w:val="nil"/>
        </w:rPr>
        <w:t xml:space="preserve"> </w:t>
      </w:r>
      <w:r w:rsidRPr="00970766">
        <w:rPr>
          <w:rFonts w:cs="SimSun"/>
          <w:sz w:val="20"/>
          <w:szCs w:val="20"/>
          <w:bdr w:val="nil"/>
          <w:lang w:eastAsia="zh-CN"/>
        </w:rPr>
        <w:t xml:space="preserve">Interruption temporaire       </w:t>
      </w:r>
      <w:r w:rsidRPr="00970766">
        <w:rPr>
          <w:rFonts w:ascii="Wingdings" w:eastAsia="Wingdings" w:hAnsi="Wingdings" w:cs="Wingdings"/>
          <w:sz w:val="17"/>
          <w:szCs w:val="17"/>
          <w:bdr w:val="nil"/>
        </w:rPr>
        <w:t></w:t>
      </w:r>
      <w:r w:rsidRPr="00970766">
        <w:rPr>
          <w:sz w:val="20"/>
          <w:szCs w:val="20"/>
          <w:bdr w:val="nil"/>
        </w:rPr>
        <w:t xml:space="preserve"> </w:t>
      </w:r>
      <w:r w:rsidRPr="00970766">
        <w:rPr>
          <w:rFonts w:cs="SimSun"/>
          <w:sz w:val="20"/>
          <w:szCs w:val="20"/>
          <w:bdr w:val="nil"/>
          <w:lang w:eastAsia="zh-CN"/>
        </w:rPr>
        <w:t xml:space="preserve">Interruption définitive du traitement </w:t>
      </w:r>
    </w:p>
    <w:p w14:paraId="3D69C94F" w14:textId="6B748009" w:rsidR="00AA7CC4" w:rsidRPr="00970766" w:rsidRDefault="00AA7CC4" w:rsidP="002834E6">
      <w:pPr>
        <w:jc w:val="both"/>
        <w:rPr>
          <w:sz w:val="20"/>
          <w:szCs w:val="20"/>
          <w:bdr w:val="nil"/>
        </w:rPr>
      </w:pPr>
      <w:r w:rsidRPr="00970766">
        <w:rPr>
          <w:sz w:val="20"/>
          <w:szCs w:val="20"/>
        </w:rPr>
        <w:t>Si la raison de la modification de dose est liée à la survenue d’un effet indésirable, procéder à la déclaration (cf</w:t>
      </w:r>
      <w:r w:rsidR="002834E6" w:rsidRPr="00970766">
        <w:rPr>
          <w:sz w:val="20"/>
          <w:szCs w:val="20"/>
        </w:rPr>
        <w:t>.</w:t>
      </w:r>
      <w:r w:rsidRPr="00970766">
        <w:rPr>
          <w:sz w:val="20"/>
          <w:szCs w:val="20"/>
        </w:rPr>
        <w:t xml:space="preserve"> modalités en </w:t>
      </w:r>
      <w:r w:rsidR="00785084">
        <w:rPr>
          <w:sz w:val="20"/>
          <w:szCs w:val="20"/>
        </w:rPr>
        <w:t>A</w:t>
      </w:r>
      <w:r w:rsidRPr="00970766">
        <w:rPr>
          <w:sz w:val="20"/>
          <w:szCs w:val="20"/>
        </w:rPr>
        <w:t>nn</w:t>
      </w:r>
      <w:r w:rsidR="002834E6" w:rsidRPr="00970766">
        <w:rPr>
          <w:sz w:val="20"/>
          <w:szCs w:val="20"/>
        </w:rPr>
        <w:t>exe 5</w:t>
      </w:r>
      <w:r w:rsidRPr="00970766">
        <w:rPr>
          <w:sz w:val="20"/>
          <w:szCs w:val="20"/>
        </w:rPr>
        <w:t>)</w:t>
      </w:r>
    </w:p>
    <w:p w14:paraId="1E5CA6DB" w14:textId="77777777" w:rsidR="00AA7CC4" w:rsidRPr="00970766" w:rsidRDefault="00AA7CC4" w:rsidP="00AA7CC4">
      <w:pPr>
        <w:ind w:firstLine="454"/>
        <w:jc w:val="both"/>
        <w:rPr>
          <w:sz w:val="20"/>
          <w:szCs w:val="20"/>
          <w:bdr w:val="nil"/>
        </w:rPr>
      </w:pPr>
    </w:p>
    <w:p w14:paraId="6379DA27" w14:textId="71DCE4C4" w:rsidR="00AA7CC4" w:rsidRPr="00970766" w:rsidRDefault="00AA7CC4" w:rsidP="00AA7CC4">
      <w:r w:rsidRPr="00970766">
        <w:rPr>
          <w:rFonts w:cs="SimSun"/>
          <w:sz w:val="20"/>
          <w:szCs w:val="20"/>
          <w:bdr w:val="nil"/>
          <w:lang w:eastAsia="zh-CN"/>
        </w:rPr>
        <w:t xml:space="preserve">En cas d’arrêt définitif du traitement, merci de remplir et transmette la </w:t>
      </w:r>
      <w:hyperlink r:id="rId41" w:anchor="Arret_traitement" w:history="1">
        <w:r w:rsidRPr="00970766">
          <w:rPr>
            <w:rStyle w:val="Lienhypertexte"/>
          </w:rPr>
          <w:t>fiche d’arrêt définitif de traitement</w:t>
        </w:r>
      </w:hyperlink>
      <w:r w:rsidRPr="00970766">
        <w:t xml:space="preserve"> </w:t>
      </w:r>
      <w:r w:rsidR="002834E6" w:rsidRPr="00970766">
        <w:t xml:space="preserve">(voir </w:t>
      </w:r>
      <w:r w:rsidR="00785084">
        <w:t>A</w:t>
      </w:r>
      <w:r w:rsidR="002834E6" w:rsidRPr="00970766">
        <w:t>nnexe 1</w:t>
      </w:r>
      <w:r w:rsidRPr="00970766">
        <w:t>.4 ci-après).</w:t>
      </w:r>
    </w:p>
    <w:p w14:paraId="54B2E5A8" w14:textId="77777777" w:rsidR="00AA7CC4" w:rsidRPr="00970766" w:rsidRDefault="00AA7CC4" w:rsidP="00AA7CC4">
      <w:pPr>
        <w:shd w:val="clear" w:color="auto" w:fill="DDD9C3"/>
        <w:tabs>
          <w:tab w:val="left" w:pos="9480"/>
        </w:tabs>
        <w:spacing w:beforeLines="50" w:before="120" w:afterLines="50" w:after="120"/>
        <w:rPr>
          <w:b/>
          <w:bCs/>
          <w:sz w:val="24"/>
          <w:szCs w:val="24"/>
        </w:rPr>
      </w:pPr>
      <w:r w:rsidRPr="00970766">
        <w:rPr>
          <w:b/>
          <w:bCs/>
          <w:sz w:val="24"/>
          <w:szCs w:val="24"/>
          <w:bdr w:val="nil"/>
        </w:rPr>
        <w:t>ETAT CLINIQUE DEPUIS LA DERNIERE VISITE DE CPC</w:t>
      </w:r>
    </w:p>
    <w:p w14:paraId="6E212F8D" w14:textId="77777777" w:rsidR="00AA7CC4" w:rsidRPr="00970766" w:rsidRDefault="00AA7CC4" w:rsidP="00AA7CC4">
      <w:pPr>
        <w:spacing w:beforeLines="50" w:before="120" w:afterLines="50" w:after="120"/>
        <w:jc w:val="both"/>
        <w:rPr>
          <w:b/>
          <w:sz w:val="20"/>
          <w:szCs w:val="20"/>
          <w:bdr w:val="nil"/>
        </w:rPr>
      </w:pPr>
      <w:r w:rsidRPr="00970766">
        <w:rPr>
          <w:b/>
          <w:sz w:val="20"/>
          <w:szCs w:val="20"/>
          <w:bdr w:val="nil"/>
        </w:rPr>
        <w:t xml:space="preserve">Si le traitement est maintenu depuis la dernière visite du CPC, l’état clinique du patient est -il  :   </w:t>
      </w:r>
    </w:p>
    <w:p w14:paraId="0A2A260B" w14:textId="77777777" w:rsidR="00AA7CC4" w:rsidRPr="00970766" w:rsidRDefault="00AA7CC4" w:rsidP="00AA7CC4">
      <w:pPr>
        <w:spacing w:beforeLines="50" w:before="120" w:afterLines="50" w:after="120"/>
        <w:jc w:val="both"/>
        <w:rPr>
          <w:sz w:val="20"/>
          <w:szCs w:val="20"/>
          <w:bdr w:val="nil"/>
        </w:rPr>
      </w:pPr>
      <w:r w:rsidRPr="00970766">
        <w:rPr>
          <w:b/>
          <w:sz w:val="20"/>
          <w:szCs w:val="20"/>
          <w:bdr w:val="nil"/>
        </w:rPr>
        <w:t xml:space="preserve"> </w:t>
      </w:r>
      <w:r w:rsidRPr="00970766">
        <w:rPr>
          <w:rFonts w:ascii="Wingdings" w:eastAsia="Wingdings" w:hAnsi="Wingdings" w:cs="Wingdings"/>
          <w:sz w:val="20"/>
          <w:szCs w:val="20"/>
          <w:bdr w:val="nil"/>
        </w:rPr>
        <w:t></w:t>
      </w:r>
      <w:r w:rsidRPr="00970766">
        <w:rPr>
          <w:rFonts w:eastAsia="Wingdings"/>
          <w:sz w:val="20"/>
          <w:szCs w:val="20"/>
          <w:bdr w:val="nil"/>
        </w:rPr>
        <w:t xml:space="preserve"> détérioré </w:t>
      </w:r>
      <w:r w:rsidRPr="00970766">
        <w:rPr>
          <w:sz w:val="20"/>
          <w:szCs w:val="20"/>
          <w:bdr w:val="nil"/>
        </w:rPr>
        <w:t xml:space="preserve">                              </w:t>
      </w:r>
      <w:r w:rsidR="00AD389C" w:rsidRPr="00970766">
        <w:rPr>
          <w:rFonts w:ascii="Wingdings" w:eastAsia="Wingdings" w:hAnsi="Wingdings" w:cs="Wingdings"/>
          <w:sz w:val="20"/>
          <w:szCs w:val="20"/>
          <w:bdr w:val="nil"/>
        </w:rPr>
        <w:t></w:t>
      </w:r>
      <w:r w:rsidRPr="00970766">
        <w:rPr>
          <w:sz w:val="20"/>
          <w:szCs w:val="20"/>
          <w:bdr w:val="nil"/>
        </w:rPr>
        <w:t xml:space="preserve"> stable </w:t>
      </w:r>
      <w:r w:rsidRPr="00970766">
        <w:rPr>
          <w:rFonts w:ascii="SimSun" w:hAnsi="SimSun" w:cs="SimSun"/>
          <w:sz w:val="20"/>
          <w:szCs w:val="20"/>
          <w:bdr w:val="nil"/>
        </w:rPr>
        <w:t xml:space="preserve">  </w:t>
      </w:r>
      <w:r w:rsidRPr="00970766">
        <w:rPr>
          <w:rFonts w:ascii="SimSun" w:hAnsi="SimSun" w:cs="SimSun"/>
          <w:sz w:val="20"/>
          <w:szCs w:val="20"/>
          <w:bdr w:val="nil"/>
        </w:rPr>
        <w:tab/>
        <w:t xml:space="preserve">                </w:t>
      </w:r>
      <w:r w:rsidR="00AD389C" w:rsidRPr="00970766">
        <w:rPr>
          <w:rFonts w:ascii="Wingdings" w:eastAsia="Wingdings" w:hAnsi="Wingdings" w:cs="Wingdings"/>
          <w:sz w:val="20"/>
          <w:szCs w:val="20"/>
          <w:bdr w:val="nil"/>
        </w:rPr>
        <w:t></w:t>
      </w:r>
      <w:r w:rsidRPr="00970766">
        <w:rPr>
          <w:sz w:val="20"/>
          <w:szCs w:val="20"/>
          <w:bdr w:val="nil"/>
        </w:rPr>
        <w:t xml:space="preserve"> </w:t>
      </w:r>
      <w:r w:rsidRPr="00970766">
        <w:rPr>
          <w:rFonts w:ascii="Wingdings" w:eastAsia="Wingdings" w:hAnsi="Wingdings" w:cs="Wingdings"/>
          <w:sz w:val="17"/>
          <w:szCs w:val="17"/>
          <w:bdr w:val="nil"/>
        </w:rPr>
        <w:t></w:t>
      </w:r>
      <w:r w:rsidRPr="00970766">
        <w:rPr>
          <w:sz w:val="20"/>
          <w:szCs w:val="20"/>
          <w:bdr w:val="nil"/>
        </w:rPr>
        <w:t>amélioré</w:t>
      </w:r>
    </w:p>
    <w:p w14:paraId="0E02242E" w14:textId="5A806CFA" w:rsidR="00AA7CC4" w:rsidRPr="00970766" w:rsidRDefault="00AA7CC4" w:rsidP="00AA7CC4">
      <w:pPr>
        <w:spacing w:beforeLines="50" w:before="120" w:afterLines="50" w:after="120"/>
        <w:jc w:val="both"/>
        <w:rPr>
          <w:b/>
          <w:sz w:val="20"/>
          <w:szCs w:val="20"/>
          <w:highlight w:val="yellow"/>
          <w:bdr w:val="nil"/>
        </w:rPr>
      </w:pPr>
      <w:r w:rsidRPr="00970766">
        <w:rPr>
          <w:sz w:val="20"/>
          <w:szCs w:val="20"/>
        </w:rPr>
        <w:t>Si le patient a présenté un effet indésirable, veuillez procéder à la déclaration (cf</w:t>
      </w:r>
      <w:r w:rsidR="002834E6" w:rsidRPr="00970766">
        <w:rPr>
          <w:sz w:val="20"/>
          <w:szCs w:val="20"/>
        </w:rPr>
        <w:t xml:space="preserve">. modalités en </w:t>
      </w:r>
      <w:r w:rsidR="00785084">
        <w:rPr>
          <w:sz w:val="20"/>
          <w:szCs w:val="20"/>
        </w:rPr>
        <w:t>A</w:t>
      </w:r>
      <w:r w:rsidR="002834E6" w:rsidRPr="00970766">
        <w:rPr>
          <w:sz w:val="20"/>
          <w:szCs w:val="20"/>
        </w:rPr>
        <w:t>nnexe 5</w:t>
      </w:r>
      <w:r w:rsidRPr="00970766">
        <w:rPr>
          <w:sz w:val="20"/>
          <w:szCs w:val="20"/>
        </w:rPr>
        <w:t>)</w:t>
      </w:r>
    </w:p>
    <w:p w14:paraId="0332A453" w14:textId="77777777" w:rsidR="00AA7CC4" w:rsidRPr="00970766" w:rsidRDefault="00AA7CC4" w:rsidP="00AA7CC4">
      <w:pPr>
        <w:spacing w:beforeLines="50" w:before="120" w:afterLines="50" w:after="120"/>
        <w:jc w:val="both"/>
        <w:rPr>
          <w:rFonts w:ascii="Wingdings" w:eastAsia="Wingdings" w:hAnsi="Wingdings" w:cs="Wingdings"/>
          <w:b/>
          <w:sz w:val="17"/>
          <w:szCs w:val="17"/>
          <w:bdr w:val="nil"/>
        </w:rPr>
      </w:pPr>
      <w:r w:rsidRPr="00970766">
        <w:rPr>
          <w:b/>
          <w:sz w:val="20"/>
          <w:szCs w:val="20"/>
          <w:bdr w:val="nil"/>
        </w:rPr>
        <w:t>Consommation des traitements concomitants pour la prise en charge de la douleur neuropathique :</w:t>
      </w:r>
    </w:p>
    <w:p w14:paraId="48D6ACB0" w14:textId="77777777" w:rsidR="00AA7CC4" w:rsidRPr="00970766" w:rsidRDefault="00AA7CC4" w:rsidP="00AA7CC4">
      <w:pPr>
        <w:spacing w:beforeLines="50" w:before="120" w:afterLines="50" w:after="120"/>
        <w:jc w:val="both"/>
        <w:rPr>
          <w:sz w:val="20"/>
          <w:szCs w:val="20"/>
          <w:bdr w:val="nil"/>
        </w:rPr>
      </w:pPr>
      <w:r w:rsidRPr="00970766">
        <w:rPr>
          <w:rFonts w:ascii="Wingdings" w:eastAsia="Wingdings" w:hAnsi="Wingdings" w:cs="Wingdings"/>
          <w:sz w:val="17"/>
          <w:szCs w:val="17"/>
          <w:bdr w:val="nil"/>
        </w:rPr>
        <w:t></w:t>
      </w:r>
      <w:r w:rsidRPr="00970766">
        <w:rPr>
          <w:rFonts w:ascii="Wingdings" w:eastAsia="Wingdings" w:hAnsi="Wingdings" w:cs="Wingdings"/>
          <w:sz w:val="17"/>
          <w:szCs w:val="17"/>
          <w:bdr w:val="nil"/>
        </w:rPr>
        <w:t></w:t>
      </w:r>
      <w:r w:rsidRPr="00970766">
        <w:rPr>
          <w:sz w:val="20"/>
          <w:szCs w:val="20"/>
          <w:bdr w:val="nil"/>
        </w:rPr>
        <w:t xml:space="preserve">augmentée </w:t>
      </w:r>
      <w:r w:rsidRPr="00970766">
        <w:rPr>
          <w:rFonts w:ascii="Wingdings" w:eastAsia="Wingdings" w:hAnsi="Wingdings" w:cs="Wingdings"/>
          <w:sz w:val="17"/>
          <w:szCs w:val="17"/>
          <w:bdr w:val="nil"/>
        </w:rPr>
        <w:t></w:t>
      </w:r>
      <w:r w:rsidRPr="00970766">
        <w:rPr>
          <w:rFonts w:ascii="Wingdings" w:eastAsia="Wingdings" w:hAnsi="Wingdings" w:cs="Wingdings"/>
          <w:sz w:val="17"/>
          <w:szCs w:val="17"/>
          <w:bdr w:val="nil"/>
        </w:rPr>
        <w:t></w:t>
      </w:r>
      <w:r w:rsidRPr="00970766">
        <w:rPr>
          <w:rFonts w:ascii="Wingdings" w:eastAsia="Wingdings" w:hAnsi="Wingdings" w:cs="Wingdings"/>
          <w:sz w:val="17"/>
          <w:szCs w:val="17"/>
          <w:bdr w:val="nil"/>
        </w:rPr>
        <w:t></w:t>
      </w:r>
      <w:r w:rsidRPr="00970766">
        <w:rPr>
          <w:rFonts w:ascii="Wingdings" w:eastAsia="Wingdings" w:hAnsi="Wingdings" w:cs="Wingdings"/>
          <w:sz w:val="17"/>
          <w:szCs w:val="17"/>
          <w:bdr w:val="nil"/>
        </w:rPr>
        <w:t></w:t>
      </w:r>
      <w:r w:rsidRPr="00970766">
        <w:rPr>
          <w:rFonts w:ascii="Wingdings" w:eastAsia="Wingdings" w:hAnsi="Wingdings" w:cs="Wingdings"/>
          <w:sz w:val="17"/>
          <w:szCs w:val="17"/>
          <w:bdr w:val="nil"/>
        </w:rPr>
        <w:t></w:t>
      </w:r>
      <w:r w:rsidRPr="00970766">
        <w:rPr>
          <w:rFonts w:ascii="Wingdings" w:eastAsia="Wingdings" w:hAnsi="Wingdings" w:cs="Wingdings"/>
          <w:sz w:val="17"/>
          <w:szCs w:val="17"/>
          <w:bdr w:val="nil"/>
        </w:rPr>
        <w:t></w:t>
      </w:r>
      <w:r w:rsidRPr="00970766">
        <w:rPr>
          <w:rFonts w:ascii="Wingdings" w:eastAsia="Wingdings" w:hAnsi="Wingdings" w:cs="Wingdings"/>
          <w:sz w:val="17"/>
          <w:szCs w:val="17"/>
          <w:bdr w:val="nil"/>
        </w:rPr>
        <w:t></w:t>
      </w:r>
      <w:r w:rsidRPr="00970766">
        <w:rPr>
          <w:rFonts w:ascii="Wingdings" w:eastAsia="Wingdings" w:hAnsi="Wingdings" w:cs="Wingdings"/>
          <w:sz w:val="17"/>
          <w:szCs w:val="17"/>
          <w:bdr w:val="nil"/>
        </w:rPr>
        <w:t></w:t>
      </w:r>
      <w:r w:rsidRPr="00970766">
        <w:rPr>
          <w:sz w:val="20"/>
          <w:szCs w:val="20"/>
          <w:bdr w:val="nil"/>
        </w:rPr>
        <w:t xml:space="preserve">inchangée </w:t>
      </w:r>
      <w:r w:rsidRPr="00970766">
        <w:rPr>
          <w:rFonts w:ascii="SimSun" w:hAnsi="SimSun" w:cs="SimSun"/>
          <w:sz w:val="20"/>
          <w:szCs w:val="20"/>
          <w:bdr w:val="nil"/>
        </w:rPr>
        <w:t xml:space="preserve"> </w:t>
      </w:r>
      <w:r w:rsidRPr="00970766">
        <w:rPr>
          <w:rFonts w:ascii="SimSun" w:hAnsi="SimSun" w:cs="SimSun"/>
          <w:sz w:val="20"/>
          <w:szCs w:val="20"/>
          <w:bdr w:val="nil"/>
        </w:rPr>
        <w:tab/>
      </w:r>
      <w:r w:rsidRPr="00970766">
        <w:rPr>
          <w:rFonts w:ascii="Wingdings" w:eastAsia="Wingdings" w:hAnsi="Wingdings" w:cs="Wingdings"/>
          <w:sz w:val="17"/>
          <w:szCs w:val="17"/>
          <w:bdr w:val="nil"/>
        </w:rPr>
        <w:t></w:t>
      </w:r>
      <w:r w:rsidRPr="00970766">
        <w:rPr>
          <w:rFonts w:ascii="Wingdings" w:eastAsia="Wingdings" w:hAnsi="Wingdings" w:cs="Wingdings"/>
          <w:sz w:val="17"/>
          <w:szCs w:val="17"/>
          <w:bdr w:val="nil"/>
        </w:rPr>
        <w:t></w:t>
      </w:r>
      <w:r w:rsidRPr="00970766">
        <w:rPr>
          <w:sz w:val="20"/>
          <w:szCs w:val="20"/>
          <w:bdr w:val="nil"/>
        </w:rPr>
        <w:t xml:space="preserve">diminuée    </w:t>
      </w:r>
      <w:r w:rsidRPr="00970766">
        <w:rPr>
          <w:sz w:val="20"/>
          <w:szCs w:val="20"/>
          <w:bdr w:val="nil"/>
        </w:rPr>
        <w:tab/>
        <w:t xml:space="preserve">    </w:t>
      </w:r>
      <w:r w:rsidRPr="00970766">
        <w:rPr>
          <w:rFonts w:ascii="Wingdings" w:eastAsia="Wingdings" w:hAnsi="Wingdings" w:cs="Wingdings"/>
          <w:sz w:val="17"/>
          <w:szCs w:val="17"/>
          <w:bdr w:val="nil"/>
        </w:rPr>
        <w:t></w:t>
      </w:r>
      <w:r w:rsidRPr="00970766">
        <w:rPr>
          <w:rFonts w:ascii="Wingdings" w:eastAsia="Wingdings" w:hAnsi="Wingdings" w:cs="Wingdings"/>
          <w:sz w:val="17"/>
          <w:szCs w:val="17"/>
          <w:bdr w:val="nil"/>
        </w:rPr>
        <w:t></w:t>
      </w:r>
      <w:r w:rsidRPr="00970766">
        <w:rPr>
          <w:sz w:val="20"/>
          <w:szCs w:val="20"/>
          <w:bdr w:val="nil"/>
        </w:rPr>
        <w:t>pas d’autre traitement</w:t>
      </w:r>
    </w:p>
    <w:p w14:paraId="6EABC00B" w14:textId="77777777" w:rsidR="00AA7CC4" w:rsidRPr="00970766" w:rsidRDefault="00AA7CC4" w:rsidP="00AA7CC4">
      <w:pPr>
        <w:tabs>
          <w:tab w:val="left" w:pos="460"/>
        </w:tabs>
        <w:spacing w:before="39"/>
        <w:rPr>
          <w:rFonts w:cs="SimSun"/>
          <w:sz w:val="20"/>
          <w:szCs w:val="20"/>
          <w:bdr w:val="nil"/>
          <w:lang w:eastAsia="zh-CN"/>
        </w:rPr>
      </w:pPr>
    </w:p>
    <w:p w14:paraId="4DF34A40" w14:textId="77777777" w:rsidR="00AA7CC4" w:rsidRPr="00970766" w:rsidRDefault="00AA7CC4" w:rsidP="00AA7CC4">
      <w:pPr>
        <w:spacing w:beforeLines="50" w:before="120" w:afterLines="50" w:after="120"/>
        <w:jc w:val="both"/>
        <w:rPr>
          <w:sz w:val="20"/>
          <w:szCs w:val="20"/>
          <w:bdr w:val="nil"/>
        </w:rPr>
      </w:pPr>
      <w:r w:rsidRPr="00970766">
        <w:rPr>
          <w:b/>
          <w:sz w:val="20"/>
          <w:szCs w:val="20"/>
          <w:bdr w:val="nil"/>
        </w:rPr>
        <w:t xml:space="preserve">Ressenti du patient sur sa qualité de vie :      </w:t>
      </w:r>
      <w:r w:rsidRPr="00970766">
        <w:rPr>
          <w:rFonts w:ascii="Wingdings" w:eastAsia="Wingdings" w:hAnsi="Wingdings" w:cs="Wingdings"/>
          <w:sz w:val="20"/>
          <w:szCs w:val="20"/>
          <w:bdr w:val="nil"/>
        </w:rPr>
        <w:t></w:t>
      </w:r>
      <w:r w:rsidRPr="00970766">
        <w:rPr>
          <w:rFonts w:eastAsia="Wingdings"/>
          <w:sz w:val="20"/>
          <w:szCs w:val="20"/>
          <w:bdr w:val="nil"/>
        </w:rPr>
        <w:t xml:space="preserve"> détériorée</w:t>
      </w:r>
      <w:r w:rsidRPr="00970766">
        <w:rPr>
          <w:sz w:val="20"/>
          <w:szCs w:val="20"/>
          <w:bdr w:val="nil"/>
        </w:rPr>
        <w:t xml:space="preserve">                   </w:t>
      </w:r>
      <w:r w:rsidR="00AD389C" w:rsidRPr="00970766">
        <w:rPr>
          <w:rFonts w:ascii="Wingdings" w:eastAsia="Wingdings" w:hAnsi="Wingdings" w:cs="Wingdings"/>
          <w:sz w:val="20"/>
          <w:szCs w:val="20"/>
          <w:bdr w:val="nil"/>
        </w:rPr>
        <w:t></w:t>
      </w:r>
      <w:r w:rsidRPr="00970766">
        <w:rPr>
          <w:sz w:val="20"/>
          <w:szCs w:val="20"/>
          <w:bdr w:val="nil"/>
        </w:rPr>
        <w:t xml:space="preserve"> inchangée  </w:t>
      </w:r>
      <w:r w:rsidRPr="00970766">
        <w:rPr>
          <w:rFonts w:ascii="SimSun" w:hAnsi="SimSun" w:cs="SimSun"/>
          <w:sz w:val="20"/>
          <w:szCs w:val="20"/>
          <w:bdr w:val="nil"/>
        </w:rPr>
        <w:t xml:space="preserve">        </w:t>
      </w:r>
      <w:r w:rsidR="00AD389C" w:rsidRPr="00970766">
        <w:rPr>
          <w:rFonts w:ascii="Wingdings" w:eastAsia="Wingdings" w:hAnsi="Wingdings" w:cs="Wingdings"/>
          <w:sz w:val="20"/>
          <w:szCs w:val="20"/>
          <w:bdr w:val="nil"/>
        </w:rPr>
        <w:t></w:t>
      </w:r>
      <w:r w:rsidRPr="00970766">
        <w:rPr>
          <w:sz w:val="20"/>
          <w:szCs w:val="20"/>
          <w:bdr w:val="nil"/>
        </w:rPr>
        <w:t xml:space="preserve"> améliorée</w:t>
      </w:r>
    </w:p>
    <w:p w14:paraId="09745497" w14:textId="77777777" w:rsidR="00AA7CC4" w:rsidRPr="00970766" w:rsidRDefault="00AA7CC4" w:rsidP="00AA7CC4">
      <w:pPr>
        <w:tabs>
          <w:tab w:val="left" w:pos="460"/>
        </w:tabs>
        <w:spacing w:before="39"/>
        <w:rPr>
          <w:sz w:val="20"/>
          <w:szCs w:val="20"/>
          <w:bdr w:val="nil"/>
        </w:rPr>
      </w:pPr>
      <w:r w:rsidRPr="00970766">
        <w:rPr>
          <w:sz w:val="20"/>
          <w:szCs w:val="20"/>
          <w:bdr w:val="nil"/>
        </w:rPr>
        <w:tab/>
      </w:r>
    </w:p>
    <w:p w14:paraId="4EDDE871" w14:textId="6B56D039" w:rsidR="00AA7CC4" w:rsidRPr="00970766" w:rsidRDefault="00344E30" w:rsidP="00AA7CC4">
      <w:pPr>
        <w:shd w:val="clear" w:color="auto" w:fill="DDD9C3"/>
        <w:tabs>
          <w:tab w:val="left" w:pos="9480"/>
        </w:tabs>
        <w:spacing w:beforeLines="50" w:before="120" w:afterLines="50" w:after="120"/>
        <w:rPr>
          <w:b/>
          <w:bCs/>
          <w:sz w:val="24"/>
          <w:szCs w:val="24"/>
        </w:rPr>
      </w:pPr>
      <w:r>
        <w:rPr>
          <w:b/>
          <w:bCs/>
          <w:sz w:val="24"/>
          <w:szCs w:val="24"/>
          <w:bdr w:val="nil"/>
        </w:rPr>
        <w:t xml:space="preserve"> TOLERANCE DU TRAITEMENT</w:t>
      </w:r>
    </w:p>
    <w:p w14:paraId="322B0ABF" w14:textId="7C2DF192" w:rsidR="00AA7CC4" w:rsidRPr="00970766" w:rsidRDefault="00AA7CC4" w:rsidP="00AA7CC4">
      <w:pPr>
        <w:tabs>
          <w:tab w:val="left" w:pos="460"/>
        </w:tabs>
        <w:spacing w:before="39"/>
        <w:rPr>
          <w:rFonts w:cs="SimSun"/>
          <w:sz w:val="20"/>
          <w:szCs w:val="20"/>
          <w:bdr w:val="nil"/>
          <w:lang w:eastAsia="zh-CN"/>
        </w:rPr>
      </w:pPr>
      <w:r w:rsidRPr="00970766">
        <w:rPr>
          <w:b/>
          <w:bCs/>
          <w:sz w:val="20"/>
          <w:szCs w:val="20"/>
          <w:bdr w:val="nil"/>
        </w:rPr>
        <w:t>Effets indésirables</w:t>
      </w:r>
      <w:r w:rsidR="004C7CC3">
        <w:rPr>
          <w:sz w:val="20"/>
          <w:szCs w:val="20"/>
          <w:bdr w:val="nil"/>
        </w:rPr>
        <w:t xml:space="preserve"> BOTOX</w:t>
      </w:r>
    </w:p>
    <w:p w14:paraId="3848171B" w14:textId="662EA8F4" w:rsidR="00AA7CC4" w:rsidRPr="00970766" w:rsidRDefault="00AA7CC4" w:rsidP="00AA7CC4">
      <w:pPr>
        <w:spacing w:before="29"/>
        <w:jc w:val="both"/>
        <w:rPr>
          <w:sz w:val="20"/>
          <w:szCs w:val="20"/>
        </w:rPr>
      </w:pPr>
      <w:r w:rsidRPr="00970766">
        <w:rPr>
          <w:sz w:val="20"/>
          <w:szCs w:val="20"/>
        </w:rPr>
        <w:t>Si le patient a présenté un effet indésirable, procéder à la déclaration (cf</w:t>
      </w:r>
      <w:r w:rsidR="002834E6" w:rsidRPr="00970766">
        <w:rPr>
          <w:sz w:val="20"/>
          <w:szCs w:val="20"/>
        </w:rPr>
        <w:t xml:space="preserve">. modalités en </w:t>
      </w:r>
      <w:r w:rsidR="00785084">
        <w:rPr>
          <w:sz w:val="20"/>
          <w:szCs w:val="20"/>
        </w:rPr>
        <w:t>A</w:t>
      </w:r>
      <w:r w:rsidR="002834E6" w:rsidRPr="00970766">
        <w:rPr>
          <w:sz w:val="20"/>
          <w:szCs w:val="20"/>
        </w:rPr>
        <w:t>nnexe 5</w:t>
      </w:r>
      <w:r w:rsidRPr="00970766">
        <w:rPr>
          <w:sz w:val="20"/>
          <w:szCs w:val="20"/>
        </w:rPr>
        <w:t>)</w:t>
      </w:r>
    </w:p>
    <w:p w14:paraId="59F30707" w14:textId="70135F63" w:rsidR="00344E30" w:rsidRPr="00970766" w:rsidRDefault="00344E30" w:rsidP="00344E30">
      <w:pPr>
        <w:shd w:val="clear" w:color="auto" w:fill="DDD9C3"/>
        <w:tabs>
          <w:tab w:val="left" w:pos="9480"/>
        </w:tabs>
        <w:spacing w:beforeLines="50" w:before="120" w:afterLines="50" w:after="120"/>
        <w:rPr>
          <w:b/>
          <w:bCs/>
          <w:sz w:val="24"/>
          <w:szCs w:val="24"/>
        </w:rPr>
      </w:pPr>
      <w:r>
        <w:rPr>
          <w:b/>
          <w:bCs/>
          <w:sz w:val="24"/>
          <w:szCs w:val="24"/>
          <w:bdr w:val="nil"/>
        </w:rPr>
        <w:t>GROSSESSE</w:t>
      </w:r>
    </w:p>
    <w:p w14:paraId="03B0FF6E" w14:textId="5994E688" w:rsidR="00AA7CC4" w:rsidRPr="00970766" w:rsidRDefault="00AA7CC4" w:rsidP="00B20D56">
      <w:pPr>
        <w:tabs>
          <w:tab w:val="left" w:pos="460"/>
        </w:tabs>
        <w:spacing w:before="39"/>
        <w:rPr>
          <w:sz w:val="20"/>
          <w:szCs w:val="20"/>
          <w:bdr w:val="nil"/>
        </w:rPr>
      </w:pPr>
      <w:r w:rsidRPr="00970766">
        <w:rPr>
          <w:sz w:val="20"/>
          <w:szCs w:val="20"/>
          <w:lang w:eastAsia="zh-CN"/>
        </w:rPr>
        <w:t>En cas de survenue d’une grossesse ou d'une utilisation pendant l’allaitement, procéder à la déclaration (cf</w:t>
      </w:r>
      <w:r w:rsidR="002834E6" w:rsidRPr="00970766">
        <w:rPr>
          <w:sz w:val="20"/>
          <w:szCs w:val="20"/>
          <w:lang w:eastAsia="zh-CN"/>
        </w:rPr>
        <w:t>.</w:t>
      </w:r>
      <w:r w:rsidRPr="00970766">
        <w:rPr>
          <w:sz w:val="20"/>
          <w:szCs w:val="20"/>
          <w:lang w:eastAsia="zh-CN"/>
        </w:rPr>
        <w:t xml:space="preserve"> </w:t>
      </w:r>
      <w:r w:rsidR="00785084">
        <w:rPr>
          <w:sz w:val="20"/>
          <w:szCs w:val="20"/>
          <w:lang w:eastAsia="zh-CN"/>
        </w:rPr>
        <w:t>A</w:t>
      </w:r>
      <w:r w:rsidRPr="00970766">
        <w:rPr>
          <w:sz w:val="20"/>
          <w:szCs w:val="20"/>
          <w:lang w:eastAsia="zh-CN"/>
        </w:rPr>
        <w:t xml:space="preserve">nnexe 5) et </w:t>
      </w:r>
      <w:r w:rsidRPr="00970766">
        <w:rPr>
          <w:sz w:val="20"/>
          <w:szCs w:val="20"/>
          <w:bdr w:val="nil"/>
          <w:lang w:eastAsia="zh-CN"/>
        </w:rPr>
        <w:t>ré-évaluer la continuité du traitement chez la patiente (cf</w:t>
      </w:r>
      <w:r w:rsidR="002834E6" w:rsidRPr="00970766">
        <w:rPr>
          <w:sz w:val="20"/>
          <w:szCs w:val="20"/>
          <w:bdr w:val="nil"/>
          <w:lang w:eastAsia="zh-CN"/>
        </w:rPr>
        <w:t>.</w:t>
      </w:r>
      <w:r w:rsidRPr="00970766">
        <w:rPr>
          <w:sz w:val="20"/>
          <w:szCs w:val="20"/>
          <w:bdr w:val="nil"/>
          <w:lang w:eastAsia="zh-CN"/>
        </w:rPr>
        <w:t xml:space="preserve"> RCP 4.6)</w:t>
      </w:r>
      <w:r w:rsidRPr="00970766">
        <w:rPr>
          <w:sz w:val="20"/>
          <w:szCs w:val="20"/>
          <w:bdr w:val="nil"/>
          <w:lang w:eastAsia="zh-CN"/>
        </w:rPr>
        <w:tab/>
      </w:r>
      <w:r w:rsidRPr="00970766">
        <w:rPr>
          <w:sz w:val="20"/>
          <w:szCs w:val="20"/>
          <w:lang w:eastAsia="zh-CN"/>
        </w:rPr>
        <w:t xml:space="preserve"> </w:t>
      </w:r>
    </w:p>
    <w:p w14:paraId="3843D895" w14:textId="0C2A67B4" w:rsidR="00AA7CC4" w:rsidRPr="00970766" w:rsidRDefault="00AA7CC4" w:rsidP="00AA7CC4">
      <w:pPr>
        <w:shd w:val="clear" w:color="auto" w:fill="DDD9C3"/>
        <w:tabs>
          <w:tab w:val="left" w:pos="9480"/>
        </w:tabs>
        <w:spacing w:beforeLines="50" w:before="120" w:afterLines="50" w:after="120"/>
        <w:rPr>
          <w:b/>
          <w:bCs/>
          <w:sz w:val="24"/>
          <w:szCs w:val="24"/>
          <w:bdr w:val="nil"/>
        </w:rPr>
      </w:pPr>
      <w:r w:rsidRPr="00970766">
        <w:rPr>
          <w:b/>
          <w:bCs/>
          <w:sz w:val="24"/>
          <w:szCs w:val="24"/>
          <w:bdr w:val="nil"/>
        </w:rPr>
        <w:lastRenderedPageBreak/>
        <w:t>DECISION CONCERNANT LA POURSUITE DU TRAITEMENT</w:t>
      </w:r>
      <w:r w:rsidRPr="00970766">
        <w:t xml:space="preserve"> </w:t>
      </w:r>
      <w:r w:rsidRPr="00970766">
        <w:rPr>
          <w:b/>
          <w:bCs/>
          <w:sz w:val="24"/>
          <w:szCs w:val="24"/>
          <w:bdr w:val="nil"/>
        </w:rPr>
        <w:t>BOTOX</w:t>
      </w:r>
    </w:p>
    <w:p w14:paraId="1DD899C2" w14:textId="77777777" w:rsidR="00AA7CC4" w:rsidRPr="00970766" w:rsidRDefault="00AA7CC4" w:rsidP="00AA7CC4">
      <w:pPr>
        <w:spacing w:before="29"/>
        <w:jc w:val="both"/>
        <w:rPr>
          <w:sz w:val="20"/>
          <w:szCs w:val="20"/>
          <w:bdr w:val="nil"/>
        </w:rPr>
      </w:pPr>
      <w:r w:rsidRPr="00970766">
        <w:rPr>
          <w:rFonts w:ascii="Wingdings" w:eastAsia="Wingdings" w:hAnsi="Wingdings" w:cs="Wingdings"/>
        </w:rPr>
        <w:t></w:t>
      </w:r>
      <w:r w:rsidRPr="00970766">
        <w:t xml:space="preserve"> </w:t>
      </w:r>
      <w:r w:rsidRPr="00970766">
        <w:rPr>
          <w:sz w:val="20"/>
          <w:szCs w:val="20"/>
          <w:bdr w:val="nil"/>
        </w:rPr>
        <w:t xml:space="preserve">Arrêt définitif du traitement      </w:t>
      </w:r>
    </w:p>
    <w:p w14:paraId="198F61D9" w14:textId="43F7582B" w:rsidR="00AA7CC4" w:rsidRPr="00970766" w:rsidRDefault="00AA7CC4" w:rsidP="00AD389C">
      <w:pPr>
        <w:spacing w:before="29"/>
        <w:rPr>
          <w:sz w:val="20"/>
          <w:szCs w:val="20"/>
          <w:bdr w:val="nil"/>
        </w:rPr>
      </w:pPr>
      <w:r w:rsidRPr="00970766">
        <w:rPr>
          <w:sz w:val="20"/>
          <w:szCs w:val="20"/>
          <w:bdr w:val="nil"/>
        </w:rPr>
        <w:t xml:space="preserve">En cas d’arrêt de traitement ou de décès du patient, merci de remplir et transmette la </w:t>
      </w:r>
      <w:hyperlink r:id="rId42" w:anchor="Arret_traitement" w:history="1">
        <w:r w:rsidRPr="00970766">
          <w:rPr>
            <w:color w:val="2E74B5" w:themeColor="accent1" w:themeShade="BF"/>
            <w:sz w:val="20"/>
            <w:szCs w:val="20"/>
            <w:u w:val="single"/>
            <w:bdr w:val="nil"/>
          </w:rPr>
          <w:t>fiche d’arrêt définitif de traitement</w:t>
        </w:r>
      </w:hyperlink>
      <w:r w:rsidR="00DC4530">
        <w:rPr>
          <w:sz w:val="20"/>
          <w:szCs w:val="20"/>
          <w:bdr w:val="nil"/>
        </w:rPr>
        <w:t xml:space="preserve"> (voir </w:t>
      </w:r>
      <w:r w:rsidR="00785084">
        <w:rPr>
          <w:sz w:val="20"/>
          <w:szCs w:val="20"/>
          <w:bdr w:val="nil"/>
        </w:rPr>
        <w:t>A</w:t>
      </w:r>
      <w:r w:rsidR="002834E6" w:rsidRPr="00970766">
        <w:rPr>
          <w:sz w:val="20"/>
          <w:szCs w:val="20"/>
          <w:bdr w:val="nil"/>
        </w:rPr>
        <w:t>nnexe 1</w:t>
      </w:r>
      <w:r w:rsidRPr="00970766">
        <w:rPr>
          <w:sz w:val="20"/>
          <w:szCs w:val="20"/>
          <w:bdr w:val="nil"/>
        </w:rPr>
        <w:t>.4 ci-après).</w:t>
      </w:r>
    </w:p>
    <w:p w14:paraId="2CA9886A" w14:textId="77777777" w:rsidR="00AA7CC4" w:rsidRPr="00970766" w:rsidRDefault="00AA7CC4" w:rsidP="00AA7CC4">
      <w:pPr>
        <w:rPr>
          <w:rStyle w:val="ui-provider"/>
        </w:rPr>
      </w:pPr>
      <w:r w:rsidRPr="00970766">
        <w:rPr>
          <w:rFonts w:ascii="Wingdings" w:eastAsia="Wingdings" w:hAnsi="Wingdings" w:cs="Wingdings"/>
        </w:rPr>
        <w:t></w:t>
      </w:r>
      <w:r w:rsidRPr="00970766">
        <w:rPr>
          <w:rStyle w:val="ui-provider"/>
        </w:rPr>
        <w:t xml:space="preserve"> Poursuite du traitement</w:t>
      </w:r>
    </w:p>
    <w:p w14:paraId="7EE32864" w14:textId="77777777" w:rsidR="00AA7CC4" w:rsidRPr="00970766" w:rsidRDefault="00AA7CC4" w:rsidP="00AA7CC4">
      <w:pPr>
        <w:rPr>
          <w:rFonts w:ascii="Wingdings" w:eastAsia="Wingdings" w:hAnsi="Wingdings" w:cs="Wingdings"/>
        </w:rPr>
      </w:pPr>
      <w:r w:rsidRPr="00970766">
        <w:rPr>
          <w:rStyle w:val="ui-provider"/>
        </w:rPr>
        <w:t xml:space="preserve">Dans ce cas, dose totale prescrite (Unités Allergan) : </w:t>
      </w:r>
      <w:r w:rsidRPr="00970766">
        <w:rPr>
          <w:rFonts w:ascii="Wingdings" w:eastAsia="Wingdings" w:hAnsi="Wingdings" w:cs="Wingdings"/>
        </w:rPr>
        <w:t></w:t>
      </w:r>
      <w:r w:rsidRPr="00970766">
        <w:rPr>
          <w:rStyle w:val="ui-provider"/>
        </w:rPr>
        <w:t xml:space="preserve"> Inchangée par rapport à la dernière visite CPC    </w:t>
      </w:r>
      <w:r w:rsidRPr="00970766">
        <w:rPr>
          <w:rFonts w:ascii="Wingdings" w:eastAsia="Wingdings" w:hAnsi="Wingdings" w:cs="Wingdings"/>
        </w:rPr>
        <w:t></w:t>
      </w:r>
      <w:r w:rsidRPr="00970766">
        <w:rPr>
          <w:rStyle w:val="ui-provider"/>
        </w:rPr>
        <w:t xml:space="preserve"> Modification de dose  </w:t>
      </w:r>
    </w:p>
    <w:p w14:paraId="6B917505" w14:textId="77777777" w:rsidR="00AA7CC4" w:rsidRPr="00970766" w:rsidRDefault="00AA7CC4" w:rsidP="00AA7CC4">
      <w:pPr>
        <w:tabs>
          <w:tab w:val="left" w:pos="6060"/>
          <w:tab w:val="left" w:pos="6780"/>
        </w:tabs>
        <w:jc w:val="both"/>
        <w:rPr>
          <w:sz w:val="20"/>
          <w:szCs w:val="20"/>
          <w:bdr w:val="nil"/>
        </w:rPr>
      </w:pPr>
    </w:p>
    <w:p w14:paraId="464321D9" w14:textId="709CA9F5" w:rsidR="00AA7CC4" w:rsidRPr="00970766" w:rsidRDefault="00AA7CC4" w:rsidP="00AA7CC4">
      <w:pPr>
        <w:tabs>
          <w:tab w:val="left" w:pos="6060"/>
          <w:tab w:val="left" w:pos="6780"/>
        </w:tabs>
        <w:jc w:val="both"/>
        <w:rPr>
          <w:sz w:val="20"/>
          <w:szCs w:val="20"/>
          <w:bdr w:val="nil"/>
        </w:rPr>
      </w:pPr>
      <w:r w:rsidRPr="00970766">
        <w:rPr>
          <w:sz w:val="20"/>
          <w:szCs w:val="20"/>
        </w:rPr>
        <w:t>Si la raison de la modification de dose est liée à la survenue d’un effet indésirable, procéder à la déclaration (cf</w:t>
      </w:r>
      <w:r w:rsidR="002834E6" w:rsidRPr="00970766">
        <w:rPr>
          <w:sz w:val="20"/>
          <w:szCs w:val="20"/>
        </w:rPr>
        <w:t xml:space="preserve">. modalités en </w:t>
      </w:r>
      <w:r w:rsidR="00785084">
        <w:rPr>
          <w:sz w:val="20"/>
          <w:szCs w:val="20"/>
        </w:rPr>
        <w:t>A</w:t>
      </w:r>
      <w:r w:rsidR="002834E6" w:rsidRPr="00970766">
        <w:rPr>
          <w:sz w:val="20"/>
          <w:szCs w:val="20"/>
        </w:rPr>
        <w:t>nnexe 5</w:t>
      </w:r>
      <w:r w:rsidRPr="00970766">
        <w:rPr>
          <w:sz w:val="20"/>
          <w:szCs w:val="20"/>
        </w:rPr>
        <w:t>)</w:t>
      </w:r>
    </w:p>
    <w:p w14:paraId="1876645E" w14:textId="77777777" w:rsidR="00AA7CC4" w:rsidRPr="00970766" w:rsidRDefault="00AA7CC4" w:rsidP="00AA7CC4">
      <w:pPr>
        <w:rPr>
          <w:rStyle w:val="lev"/>
        </w:rPr>
      </w:pPr>
    </w:p>
    <w:tbl>
      <w:tblPr>
        <w:tblW w:w="0" w:type="auto"/>
        <w:tblBorders>
          <w:top w:val="single" w:sz="18" w:space="0" w:color="auto"/>
          <w:left w:val="single" w:sz="18" w:space="0" w:color="auto"/>
          <w:bottom w:val="single" w:sz="18" w:space="0" w:color="auto"/>
          <w:right w:val="single" w:sz="18" w:space="0" w:color="auto"/>
        </w:tblBorders>
        <w:tblCellMar>
          <w:top w:w="28" w:type="dxa"/>
          <w:left w:w="28" w:type="dxa"/>
          <w:bottom w:w="28" w:type="dxa"/>
          <w:right w:w="28" w:type="dxa"/>
        </w:tblCellMar>
        <w:tblLook w:val="04A0" w:firstRow="1" w:lastRow="0" w:firstColumn="1" w:lastColumn="0" w:noHBand="0" w:noVBand="1"/>
      </w:tblPr>
      <w:tblGrid>
        <w:gridCol w:w="5041"/>
        <w:gridCol w:w="3985"/>
      </w:tblGrid>
      <w:tr w:rsidR="00AA7CC4" w:rsidRPr="00970766" w14:paraId="2438F0ED" w14:textId="77777777" w:rsidTr="00EC7346">
        <w:tc>
          <w:tcPr>
            <w:tcW w:w="5041" w:type="dxa"/>
          </w:tcPr>
          <w:p w14:paraId="10F51828" w14:textId="77777777" w:rsidR="00AA7CC4" w:rsidRPr="00970766" w:rsidRDefault="00AA7CC4" w:rsidP="00EC7346">
            <w:pPr>
              <w:jc w:val="both"/>
              <w:rPr>
                <w:b/>
                <w:bCs/>
                <w:sz w:val="20"/>
                <w:szCs w:val="20"/>
                <w:bdr w:val="nil"/>
              </w:rPr>
            </w:pPr>
            <w:r w:rsidRPr="00970766">
              <w:rPr>
                <w:b/>
                <w:bCs/>
                <w:sz w:val="20"/>
                <w:szCs w:val="20"/>
                <w:bdr w:val="nil"/>
              </w:rPr>
              <w:t>Médecin prescripteur :</w:t>
            </w:r>
          </w:p>
          <w:p w14:paraId="5287A686" w14:textId="77777777" w:rsidR="00AA7CC4" w:rsidRDefault="00AA7CC4" w:rsidP="00EC7346">
            <w:pPr>
              <w:jc w:val="both"/>
              <w:rPr>
                <w:b/>
                <w:bCs/>
                <w:sz w:val="20"/>
                <w:szCs w:val="20"/>
              </w:rPr>
            </w:pPr>
          </w:p>
          <w:p w14:paraId="25AC7E3D" w14:textId="7F1EDABF" w:rsidR="00B14435" w:rsidRPr="00970766" w:rsidRDefault="00B14435" w:rsidP="00EC7346">
            <w:pPr>
              <w:jc w:val="both"/>
              <w:rPr>
                <w:b/>
                <w:bCs/>
                <w:sz w:val="20"/>
                <w:szCs w:val="20"/>
              </w:rPr>
            </w:pPr>
            <w:r>
              <w:rPr>
                <w:b/>
                <w:bCs/>
                <w:sz w:val="20"/>
                <w:szCs w:val="20"/>
              </w:rPr>
              <w:t>N</w:t>
            </w:r>
            <w:r w:rsidRPr="00740BAC">
              <w:rPr>
                <w:b/>
                <w:bCs/>
                <w:sz w:val="20"/>
                <w:szCs w:val="20"/>
              </w:rPr>
              <w:t>° RPPS</w:t>
            </w:r>
            <w:r>
              <w:rPr>
                <w:b/>
                <w:bCs/>
                <w:sz w:val="20"/>
                <w:szCs w:val="20"/>
              </w:rPr>
              <w:t> :</w:t>
            </w:r>
          </w:p>
        </w:tc>
        <w:tc>
          <w:tcPr>
            <w:tcW w:w="3985" w:type="dxa"/>
          </w:tcPr>
          <w:p w14:paraId="6573BD7A" w14:textId="77777777" w:rsidR="00AA7CC4" w:rsidRPr="00970766" w:rsidRDefault="00AA7CC4" w:rsidP="00EC7346">
            <w:pPr>
              <w:jc w:val="both"/>
              <w:rPr>
                <w:sz w:val="20"/>
                <w:szCs w:val="20"/>
              </w:rPr>
            </w:pPr>
            <w:r w:rsidRPr="00970766">
              <w:rPr>
                <w:b/>
                <w:bCs/>
                <w:sz w:val="20"/>
                <w:szCs w:val="20"/>
                <w:bdr w:val="nil"/>
              </w:rPr>
              <w:t xml:space="preserve">JJ/MM/AAAA : </w:t>
            </w:r>
            <w:r w:rsidRPr="00970766">
              <w:rPr>
                <w:bCs/>
                <w:sz w:val="20"/>
                <w:szCs w:val="20"/>
                <w:bdr w:val="nil"/>
              </w:rPr>
              <w:t>|</w:t>
            </w:r>
            <w:r w:rsidRPr="00970766">
              <w:rPr>
                <w:bCs/>
                <w:sz w:val="20"/>
                <w:szCs w:val="20"/>
                <w:u w:val="single"/>
                <w:bdr w:val="nil"/>
              </w:rPr>
              <w:t xml:space="preserve">  </w:t>
            </w:r>
            <w:r w:rsidRPr="00970766">
              <w:rPr>
                <w:bCs/>
                <w:sz w:val="20"/>
                <w:szCs w:val="20"/>
                <w:bdr w:val="nil"/>
              </w:rPr>
              <w:t>||</w:t>
            </w:r>
            <w:r w:rsidRPr="00970766">
              <w:rPr>
                <w:bCs/>
                <w:sz w:val="20"/>
                <w:szCs w:val="20"/>
                <w:u w:val="single"/>
                <w:bdr w:val="nil"/>
              </w:rPr>
              <w:t xml:space="preserve">  </w:t>
            </w:r>
            <w:r w:rsidRPr="00970766">
              <w:rPr>
                <w:bCs/>
                <w:sz w:val="20"/>
                <w:szCs w:val="20"/>
                <w:bdr w:val="nil"/>
              </w:rPr>
              <w:t>|/|</w:t>
            </w:r>
            <w:r w:rsidRPr="00970766">
              <w:rPr>
                <w:bCs/>
                <w:sz w:val="20"/>
                <w:szCs w:val="20"/>
                <w:u w:val="single"/>
                <w:bdr w:val="nil"/>
              </w:rPr>
              <w:t xml:space="preserve">  </w:t>
            </w:r>
            <w:r w:rsidRPr="00970766">
              <w:rPr>
                <w:bCs/>
                <w:sz w:val="20"/>
                <w:szCs w:val="20"/>
                <w:bdr w:val="nil"/>
              </w:rPr>
              <w:t>||</w:t>
            </w:r>
            <w:r w:rsidRPr="00970766">
              <w:rPr>
                <w:bCs/>
                <w:sz w:val="20"/>
                <w:szCs w:val="20"/>
                <w:u w:val="single"/>
                <w:bdr w:val="nil"/>
              </w:rPr>
              <w:t xml:space="preserve">  </w:t>
            </w:r>
            <w:r w:rsidRPr="00970766">
              <w:rPr>
                <w:bCs/>
                <w:sz w:val="20"/>
                <w:szCs w:val="20"/>
                <w:bdr w:val="nil"/>
              </w:rPr>
              <w:t>|/ |</w:t>
            </w:r>
            <w:r w:rsidRPr="00970766">
              <w:rPr>
                <w:bCs/>
                <w:sz w:val="20"/>
                <w:szCs w:val="20"/>
                <w:u w:val="single"/>
                <w:bdr w:val="nil"/>
              </w:rPr>
              <w:t xml:space="preserve">  </w:t>
            </w:r>
            <w:r w:rsidRPr="00970766">
              <w:rPr>
                <w:bCs/>
                <w:sz w:val="20"/>
                <w:szCs w:val="20"/>
                <w:bdr w:val="nil"/>
              </w:rPr>
              <w:t>||</w:t>
            </w:r>
            <w:r w:rsidRPr="00970766">
              <w:rPr>
                <w:bCs/>
                <w:sz w:val="20"/>
                <w:szCs w:val="20"/>
                <w:u w:val="single"/>
                <w:bdr w:val="nil"/>
              </w:rPr>
              <w:t xml:space="preserve">  </w:t>
            </w:r>
            <w:r w:rsidRPr="00970766">
              <w:rPr>
                <w:bCs/>
                <w:sz w:val="20"/>
                <w:szCs w:val="20"/>
                <w:bdr w:val="nil"/>
              </w:rPr>
              <w:t>||</w:t>
            </w:r>
            <w:r w:rsidRPr="00970766">
              <w:rPr>
                <w:bCs/>
                <w:sz w:val="20"/>
                <w:szCs w:val="20"/>
                <w:u w:val="single"/>
                <w:bdr w:val="nil"/>
              </w:rPr>
              <w:t xml:space="preserve">  </w:t>
            </w:r>
            <w:r w:rsidRPr="00970766">
              <w:rPr>
                <w:bCs/>
                <w:sz w:val="20"/>
                <w:szCs w:val="20"/>
                <w:bdr w:val="nil"/>
              </w:rPr>
              <w:t>||</w:t>
            </w:r>
            <w:r w:rsidRPr="00970766">
              <w:rPr>
                <w:bCs/>
                <w:sz w:val="20"/>
                <w:szCs w:val="20"/>
                <w:u w:val="single"/>
                <w:bdr w:val="nil"/>
              </w:rPr>
              <w:t xml:space="preserve">  </w:t>
            </w:r>
            <w:r w:rsidRPr="00970766">
              <w:rPr>
                <w:bCs/>
                <w:sz w:val="20"/>
                <w:szCs w:val="20"/>
                <w:bdr w:val="nil"/>
              </w:rPr>
              <w:t>|</w:t>
            </w:r>
          </w:p>
        </w:tc>
      </w:tr>
      <w:tr w:rsidR="00AA7CC4" w:rsidRPr="00970766" w14:paraId="470A2198" w14:textId="77777777" w:rsidTr="00EC7346">
        <w:tc>
          <w:tcPr>
            <w:tcW w:w="5041" w:type="dxa"/>
          </w:tcPr>
          <w:p w14:paraId="377F7463" w14:textId="77777777" w:rsidR="00AA7CC4" w:rsidRPr="00970766" w:rsidRDefault="00AA7CC4" w:rsidP="00EC7346">
            <w:pPr>
              <w:spacing w:beforeLines="50" w:before="120"/>
              <w:jc w:val="both"/>
              <w:rPr>
                <w:b/>
                <w:bCs/>
                <w:sz w:val="20"/>
                <w:szCs w:val="20"/>
              </w:rPr>
            </w:pPr>
            <w:r w:rsidRPr="00970766">
              <w:rPr>
                <w:b/>
                <w:bCs/>
                <w:sz w:val="20"/>
                <w:szCs w:val="20"/>
                <w:bdr w:val="nil"/>
              </w:rPr>
              <w:t>Hôpital (nom, adresse, service):</w:t>
            </w:r>
          </w:p>
        </w:tc>
        <w:tc>
          <w:tcPr>
            <w:tcW w:w="3985" w:type="dxa"/>
          </w:tcPr>
          <w:p w14:paraId="2FA0CDF6" w14:textId="77777777" w:rsidR="00AA7CC4" w:rsidRPr="00970766" w:rsidRDefault="00AA7CC4" w:rsidP="00EC7346">
            <w:pPr>
              <w:spacing w:beforeLines="50" w:before="120"/>
              <w:jc w:val="both"/>
              <w:rPr>
                <w:rFonts w:eastAsiaTheme="minorEastAsia"/>
                <w:b/>
                <w:bCs/>
                <w:sz w:val="20"/>
                <w:szCs w:val="20"/>
              </w:rPr>
            </w:pPr>
            <w:r w:rsidRPr="00970766">
              <w:rPr>
                <w:b/>
                <w:bCs/>
                <w:sz w:val="20"/>
                <w:szCs w:val="20"/>
                <w:bdr w:val="nil"/>
              </w:rPr>
              <w:t xml:space="preserve">Signature du médecin prescripteur : </w:t>
            </w:r>
          </w:p>
        </w:tc>
      </w:tr>
      <w:tr w:rsidR="00AA7CC4" w:rsidRPr="00970766" w14:paraId="45A6F003" w14:textId="77777777" w:rsidTr="00EC7346">
        <w:tc>
          <w:tcPr>
            <w:tcW w:w="5041" w:type="dxa"/>
          </w:tcPr>
          <w:p w14:paraId="6AB7AC24" w14:textId="77777777" w:rsidR="00AA7CC4" w:rsidRPr="00970766" w:rsidRDefault="00AA7CC4" w:rsidP="00EC7346">
            <w:pPr>
              <w:spacing w:beforeLines="50" w:before="120"/>
              <w:jc w:val="both"/>
              <w:rPr>
                <w:sz w:val="20"/>
                <w:szCs w:val="20"/>
              </w:rPr>
            </w:pPr>
          </w:p>
          <w:p w14:paraId="2353DECF" w14:textId="77777777" w:rsidR="00AA7CC4" w:rsidRPr="00970766" w:rsidRDefault="00AA7CC4" w:rsidP="00EC7346">
            <w:pPr>
              <w:spacing w:beforeLines="50" w:before="120"/>
              <w:jc w:val="both"/>
              <w:rPr>
                <w:sz w:val="20"/>
                <w:szCs w:val="20"/>
              </w:rPr>
            </w:pPr>
          </w:p>
        </w:tc>
        <w:tc>
          <w:tcPr>
            <w:tcW w:w="3985" w:type="dxa"/>
          </w:tcPr>
          <w:p w14:paraId="63977D18" w14:textId="77777777" w:rsidR="00AA7CC4" w:rsidRPr="00970766" w:rsidRDefault="00AA7CC4" w:rsidP="00EC7346">
            <w:pPr>
              <w:spacing w:beforeLines="50" w:before="120"/>
              <w:jc w:val="both"/>
              <w:rPr>
                <w:sz w:val="20"/>
                <w:szCs w:val="20"/>
              </w:rPr>
            </w:pPr>
          </w:p>
        </w:tc>
      </w:tr>
      <w:tr w:rsidR="00AA7CC4" w:rsidRPr="00970766" w14:paraId="52C9C32E" w14:textId="77777777" w:rsidTr="00EC7346">
        <w:trPr>
          <w:trHeight w:val="754"/>
        </w:trPr>
        <w:tc>
          <w:tcPr>
            <w:tcW w:w="5041" w:type="dxa"/>
          </w:tcPr>
          <w:p w14:paraId="30528B51" w14:textId="77777777" w:rsidR="00AA7CC4" w:rsidRPr="00970766" w:rsidRDefault="00AA7CC4" w:rsidP="00EC7346">
            <w:pPr>
              <w:spacing w:beforeLines="50" w:before="120"/>
              <w:jc w:val="both"/>
              <w:rPr>
                <w:b/>
                <w:bCs/>
                <w:sz w:val="20"/>
                <w:szCs w:val="20"/>
                <w:bdr w:val="nil"/>
              </w:rPr>
            </w:pPr>
            <w:r w:rsidRPr="00970766">
              <w:rPr>
                <w:b/>
                <w:bCs/>
                <w:sz w:val="20"/>
                <w:szCs w:val="20"/>
                <w:bdr w:val="nil"/>
              </w:rPr>
              <w:t>Courriel :</w:t>
            </w:r>
          </w:p>
          <w:p w14:paraId="69B76F4D" w14:textId="77777777" w:rsidR="00AA7CC4" w:rsidRPr="00970766" w:rsidRDefault="00AA7CC4" w:rsidP="00EC7346">
            <w:pPr>
              <w:spacing w:beforeLines="50" w:before="120"/>
              <w:jc w:val="both"/>
              <w:rPr>
                <w:b/>
                <w:bCs/>
                <w:sz w:val="20"/>
                <w:szCs w:val="20"/>
              </w:rPr>
            </w:pPr>
            <w:r w:rsidRPr="00970766">
              <w:rPr>
                <w:b/>
                <w:bCs/>
                <w:sz w:val="20"/>
                <w:szCs w:val="20"/>
                <w:bdr w:val="nil"/>
              </w:rPr>
              <w:t xml:space="preserve">Tel : </w:t>
            </w:r>
          </w:p>
        </w:tc>
        <w:tc>
          <w:tcPr>
            <w:tcW w:w="3985" w:type="dxa"/>
          </w:tcPr>
          <w:p w14:paraId="3D35C4C0" w14:textId="77777777" w:rsidR="00AA7CC4" w:rsidRPr="00970766" w:rsidRDefault="00AA7CC4" w:rsidP="00EC7346">
            <w:pPr>
              <w:spacing w:beforeLines="50" w:before="120"/>
              <w:jc w:val="both"/>
              <w:rPr>
                <w:b/>
                <w:bCs/>
                <w:sz w:val="20"/>
                <w:szCs w:val="20"/>
              </w:rPr>
            </w:pPr>
          </w:p>
        </w:tc>
      </w:tr>
    </w:tbl>
    <w:p w14:paraId="5619E56D" w14:textId="74E06F58" w:rsidR="00D6673A" w:rsidRDefault="00D6673A" w:rsidP="00D6673A">
      <w:pPr>
        <w:pStyle w:val="NormalWeb"/>
        <w:jc w:val="both"/>
        <w:rPr>
          <w:sz w:val="16"/>
          <w:szCs w:val="16"/>
          <w:lang w:val="fr-FR"/>
        </w:rPr>
      </w:pPr>
      <w:r w:rsidRPr="009936CF">
        <w:rPr>
          <w:sz w:val="16"/>
          <w:szCs w:val="16"/>
          <w:lang w:val="fr-FR"/>
        </w:rPr>
        <w:t>AbbVie</w:t>
      </w:r>
      <w:r w:rsidRPr="00EE2B5B">
        <w:rPr>
          <w:sz w:val="16"/>
          <w:szCs w:val="16"/>
          <w:lang w:val="fr-FR"/>
        </w:rPr>
        <w:t xml:space="preserve">, situé 10 rue d’Arcueil 94150 Rungis, </w:t>
      </w:r>
      <w:r w:rsidRPr="009936CF">
        <w:rPr>
          <w:sz w:val="16"/>
          <w:szCs w:val="16"/>
          <w:lang w:val="fr-FR"/>
        </w:rPr>
        <w:t xml:space="preserve"> est responsable du traitement des données à caractère personnel mis en œuvre dans le contexte d’un cadre de prescription compassio</w:t>
      </w:r>
      <w:r w:rsidR="00177575">
        <w:rPr>
          <w:sz w:val="16"/>
          <w:szCs w:val="16"/>
          <w:lang w:val="fr-FR"/>
        </w:rPr>
        <w:t>nnelle pour le médicament BOTOX</w:t>
      </w:r>
      <w:r w:rsidRPr="009936CF">
        <w:rPr>
          <w:sz w:val="16"/>
          <w:szCs w:val="16"/>
          <w:lang w:val="fr-FR"/>
        </w:rPr>
        <w:t xml:space="preserve"> 50, 100, 200 UNITÉS ALLERGAN. Le traitement de vos données à caractère personnel est ainsi nécessaire pour permettre à AbbVie :</w:t>
      </w:r>
    </w:p>
    <w:p w14:paraId="3A836C5A" w14:textId="77777777" w:rsidR="00D6673A" w:rsidRDefault="00D6673A" w:rsidP="00D6673A">
      <w:pPr>
        <w:pStyle w:val="NormalWeb"/>
        <w:jc w:val="both"/>
        <w:rPr>
          <w:sz w:val="16"/>
          <w:szCs w:val="16"/>
          <w:lang w:val="fr-FR"/>
        </w:rPr>
      </w:pPr>
    </w:p>
    <w:p w14:paraId="5EE085CC" w14:textId="1E9618A9" w:rsidR="00D6673A" w:rsidRDefault="00D6673A" w:rsidP="00D6673A">
      <w:pPr>
        <w:pStyle w:val="NormalWeb"/>
        <w:numPr>
          <w:ilvl w:val="0"/>
          <w:numId w:val="28"/>
        </w:numPr>
        <w:jc w:val="both"/>
        <w:rPr>
          <w:sz w:val="16"/>
          <w:szCs w:val="16"/>
          <w:lang w:val="fr-FR"/>
        </w:rPr>
      </w:pPr>
      <w:r w:rsidRPr="000C2309">
        <w:rPr>
          <w:sz w:val="16"/>
          <w:szCs w:val="16"/>
          <w:lang w:val="fr-FR"/>
        </w:rPr>
        <w:t xml:space="preserve">D’assurer le suivi de la collecte des données à caractère personnel des patients en vue de garantir une </w:t>
      </w:r>
      <w:r w:rsidR="00177575">
        <w:rPr>
          <w:sz w:val="16"/>
          <w:szCs w:val="16"/>
          <w:lang w:val="fr-FR"/>
        </w:rPr>
        <w:t>utilisation du médicament BOTOX</w:t>
      </w:r>
      <w:r w:rsidRPr="000C2309">
        <w:rPr>
          <w:sz w:val="16"/>
          <w:szCs w:val="16"/>
          <w:lang w:val="fr-FR"/>
        </w:rPr>
        <w:t xml:space="preserve"> 50, 100, 200 UNITÉS ALLERGAN conforme au protocole d’utilisation thérapeutique</w:t>
      </w:r>
    </w:p>
    <w:p w14:paraId="6679B96D" w14:textId="77777777" w:rsidR="00D6673A" w:rsidRDefault="00D6673A" w:rsidP="00D6673A">
      <w:pPr>
        <w:pStyle w:val="NormalWeb"/>
        <w:numPr>
          <w:ilvl w:val="0"/>
          <w:numId w:val="28"/>
        </w:numPr>
        <w:jc w:val="both"/>
        <w:rPr>
          <w:sz w:val="16"/>
          <w:szCs w:val="16"/>
          <w:lang w:val="fr-FR"/>
        </w:rPr>
      </w:pPr>
      <w:r w:rsidRPr="000C2309">
        <w:rPr>
          <w:sz w:val="16"/>
          <w:szCs w:val="16"/>
          <w:lang w:val="fr-FR"/>
        </w:rPr>
        <w:t>De recueillir des informations sur les conditions d’utilisation du médicament sous cadre de prescription compassionnelle</w:t>
      </w:r>
    </w:p>
    <w:p w14:paraId="66CB6E07" w14:textId="77777777" w:rsidR="00D6673A" w:rsidRPr="0038685B" w:rsidRDefault="00D6673A" w:rsidP="00D6673A">
      <w:pPr>
        <w:pStyle w:val="NormalWeb"/>
        <w:numPr>
          <w:ilvl w:val="0"/>
          <w:numId w:val="28"/>
        </w:numPr>
        <w:jc w:val="both"/>
        <w:rPr>
          <w:sz w:val="16"/>
          <w:szCs w:val="16"/>
          <w:lang w:val="fr-FR"/>
        </w:rPr>
      </w:pPr>
      <w:r w:rsidRPr="000C2309">
        <w:rPr>
          <w:sz w:val="16"/>
          <w:szCs w:val="16"/>
          <w:lang w:val="fr-FR"/>
        </w:rPr>
        <w:t>D’assurer légitimement la gestion des contacts avec les médecins prescripteurs et les pharmaciens dispensateurs de ces médicaments.</w:t>
      </w:r>
    </w:p>
    <w:p w14:paraId="2548DDCF" w14:textId="198F2194" w:rsidR="00D6673A" w:rsidRPr="00B469AB" w:rsidRDefault="00D6673A" w:rsidP="00D6673A">
      <w:pPr>
        <w:tabs>
          <w:tab w:val="left" w:pos="1400"/>
        </w:tabs>
        <w:spacing w:before="163" w:line="250" w:lineRule="auto"/>
        <w:ind w:right="845"/>
        <w:jc w:val="both"/>
        <w:rPr>
          <w:rFonts w:ascii="Imago" w:eastAsia="Times New Roman" w:hAnsi="Imago" w:cs="Times New Roman"/>
          <w:sz w:val="16"/>
          <w:szCs w:val="16"/>
        </w:rPr>
      </w:pPr>
      <w:r w:rsidRPr="00B469AB">
        <w:rPr>
          <w:rFonts w:ascii="Imago" w:eastAsia="Times New Roman" w:hAnsi="Imago" w:cs="Times New Roman"/>
          <w:sz w:val="16"/>
          <w:szCs w:val="16"/>
        </w:rPr>
        <w:t xml:space="preserve">Vos données sont conservées dans la limite d’un an suivant l’approbation par l’ANSM du résumé du dernier rapport de synthèse puis archivées jusqu’à 70 ans maximum à compter de l’expiration de la décision de l’ANSM ou de la date de décision de l’ANSM prononçant la suspension ou le retrait du cadre de prescription compassionnelle. Vos données seront ensuite supprimées ou anonymisées. AbbVie peut également produire des statistiques dans le cadre de ses activités et des services qu’elle met en œuvre après l’anonymisation de vos données ne permettant plus de vous identifier. Les destinataires de vos données sont AbbVie, les sous-traitants d’AbbVie présentant des garanties suffisantes au titre de la mise en œuvre de mesures techniques et organisationnelles appropriées, en particulier en termes de confidentialité et de sécurité et la maison mère d’AbbVie, AbbVie Inc (situés aux Etats-Unis d’Amérique), intervenant dans la mise en œuvre du cadre de prescription compassionnelle. Vos données sont également destinées aux organismes publics communautaires, nationaux ou locaux en charge de la surveillance des médicaments sous cadre de prescription compassionnelle. Le transfert de vos données vers la maison mère d’AbbVie, AbbVie Inc (Etats-Unis d’Amérique) est encadré par les clauses contractuelles types garantissant un niveau de protection suffisant des données personnelles. En cas de transfert subséquent vers des pays ne disposant pas de réglementation protectrice des données personnelles AbbVie s'assurera contractuellement que les données continueront à bénéficier d'une protection adéquate. Vous avez la possibilité de vous procurer une copie des clauses contractuelles types encadrant le transfert des données en vous adressant à </w:t>
      </w:r>
      <w:hyperlink r:id="rId43" w:history="1">
        <w:r w:rsidRPr="00DD11B4">
          <w:rPr>
            <w:rStyle w:val="Lienhypertexte"/>
            <w:rFonts w:ascii="Imago" w:eastAsia="Times New Roman" w:hAnsi="Imago" w:cs="Times New Roman"/>
            <w:sz w:val="16"/>
            <w:szCs w:val="16"/>
          </w:rPr>
          <w:t>privacyoffice@abbvie.com</w:t>
        </w:r>
      </w:hyperlink>
      <w:r w:rsidRPr="00B469AB">
        <w:rPr>
          <w:rFonts w:ascii="Imago" w:eastAsia="Times New Roman" w:hAnsi="Imago" w:cs="Times New Roman"/>
          <w:sz w:val="16"/>
          <w:szCs w:val="16"/>
        </w:rPr>
        <w:t xml:space="preserve">. Vous êtes informé qu’en aucun cas vos données ne seront communiquées à des tiers non autorisés et en particulier vos données ne feront en aucun cas l’objet de commercialisation. Conformément à la réglementation, vous bénéficiez d’un droit d’accès, de rectification, de limitation du traitement de vos données, du droit d’introduire une réclamation auprès de la CNIL et du droit de définir des directives particulières relatives au sort de vos données après votre décès. Le droit d’opposition au traitement de vos données personnelles, le droit à l’effacement de vos données personnelles et le droit à la </w:t>
      </w:r>
      <w:r w:rsidRPr="00B469AB">
        <w:rPr>
          <w:rFonts w:ascii="Imago" w:eastAsia="Times New Roman" w:hAnsi="Imago" w:cs="Times New Roman"/>
          <w:sz w:val="16"/>
          <w:szCs w:val="16"/>
        </w:rPr>
        <w:lastRenderedPageBreak/>
        <w:t xml:space="preserve">portabilité ne sont pas applicables à ce traitement. Vous pouvez exercer vos droits en vous adressant à : </w:t>
      </w:r>
      <w:hyperlink r:id="rId44" w:history="1">
        <w:r w:rsidRPr="00DD11B4">
          <w:rPr>
            <w:rStyle w:val="Lienhypertexte"/>
            <w:rFonts w:ascii="Imago" w:eastAsia="Times New Roman" w:hAnsi="Imago" w:cs="Times New Roman"/>
            <w:sz w:val="16"/>
            <w:szCs w:val="16"/>
          </w:rPr>
          <w:t>privacyoffice@abbvie.com</w:t>
        </w:r>
      </w:hyperlink>
      <w:r>
        <w:rPr>
          <w:rFonts w:ascii="Imago" w:eastAsia="Times New Roman" w:hAnsi="Imago" w:cs="Times New Roman"/>
          <w:sz w:val="16"/>
          <w:szCs w:val="16"/>
        </w:rPr>
        <w:t xml:space="preserve">  </w:t>
      </w:r>
      <w:r w:rsidRPr="00B469AB">
        <w:rPr>
          <w:rFonts w:ascii="Imago" w:eastAsia="Times New Roman" w:hAnsi="Imago" w:cs="Times New Roman"/>
          <w:sz w:val="16"/>
          <w:szCs w:val="16"/>
        </w:rPr>
        <w:t xml:space="preserve"> ou en remplissant le formulaire accessible via le lien </w:t>
      </w:r>
      <w:hyperlink r:id="rId45" w:history="1">
        <w:r w:rsidRPr="00DD11B4">
          <w:rPr>
            <w:rStyle w:val="Lienhypertexte"/>
            <w:rFonts w:ascii="Imago" w:eastAsia="Times New Roman" w:hAnsi="Imago" w:cs="Times New Roman"/>
            <w:sz w:val="16"/>
            <w:szCs w:val="16"/>
          </w:rPr>
          <w:t>https://abbviemetadata.my.site.com/AbbvieDSRM/s/?language=en_US</w:t>
        </w:r>
      </w:hyperlink>
      <w:r>
        <w:rPr>
          <w:rFonts w:ascii="Imago" w:eastAsia="Times New Roman" w:hAnsi="Imago" w:cs="Times New Roman"/>
          <w:sz w:val="16"/>
          <w:szCs w:val="16"/>
        </w:rPr>
        <w:t xml:space="preserve"> </w:t>
      </w:r>
      <w:r w:rsidRPr="00B469AB">
        <w:rPr>
          <w:rFonts w:ascii="Imago" w:eastAsia="Times New Roman" w:hAnsi="Imago" w:cs="Times New Roman"/>
          <w:sz w:val="16"/>
          <w:szCs w:val="16"/>
        </w:rPr>
        <w:t xml:space="preserve">ou envoyer un email à </w:t>
      </w:r>
      <w:hyperlink r:id="rId46" w:history="1">
        <w:r w:rsidRPr="00DD11B4">
          <w:rPr>
            <w:rStyle w:val="Lienhypertexte"/>
            <w:rFonts w:ascii="Imago" w:eastAsia="Times New Roman" w:hAnsi="Imago" w:cs="Times New Roman"/>
            <w:sz w:val="16"/>
            <w:szCs w:val="16"/>
          </w:rPr>
          <w:t>privacydsr@abbvie.com</w:t>
        </w:r>
      </w:hyperlink>
      <w:r w:rsidRPr="00B469AB">
        <w:rPr>
          <w:rFonts w:ascii="Imago" w:eastAsia="Times New Roman" w:hAnsi="Imago" w:cs="Times New Roman"/>
          <w:sz w:val="16"/>
          <w:szCs w:val="16"/>
        </w:rPr>
        <w:t xml:space="preserve">. Vous pouvez contacter le délégué à la protection des données d’AbbVie aux coordonnées suivantes par email à l’adresse </w:t>
      </w:r>
      <w:hyperlink r:id="rId47" w:history="1">
        <w:r w:rsidRPr="00DD11B4">
          <w:rPr>
            <w:rStyle w:val="Lienhypertexte"/>
            <w:rFonts w:ascii="Imago" w:eastAsia="Times New Roman" w:hAnsi="Imago" w:cs="Times New Roman"/>
            <w:sz w:val="16"/>
            <w:szCs w:val="16"/>
          </w:rPr>
          <w:t>privacyoffice@abbvie.com</w:t>
        </w:r>
      </w:hyperlink>
      <w:r>
        <w:rPr>
          <w:rFonts w:ascii="Imago" w:eastAsia="Times New Roman" w:hAnsi="Imago" w:cs="Times New Roman"/>
          <w:sz w:val="16"/>
          <w:szCs w:val="16"/>
        </w:rPr>
        <w:t xml:space="preserve"> </w:t>
      </w:r>
      <w:r w:rsidRPr="00B469AB">
        <w:rPr>
          <w:rFonts w:ascii="Imago" w:eastAsia="Times New Roman" w:hAnsi="Imago" w:cs="Times New Roman"/>
          <w:sz w:val="16"/>
          <w:szCs w:val="16"/>
        </w:rPr>
        <w:t xml:space="preserve">ou par courrier : AbbVie Customer Service Attn: Privacy Department 36M 1 N. Waukegan Road North Chicago, IL 60064-6163. Pour toute information complémentaire, nous vous invitons à consulter notre Politique de confidentialité </w:t>
      </w:r>
      <w:hyperlink r:id="rId48" w:history="1">
        <w:r w:rsidRPr="00DD11B4">
          <w:rPr>
            <w:rStyle w:val="Lienhypertexte"/>
            <w:rFonts w:ascii="Imago" w:eastAsia="Times New Roman" w:hAnsi="Imago" w:cs="Times New Roman"/>
            <w:sz w:val="16"/>
            <w:szCs w:val="16"/>
          </w:rPr>
          <w:t>http://www.abbvie.fr/privacy/home.html</w:t>
        </w:r>
      </w:hyperlink>
      <w:r>
        <w:rPr>
          <w:rFonts w:ascii="Imago" w:eastAsia="Times New Roman" w:hAnsi="Imago" w:cs="Times New Roman"/>
          <w:sz w:val="16"/>
          <w:szCs w:val="16"/>
        </w:rPr>
        <w:t xml:space="preserve">. </w:t>
      </w:r>
    </w:p>
    <w:p w14:paraId="215195DA" w14:textId="77777777" w:rsidR="00AA7CC4" w:rsidRPr="00970766" w:rsidRDefault="00AA7CC4" w:rsidP="00AA7CC4">
      <w:pPr>
        <w:spacing w:before="20"/>
        <w:jc w:val="both"/>
        <w:rPr>
          <w:rFonts w:eastAsiaTheme="minorEastAsia"/>
          <w:sz w:val="20"/>
          <w:szCs w:val="20"/>
          <w:lang w:eastAsia="zh-CN"/>
        </w:rPr>
      </w:pPr>
    </w:p>
    <w:p w14:paraId="51EE9360" w14:textId="77777777" w:rsidR="00AA7CC4" w:rsidRPr="00970766" w:rsidRDefault="00AA7CC4" w:rsidP="00AA7CC4">
      <w:pPr>
        <w:spacing w:line="60" w:lineRule="exact"/>
        <w:jc w:val="both"/>
        <w:rPr>
          <w:sz w:val="20"/>
          <w:szCs w:val="20"/>
        </w:rPr>
      </w:pPr>
    </w:p>
    <w:p w14:paraId="4898B925" w14:textId="77777777" w:rsidR="00AA7CC4" w:rsidRPr="00970766" w:rsidRDefault="00AA7CC4" w:rsidP="00AA7CC4">
      <w:pPr>
        <w:spacing w:line="60" w:lineRule="exact"/>
        <w:jc w:val="both"/>
        <w:rPr>
          <w:sz w:val="20"/>
          <w:szCs w:val="20"/>
        </w:rPr>
      </w:pPr>
    </w:p>
    <w:p w14:paraId="2603902B" w14:textId="77777777" w:rsidR="00AA7CC4" w:rsidRPr="00970766" w:rsidRDefault="00AA7CC4" w:rsidP="00AA7CC4">
      <w:pPr>
        <w:spacing w:before="20"/>
        <w:jc w:val="both"/>
        <w:rPr>
          <w:rFonts w:eastAsiaTheme="minorEastAsia"/>
          <w:sz w:val="20"/>
          <w:szCs w:val="20"/>
          <w:lang w:eastAsia="zh-CN"/>
        </w:rPr>
      </w:pPr>
    </w:p>
    <w:p w14:paraId="71BE7F49" w14:textId="77777777" w:rsidR="00AA7CC4" w:rsidRPr="00970766" w:rsidRDefault="00AA7CC4" w:rsidP="00AA7CC4">
      <w:pPr>
        <w:rPr>
          <w:rFonts w:ascii="Arial" w:hAnsi="Arial" w:cs="Arial"/>
          <w:b/>
          <w:color w:val="1E3662"/>
          <w:sz w:val="20"/>
          <w:szCs w:val="20"/>
        </w:rPr>
      </w:pPr>
    </w:p>
    <w:p w14:paraId="3426002B" w14:textId="77777777" w:rsidR="000074F3" w:rsidRDefault="00AA7CC4" w:rsidP="005841E9">
      <w:pPr>
        <w:outlineLvl w:val="2"/>
        <w:rPr>
          <w:rFonts w:ascii="Arial" w:hAnsi="Arial" w:cs="Arial"/>
          <w:b/>
          <w:color w:val="1E3662"/>
          <w:sz w:val="20"/>
          <w:szCs w:val="20"/>
        </w:rPr>
      </w:pPr>
      <w:r w:rsidRPr="00970766">
        <w:rPr>
          <w:rFonts w:ascii="Arial" w:hAnsi="Arial" w:cs="Arial"/>
          <w:sz w:val="20"/>
          <w:szCs w:val="20"/>
        </w:rPr>
        <w:br w:type="page"/>
      </w:r>
      <w:bookmarkStart w:id="14" w:name="_Toc158900881"/>
      <w:r w:rsidR="00AD389C" w:rsidRPr="00970766">
        <w:rPr>
          <w:rFonts w:ascii="Arial" w:hAnsi="Arial" w:cs="Arial"/>
          <w:b/>
          <w:color w:val="1E3662"/>
          <w:sz w:val="20"/>
          <w:szCs w:val="20"/>
        </w:rPr>
        <w:lastRenderedPageBreak/>
        <w:t xml:space="preserve">ANNEXE </w:t>
      </w:r>
      <w:r w:rsidR="002834E6" w:rsidRPr="00970766">
        <w:rPr>
          <w:rFonts w:ascii="Arial" w:hAnsi="Arial" w:cs="Arial"/>
          <w:b/>
          <w:color w:val="1E3662"/>
          <w:sz w:val="20"/>
          <w:szCs w:val="20"/>
        </w:rPr>
        <w:t>1</w:t>
      </w:r>
      <w:r w:rsidRPr="00970766">
        <w:rPr>
          <w:rFonts w:ascii="Arial" w:hAnsi="Arial" w:cs="Arial"/>
          <w:b/>
          <w:color w:val="1E3662"/>
          <w:sz w:val="20"/>
          <w:szCs w:val="20"/>
        </w:rPr>
        <w:t>.4 : fiche de fin de traitement</w:t>
      </w:r>
      <w:bookmarkEnd w:id="14"/>
      <w:r w:rsidRPr="00970766">
        <w:rPr>
          <w:rFonts w:ascii="Arial" w:hAnsi="Arial" w:cs="Arial"/>
          <w:b/>
          <w:color w:val="1E3662"/>
          <w:sz w:val="20"/>
          <w:szCs w:val="20"/>
        </w:rPr>
        <w:t xml:space="preserve"> </w:t>
      </w:r>
    </w:p>
    <w:p w14:paraId="30E133C9" w14:textId="77777777" w:rsidR="00AA7CC4" w:rsidRPr="000074F3" w:rsidRDefault="000074F3" w:rsidP="000074F3">
      <w:pPr>
        <w:rPr>
          <w:rFonts w:ascii="Arial" w:hAnsi="Arial" w:cs="Arial"/>
          <w:sz w:val="20"/>
          <w:szCs w:val="20"/>
        </w:rPr>
      </w:pPr>
      <w:r w:rsidRPr="000074F3">
        <w:rPr>
          <w:rFonts w:ascii="Arial" w:hAnsi="Arial" w:cs="Arial"/>
          <w:sz w:val="20"/>
          <w:szCs w:val="20"/>
        </w:rPr>
        <w:t>À</w:t>
      </w:r>
      <w:r w:rsidR="00AA7CC4" w:rsidRPr="000074F3">
        <w:rPr>
          <w:rFonts w:ascii="Arial" w:hAnsi="Arial" w:cs="Arial"/>
          <w:sz w:val="20"/>
          <w:szCs w:val="20"/>
        </w:rPr>
        <w:t xml:space="preserve"> saisir de manière électronique uniquement.</w:t>
      </w:r>
    </w:p>
    <w:p w14:paraId="4A8C6868" w14:textId="77777777" w:rsidR="00AA7CC4" w:rsidRPr="00970766" w:rsidRDefault="00AA7CC4" w:rsidP="00AA7CC4">
      <w:pPr>
        <w:spacing w:line="60" w:lineRule="exact"/>
        <w:jc w:val="both"/>
        <w:rPr>
          <w:sz w:val="20"/>
          <w:szCs w:val="20"/>
          <w:lang w:eastAsia="zh-CN"/>
        </w:rPr>
      </w:pPr>
    </w:p>
    <w:p w14:paraId="078E3514" w14:textId="16446BC2" w:rsidR="00AA7CC4" w:rsidRPr="00970766" w:rsidRDefault="00AA7CC4" w:rsidP="00AA7CC4">
      <w:pPr>
        <w:pBdr>
          <w:top w:val="single" w:sz="4" w:space="1" w:color="auto"/>
          <w:left w:val="single" w:sz="4" w:space="0" w:color="auto"/>
          <w:bottom w:val="single" w:sz="4" w:space="1" w:color="auto"/>
          <w:right w:val="single" w:sz="4" w:space="4" w:color="auto"/>
        </w:pBdr>
        <w:shd w:val="clear" w:color="auto" w:fill="CCC0D9"/>
        <w:spacing w:line="400" w:lineRule="exact"/>
        <w:ind w:rightChars="37" w:right="81"/>
        <w:jc w:val="center"/>
        <w:rPr>
          <w:b/>
          <w:bCs/>
          <w:sz w:val="28"/>
          <w:szCs w:val="28"/>
          <w:lang w:eastAsia="zh-CN"/>
        </w:rPr>
      </w:pPr>
      <w:r w:rsidRPr="00970766">
        <w:rPr>
          <w:b/>
          <w:bCs/>
          <w:sz w:val="28"/>
          <w:szCs w:val="28"/>
          <w:bdr w:val="nil"/>
        </w:rPr>
        <w:t>Cadre de prescription compassionnelle BOTOX</w:t>
      </w:r>
    </w:p>
    <w:p w14:paraId="7596E4D4" w14:textId="77777777" w:rsidR="00AA7CC4" w:rsidRPr="005A4373" w:rsidRDefault="00AA7CC4" w:rsidP="00AA7CC4">
      <w:pPr>
        <w:pBdr>
          <w:top w:val="single" w:sz="4" w:space="1" w:color="auto"/>
          <w:left w:val="single" w:sz="4" w:space="0" w:color="auto"/>
          <w:bottom w:val="single" w:sz="4" w:space="1" w:color="auto"/>
          <w:right w:val="single" w:sz="4" w:space="4" w:color="auto"/>
        </w:pBdr>
        <w:shd w:val="clear" w:color="auto" w:fill="F1F1F1"/>
        <w:ind w:rightChars="37" w:right="81"/>
        <w:jc w:val="center"/>
        <w:rPr>
          <w:sz w:val="28"/>
          <w:szCs w:val="28"/>
        </w:rPr>
      </w:pPr>
      <w:r w:rsidRPr="005A4373">
        <w:rPr>
          <w:b/>
          <w:sz w:val="28"/>
          <w:szCs w:val="28"/>
          <w:bdr w:val="nil"/>
        </w:rPr>
        <w:t>FICHE DE FIN DE TRAITEMENT</w:t>
      </w:r>
    </w:p>
    <w:p w14:paraId="38D58B6F" w14:textId="77777777" w:rsidR="00AA7CC4" w:rsidRPr="005A4373" w:rsidRDefault="00AA7CC4" w:rsidP="00AA7CC4">
      <w:pPr>
        <w:jc w:val="both"/>
        <w:rPr>
          <w:b/>
          <w:sz w:val="20"/>
          <w:szCs w:val="20"/>
          <w:bdr w:val="nil"/>
        </w:rPr>
      </w:pPr>
    </w:p>
    <w:p w14:paraId="7352E2E2" w14:textId="77777777" w:rsidR="00AA7CC4" w:rsidRPr="00F85008" w:rsidRDefault="00B05F77" w:rsidP="00AA7CC4">
      <w:pPr>
        <w:pBdr>
          <w:top w:val="single" w:sz="4" w:space="2" w:color="auto"/>
          <w:left w:val="single" w:sz="4" w:space="0" w:color="auto"/>
          <w:bottom w:val="single" w:sz="4" w:space="1" w:color="auto"/>
          <w:right w:val="single" w:sz="4" w:space="31" w:color="auto"/>
        </w:pBdr>
        <w:tabs>
          <w:tab w:val="left" w:pos="9639"/>
        </w:tabs>
        <w:ind w:right="1112"/>
        <w:jc w:val="center"/>
        <w:rPr>
          <w:rFonts w:ascii="Arial" w:eastAsia="Calibri" w:hAnsi="Arial" w:cs="Arial"/>
          <w:sz w:val="20"/>
          <w:szCs w:val="20"/>
          <w:lang w:val="en-GB"/>
        </w:rPr>
      </w:pPr>
      <w:r w:rsidRPr="00F85008">
        <w:rPr>
          <w:rFonts w:ascii="Arial" w:eastAsia="Calibri" w:hAnsi="Arial" w:cs="Arial"/>
          <w:sz w:val="20"/>
          <w:szCs w:val="20"/>
          <w:lang w:val="en-GB"/>
        </w:rPr>
        <w:t>Date de visite</w:t>
      </w:r>
      <w:r w:rsidR="00AA7CC4" w:rsidRPr="00F85008">
        <w:rPr>
          <w:rFonts w:ascii="Arial" w:eastAsia="Calibri" w:hAnsi="Arial" w:cs="Arial"/>
          <w:sz w:val="20"/>
          <w:szCs w:val="20"/>
          <w:lang w:val="en-GB"/>
        </w:rPr>
        <w:t xml:space="preserve"> : I_I_I  I_I_I  I_I_I_I_I</w:t>
      </w:r>
    </w:p>
    <w:p w14:paraId="4DD6F5D5" w14:textId="77777777" w:rsidR="00AA7CC4" w:rsidRPr="00F85008" w:rsidRDefault="00AA7CC4" w:rsidP="00AA7CC4">
      <w:pPr>
        <w:shd w:val="clear" w:color="auto" w:fill="DDD9C3"/>
        <w:tabs>
          <w:tab w:val="left" w:pos="9480"/>
        </w:tabs>
        <w:spacing w:beforeLines="50" w:before="120" w:afterLines="50" w:after="120"/>
        <w:rPr>
          <w:sz w:val="24"/>
          <w:szCs w:val="24"/>
          <w:lang w:val="en-GB"/>
        </w:rPr>
      </w:pPr>
      <w:r w:rsidRPr="00F85008">
        <w:rPr>
          <w:b/>
          <w:sz w:val="24"/>
          <w:szCs w:val="24"/>
          <w:bdr w:val="nil"/>
          <w:lang w:val="en-GB"/>
        </w:rPr>
        <w:t>IDENTIFICATION DU PATIENT</w:t>
      </w:r>
    </w:p>
    <w:p w14:paraId="4AA1BE6D" w14:textId="77777777" w:rsidR="00AA7CC4" w:rsidRPr="00F85008" w:rsidRDefault="00AA7CC4" w:rsidP="00AA7CC4">
      <w:pPr>
        <w:tabs>
          <w:tab w:val="left" w:pos="4678"/>
        </w:tabs>
        <w:spacing w:before="120" w:after="120"/>
        <w:ind w:right="1112"/>
        <w:rPr>
          <w:sz w:val="20"/>
          <w:szCs w:val="20"/>
          <w:bdr w:val="nil"/>
          <w:lang w:val="en-GB"/>
        </w:rPr>
      </w:pPr>
      <w:r w:rsidRPr="00F85008">
        <w:rPr>
          <w:rFonts w:ascii="Arial" w:eastAsia="Calibri" w:hAnsi="Arial" w:cs="Arial"/>
          <w:sz w:val="20"/>
          <w:szCs w:val="20"/>
          <w:lang w:val="en-GB"/>
        </w:rPr>
        <w:t>Initiales (</w:t>
      </w:r>
      <w:r w:rsidRPr="00F85008">
        <w:rPr>
          <w:rFonts w:ascii="Arial" w:eastAsia="Calibri" w:hAnsi="Arial" w:cs="Arial"/>
          <w:i/>
          <w:sz w:val="20"/>
          <w:szCs w:val="20"/>
          <w:lang w:val="en-GB"/>
        </w:rPr>
        <w:t>Nom – Prénom</w:t>
      </w:r>
      <w:r w:rsidRPr="00F85008">
        <w:rPr>
          <w:rFonts w:ascii="Arial" w:eastAsia="Calibri" w:hAnsi="Arial" w:cs="Arial"/>
          <w:sz w:val="20"/>
          <w:szCs w:val="20"/>
          <w:lang w:val="en-GB"/>
        </w:rPr>
        <w:t>) : I_I_I_I – I_I</w:t>
      </w:r>
      <w:r w:rsidR="00B05F77" w:rsidRPr="00F85008">
        <w:rPr>
          <w:rFonts w:ascii="Arial" w:eastAsia="Calibri" w:hAnsi="Arial" w:cs="Arial"/>
          <w:sz w:val="20"/>
          <w:szCs w:val="20"/>
          <w:lang w:val="en-GB"/>
        </w:rPr>
        <w:t>_I</w:t>
      </w:r>
      <w:r w:rsidRPr="00F85008">
        <w:rPr>
          <w:rFonts w:ascii="Arial" w:eastAsia="Calibri" w:hAnsi="Arial" w:cs="Arial"/>
          <w:sz w:val="20"/>
          <w:szCs w:val="20"/>
          <w:lang w:val="en-GB"/>
        </w:rPr>
        <w:t xml:space="preserve">     </w:t>
      </w:r>
      <w:r w:rsidRPr="00F85008">
        <w:rPr>
          <w:rFonts w:ascii="Arial" w:eastAsia="Calibri" w:hAnsi="Arial" w:cs="Arial"/>
          <w:sz w:val="20"/>
          <w:szCs w:val="20"/>
          <w:lang w:val="en-GB"/>
        </w:rPr>
        <w:tab/>
      </w:r>
      <w:r w:rsidRPr="00F85008">
        <w:rPr>
          <w:sz w:val="20"/>
          <w:szCs w:val="20"/>
          <w:bdr w:val="nil"/>
          <w:lang w:val="en-GB"/>
        </w:rPr>
        <w:t xml:space="preserve"> </w:t>
      </w:r>
      <w:r w:rsidR="00B05F77" w:rsidRPr="00F85008">
        <w:rPr>
          <w:rFonts w:ascii="Arial" w:hAnsi="Arial" w:cs="Arial"/>
          <w:bCs/>
          <w:sz w:val="20"/>
          <w:szCs w:val="20"/>
          <w:bdr w:val="nil"/>
          <w:lang w:val="en-GB"/>
        </w:rPr>
        <w:t xml:space="preserve">POIDS : </w:t>
      </w:r>
      <w:r w:rsidR="00B05F77" w:rsidRPr="00F85008">
        <w:rPr>
          <w:rFonts w:ascii="Arial" w:hAnsi="Arial" w:cs="Arial"/>
          <w:sz w:val="20"/>
          <w:szCs w:val="20"/>
          <w:bdr w:val="nil"/>
          <w:lang w:val="en-GB"/>
        </w:rPr>
        <w:t>|</w:t>
      </w:r>
      <w:r w:rsidR="00B05F77" w:rsidRPr="00F85008">
        <w:rPr>
          <w:rFonts w:ascii="Arial" w:hAnsi="Arial" w:cs="Arial"/>
          <w:sz w:val="20"/>
          <w:szCs w:val="20"/>
          <w:u w:val="single"/>
          <w:bdr w:val="nil"/>
          <w:lang w:val="en-GB"/>
        </w:rPr>
        <w:t xml:space="preserve">  |  |  </w:t>
      </w:r>
      <w:r w:rsidR="00B05F77" w:rsidRPr="00F85008">
        <w:rPr>
          <w:rFonts w:ascii="Arial" w:hAnsi="Arial" w:cs="Arial"/>
          <w:sz w:val="20"/>
          <w:szCs w:val="20"/>
          <w:bdr w:val="nil"/>
          <w:lang w:val="en-GB"/>
        </w:rPr>
        <w:t>| kg</w:t>
      </w:r>
    </w:p>
    <w:p w14:paraId="3A133177" w14:textId="7F30A35F" w:rsidR="00AA7CC4" w:rsidRPr="00970766" w:rsidRDefault="00311B1E" w:rsidP="00AA7CC4">
      <w:pPr>
        <w:shd w:val="clear" w:color="auto" w:fill="DDD9C3"/>
        <w:tabs>
          <w:tab w:val="left" w:pos="9480"/>
        </w:tabs>
        <w:spacing w:beforeLines="50" w:before="120" w:afterLines="50" w:after="120"/>
        <w:rPr>
          <w:b/>
          <w:bCs/>
          <w:sz w:val="24"/>
          <w:szCs w:val="24"/>
        </w:rPr>
      </w:pPr>
      <w:r>
        <w:rPr>
          <w:b/>
          <w:bCs/>
          <w:sz w:val="24"/>
          <w:szCs w:val="24"/>
          <w:bdr w:val="nil"/>
        </w:rPr>
        <w:t>TRAITEMENT PAR BOTOX</w:t>
      </w:r>
      <w:r w:rsidR="00AA7CC4" w:rsidRPr="00970766">
        <w:rPr>
          <w:b/>
          <w:bCs/>
          <w:sz w:val="24"/>
          <w:szCs w:val="24"/>
          <w:bdr w:val="nil"/>
        </w:rPr>
        <w:t xml:space="preserve"> </w:t>
      </w:r>
    </w:p>
    <w:p w14:paraId="5759459B" w14:textId="77777777" w:rsidR="00AA7CC4" w:rsidRPr="00970766" w:rsidRDefault="00AA7CC4" w:rsidP="00AA7CC4">
      <w:pPr>
        <w:spacing w:beforeLines="50" w:before="120" w:afterLines="50" w:after="120"/>
        <w:jc w:val="both"/>
        <w:rPr>
          <w:sz w:val="20"/>
          <w:szCs w:val="20"/>
        </w:rPr>
      </w:pPr>
      <w:r w:rsidRPr="00970766">
        <w:rPr>
          <w:b/>
          <w:bCs/>
          <w:sz w:val="20"/>
          <w:szCs w:val="20"/>
          <w:bdr w:val="nil"/>
        </w:rPr>
        <w:t xml:space="preserve">DATE D’ARRET DEFINITIF DU TRAITEMENT                              </w:t>
      </w:r>
      <w:r w:rsidRPr="00970766">
        <w:rPr>
          <w:sz w:val="20"/>
          <w:szCs w:val="20"/>
          <w:bdr w:val="nil"/>
        </w:rPr>
        <w:t>(JJ/MM/AAAA) : |</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 |</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p>
    <w:p w14:paraId="16D02C0B" w14:textId="77777777" w:rsidR="00AA7CC4" w:rsidRPr="00970766" w:rsidRDefault="00AA7CC4" w:rsidP="00AA7CC4">
      <w:pPr>
        <w:spacing w:beforeLines="50" w:before="120" w:afterLines="50" w:after="120"/>
        <w:jc w:val="both"/>
        <w:rPr>
          <w:b/>
          <w:bCs/>
          <w:sz w:val="20"/>
          <w:szCs w:val="20"/>
          <w:bdr w:val="nil"/>
        </w:rPr>
      </w:pPr>
    </w:p>
    <w:p w14:paraId="4B366894" w14:textId="77777777" w:rsidR="00AA7CC4" w:rsidRPr="00970766" w:rsidRDefault="00AA7CC4" w:rsidP="00AA7CC4">
      <w:pPr>
        <w:spacing w:beforeLines="50" w:before="120" w:afterLines="50" w:after="120"/>
        <w:jc w:val="both"/>
        <w:rPr>
          <w:b/>
          <w:bCs/>
          <w:sz w:val="20"/>
          <w:szCs w:val="20"/>
          <w:bdr w:val="nil"/>
        </w:rPr>
      </w:pPr>
      <w:r w:rsidRPr="00970766">
        <w:rPr>
          <w:b/>
          <w:bCs/>
          <w:sz w:val="20"/>
          <w:szCs w:val="20"/>
          <w:bdr w:val="nil"/>
        </w:rPr>
        <w:t>DOSE TOTALE AU MOMENT DE L’ARRET DU TRAITEMENT : ….. UNITES ALLERGAN</w:t>
      </w:r>
    </w:p>
    <w:p w14:paraId="0156D3A8" w14:textId="77777777" w:rsidR="00AA7CC4" w:rsidRPr="00970766" w:rsidRDefault="00AA7CC4" w:rsidP="00AA7CC4">
      <w:pPr>
        <w:spacing w:beforeLines="50" w:before="120" w:afterLines="50" w:after="120"/>
        <w:jc w:val="both"/>
        <w:rPr>
          <w:b/>
          <w:bCs/>
          <w:sz w:val="20"/>
          <w:szCs w:val="20"/>
          <w:bdr w:val="nil"/>
        </w:rPr>
      </w:pPr>
    </w:p>
    <w:p w14:paraId="7B0277FE" w14:textId="608D6FE2" w:rsidR="00AA7CC4" w:rsidRPr="00970766" w:rsidRDefault="00AA7CC4" w:rsidP="00AA7CC4">
      <w:pPr>
        <w:shd w:val="clear" w:color="auto" w:fill="DDD9C3"/>
        <w:tabs>
          <w:tab w:val="left" w:pos="9480"/>
        </w:tabs>
        <w:spacing w:beforeLines="50" w:before="120" w:afterLines="50" w:after="120"/>
        <w:rPr>
          <w:b/>
          <w:bCs/>
          <w:sz w:val="24"/>
          <w:szCs w:val="24"/>
        </w:rPr>
      </w:pPr>
      <w:r w:rsidRPr="00970766">
        <w:rPr>
          <w:b/>
          <w:bCs/>
          <w:sz w:val="24"/>
          <w:szCs w:val="24"/>
          <w:bdr w:val="nil"/>
        </w:rPr>
        <w:t xml:space="preserve">MOTIF DE </w:t>
      </w:r>
      <w:r w:rsidR="00311B1E">
        <w:rPr>
          <w:b/>
          <w:bCs/>
          <w:sz w:val="24"/>
          <w:szCs w:val="24"/>
          <w:bdr w:val="nil"/>
        </w:rPr>
        <w:t>L’ARRÊT DU TRAITEMENT PAR BOTOX</w:t>
      </w:r>
    </w:p>
    <w:p w14:paraId="28C252AC" w14:textId="77777777" w:rsidR="00AA7CC4" w:rsidRPr="00970766" w:rsidRDefault="00AA7CC4" w:rsidP="00AA7CC4">
      <w:pPr>
        <w:tabs>
          <w:tab w:val="left" w:pos="426"/>
        </w:tabs>
        <w:ind w:left="493" w:hangingChars="224" w:hanging="493"/>
        <w:jc w:val="both"/>
        <w:rPr>
          <w:b/>
          <w:bCs/>
          <w:sz w:val="20"/>
          <w:szCs w:val="20"/>
          <w:bdr w:val="nil"/>
        </w:rPr>
      </w:pPr>
      <w:r w:rsidRPr="00970766">
        <w:rPr>
          <w:rFonts w:ascii="Wingdings" w:eastAsia="Wingdings" w:hAnsi="Wingdings" w:cs="Wingdings"/>
        </w:rPr>
        <w:t></w:t>
      </w:r>
      <w:r w:rsidRPr="00970766">
        <w:rPr>
          <w:sz w:val="19"/>
          <w:szCs w:val="19"/>
          <w:bdr w:val="nil"/>
        </w:rPr>
        <w:tab/>
      </w:r>
      <w:r w:rsidRPr="00970766">
        <w:rPr>
          <w:b/>
          <w:bCs/>
          <w:sz w:val="20"/>
          <w:szCs w:val="20"/>
          <w:bdr w:val="nil"/>
        </w:rPr>
        <w:t>DÉCISION DU (DE LA) PATIENT(E) D’ARRÊTER LE TRAITEMENT</w:t>
      </w:r>
    </w:p>
    <w:p w14:paraId="41EA5831" w14:textId="77777777" w:rsidR="00AA7CC4" w:rsidRPr="00970766" w:rsidRDefault="00AA7CC4" w:rsidP="00AA7CC4">
      <w:pPr>
        <w:tabs>
          <w:tab w:val="left" w:pos="426"/>
        </w:tabs>
        <w:ind w:left="448" w:hangingChars="224" w:hanging="448"/>
        <w:jc w:val="both"/>
        <w:rPr>
          <w:sz w:val="20"/>
          <w:szCs w:val="20"/>
        </w:rPr>
      </w:pPr>
    </w:p>
    <w:p w14:paraId="5646231F" w14:textId="77777777" w:rsidR="00AA7CC4" w:rsidRPr="00970766" w:rsidRDefault="00AA7CC4" w:rsidP="00AA7CC4">
      <w:pPr>
        <w:tabs>
          <w:tab w:val="left" w:pos="426"/>
        </w:tabs>
        <w:ind w:left="493" w:hangingChars="224" w:hanging="493"/>
        <w:jc w:val="both"/>
        <w:rPr>
          <w:sz w:val="20"/>
          <w:szCs w:val="20"/>
        </w:rPr>
      </w:pPr>
      <w:r w:rsidRPr="00970766">
        <w:rPr>
          <w:rFonts w:ascii="Wingdings" w:eastAsia="Wingdings" w:hAnsi="Wingdings" w:cs="Wingdings"/>
        </w:rPr>
        <w:t></w:t>
      </w:r>
      <w:r w:rsidRPr="00970766">
        <w:rPr>
          <w:sz w:val="19"/>
          <w:szCs w:val="19"/>
          <w:bdr w:val="nil"/>
        </w:rPr>
        <w:tab/>
      </w:r>
      <w:r w:rsidRPr="00970766">
        <w:rPr>
          <w:b/>
          <w:bCs/>
          <w:sz w:val="20"/>
          <w:szCs w:val="20"/>
          <w:bdr w:val="nil"/>
        </w:rPr>
        <w:t>EFFET THÉRAPEUTIQUE NON SATISFAISANT</w:t>
      </w:r>
    </w:p>
    <w:p w14:paraId="5BBE3580" w14:textId="77777777" w:rsidR="00AA7CC4" w:rsidRPr="00970766" w:rsidRDefault="00AA7CC4" w:rsidP="00AA7CC4">
      <w:pPr>
        <w:spacing w:before="48"/>
        <w:ind w:left="460"/>
        <w:jc w:val="both"/>
        <w:rPr>
          <w:sz w:val="20"/>
          <w:szCs w:val="20"/>
          <w:bdr w:val="nil"/>
        </w:rPr>
      </w:pPr>
      <w:r w:rsidRPr="00970766">
        <w:rPr>
          <w:sz w:val="20"/>
          <w:szCs w:val="20"/>
          <w:bdr w:val="nil"/>
        </w:rPr>
        <w:t>Veuillez préciser :</w:t>
      </w:r>
    </w:p>
    <w:p w14:paraId="2B175627" w14:textId="77777777" w:rsidR="00AA7CC4" w:rsidRPr="00970766" w:rsidRDefault="00AA7CC4" w:rsidP="00AA7CC4">
      <w:pPr>
        <w:spacing w:before="48"/>
        <w:ind w:left="460"/>
        <w:jc w:val="both"/>
        <w:rPr>
          <w:sz w:val="20"/>
          <w:szCs w:val="20"/>
          <w:bdr w:val="nil"/>
        </w:rPr>
      </w:pPr>
    </w:p>
    <w:p w14:paraId="3950EA2A" w14:textId="77777777" w:rsidR="00AA7CC4" w:rsidRPr="00970766" w:rsidRDefault="00AA7CC4" w:rsidP="00AA7CC4">
      <w:pPr>
        <w:tabs>
          <w:tab w:val="left" w:pos="426"/>
        </w:tabs>
        <w:ind w:left="493" w:hangingChars="224" w:hanging="493"/>
        <w:jc w:val="both"/>
        <w:rPr>
          <w:b/>
          <w:bCs/>
          <w:sz w:val="20"/>
          <w:szCs w:val="20"/>
          <w:bdr w:val="nil"/>
        </w:rPr>
      </w:pPr>
      <w:r w:rsidRPr="00970766">
        <w:rPr>
          <w:rFonts w:ascii="Wingdings" w:eastAsia="Wingdings" w:hAnsi="Wingdings" w:cs="Wingdings"/>
        </w:rPr>
        <w:t></w:t>
      </w:r>
      <w:r w:rsidRPr="00970766">
        <w:rPr>
          <w:sz w:val="19"/>
          <w:szCs w:val="19"/>
          <w:bdr w:val="nil"/>
        </w:rPr>
        <w:tab/>
      </w:r>
      <w:r w:rsidRPr="00970766">
        <w:rPr>
          <w:b/>
          <w:bCs/>
          <w:sz w:val="20"/>
          <w:szCs w:val="20"/>
          <w:bdr w:val="nil"/>
        </w:rPr>
        <w:t xml:space="preserve">PROGRESSION DE LA MALADIE </w:t>
      </w:r>
    </w:p>
    <w:p w14:paraId="7034187C" w14:textId="77777777" w:rsidR="00AA7CC4" w:rsidRPr="00970766" w:rsidRDefault="00AA7CC4" w:rsidP="00AA7CC4">
      <w:pPr>
        <w:tabs>
          <w:tab w:val="left" w:pos="426"/>
        </w:tabs>
        <w:ind w:left="426" w:hangingChars="224" w:hanging="426"/>
        <w:jc w:val="both"/>
        <w:rPr>
          <w:sz w:val="19"/>
          <w:szCs w:val="19"/>
          <w:bdr w:val="nil"/>
        </w:rPr>
      </w:pPr>
      <w:r w:rsidRPr="00970766">
        <w:rPr>
          <w:sz w:val="19"/>
          <w:szCs w:val="19"/>
          <w:bdr w:val="nil"/>
        </w:rPr>
        <w:tab/>
        <w:t xml:space="preserve">Veuillez préciser :  </w:t>
      </w:r>
    </w:p>
    <w:p w14:paraId="199C34FA" w14:textId="77777777" w:rsidR="00AA7CC4" w:rsidRPr="00970766" w:rsidRDefault="00AA7CC4" w:rsidP="00AA7CC4">
      <w:pPr>
        <w:spacing w:line="200" w:lineRule="exact"/>
        <w:jc w:val="both"/>
        <w:rPr>
          <w:sz w:val="20"/>
          <w:szCs w:val="20"/>
        </w:rPr>
      </w:pPr>
    </w:p>
    <w:p w14:paraId="18A90BE7" w14:textId="77777777" w:rsidR="00AA7CC4" w:rsidRPr="00970766" w:rsidRDefault="00AA7CC4" w:rsidP="00AA7CC4">
      <w:pPr>
        <w:tabs>
          <w:tab w:val="left" w:pos="426"/>
        </w:tabs>
        <w:ind w:left="493" w:hangingChars="224" w:hanging="493"/>
        <w:jc w:val="both"/>
        <w:rPr>
          <w:sz w:val="20"/>
          <w:szCs w:val="20"/>
          <w:bdr w:val="nil"/>
        </w:rPr>
      </w:pPr>
      <w:r w:rsidRPr="00970766">
        <w:rPr>
          <w:rFonts w:ascii="Wingdings" w:eastAsia="Wingdings" w:hAnsi="Wingdings" w:cs="Wingdings"/>
        </w:rPr>
        <w:t></w:t>
      </w:r>
      <w:r w:rsidRPr="00970766">
        <w:rPr>
          <w:sz w:val="19"/>
          <w:szCs w:val="19"/>
          <w:bdr w:val="nil"/>
        </w:rPr>
        <w:tab/>
      </w:r>
      <w:r w:rsidRPr="00970766">
        <w:rPr>
          <w:b/>
          <w:bCs/>
          <w:sz w:val="20"/>
          <w:szCs w:val="20"/>
          <w:bdr w:val="nil"/>
        </w:rPr>
        <w:t>EFFET(s) INDÉSIRABLE(s)</w:t>
      </w:r>
      <w:r w:rsidRPr="00970766">
        <w:rPr>
          <w:sz w:val="20"/>
          <w:szCs w:val="20"/>
          <w:bdr w:val="nil"/>
        </w:rPr>
        <w:t xml:space="preserve"> ; veuillez préciser : </w:t>
      </w:r>
    </w:p>
    <w:p w14:paraId="283A4F6C" w14:textId="0667B947" w:rsidR="00AA7CC4" w:rsidRPr="00970766" w:rsidRDefault="00AA7CC4" w:rsidP="00AA7CC4">
      <w:pPr>
        <w:tabs>
          <w:tab w:val="left" w:pos="426"/>
        </w:tabs>
        <w:ind w:left="448" w:hangingChars="224" w:hanging="448"/>
        <w:jc w:val="both"/>
        <w:rPr>
          <w:sz w:val="20"/>
          <w:szCs w:val="20"/>
          <w:bdr w:val="nil"/>
        </w:rPr>
      </w:pPr>
      <w:r w:rsidRPr="00970766">
        <w:rPr>
          <w:sz w:val="20"/>
          <w:szCs w:val="20"/>
          <w:bdr w:val="nil"/>
        </w:rPr>
        <w:t>Merci de procéder à la déclaration de l’effet indés</w:t>
      </w:r>
      <w:r w:rsidR="00B05F77" w:rsidRPr="00970766">
        <w:rPr>
          <w:sz w:val="20"/>
          <w:szCs w:val="20"/>
          <w:bdr w:val="nil"/>
        </w:rPr>
        <w:t xml:space="preserve">irable (cf. modalités en </w:t>
      </w:r>
      <w:r w:rsidR="00785084">
        <w:rPr>
          <w:sz w:val="20"/>
          <w:szCs w:val="20"/>
          <w:bdr w:val="nil"/>
        </w:rPr>
        <w:t>A</w:t>
      </w:r>
      <w:r w:rsidR="00B05F77" w:rsidRPr="00970766">
        <w:rPr>
          <w:sz w:val="20"/>
          <w:szCs w:val="20"/>
          <w:bdr w:val="nil"/>
        </w:rPr>
        <w:t>nnexe 5</w:t>
      </w:r>
      <w:r w:rsidRPr="00970766">
        <w:rPr>
          <w:sz w:val="20"/>
          <w:szCs w:val="20"/>
          <w:bdr w:val="nil"/>
        </w:rPr>
        <w:t>)</w:t>
      </w:r>
    </w:p>
    <w:p w14:paraId="6005A60B" w14:textId="77777777" w:rsidR="00AA7CC4" w:rsidRPr="00970766" w:rsidRDefault="00AA7CC4" w:rsidP="00AA7CC4">
      <w:pPr>
        <w:tabs>
          <w:tab w:val="left" w:pos="426"/>
        </w:tabs>
        <w:ind w:left="448" w:hangingChars="224" w:hanging="448"/>
        <w:jc w:val="both"/>
        <w:rPr>
          <w:sz w:val="20"/>
          <w:szCs w:val="20"/>
          <w:bdr w:val="nil"/>
        </w:rPr>
      </w:pPr>
    </w:p>
    <w:p w14:paraId="53BFDC98" w14:textId="77777777" w:rsidR="00AA7CC4" w:rsidRPr="00970766" w:rsidRDefault="00AA7CC4" w:rsidP="00AA7CC4">
      <w:pPr>
        <w:spacing w:before="2" w:line="110" w:lineRule="exact"/>
        <w:jc w:val="both"/>
        <w:rPr>
          <w:sz w:val="11"/>
          <w:szCs w:val="11"/>
        </w:rPr>
      </w:pPr>
    </w:p>
    <w:p w14:paraId="027EA2F1" w14:textId="77777777" w:rsidR="00AA7CC4" w:rsidRPr="00970766" w:rsidRDefault="00AA7CC4" w:rsidP="00AA7CC4">
      <w:pPr>
        <w:tabs>
          <w:tab w:val="left" w:pos="426"/>
        </w:tabs>
        <w:ind w:left="493" w:hangingChars="224" w:hanging="493"/>
        <w:jc w:val="both"/>
        <w:rPr>
          <w:sz w:val="20"/>
          <w:szCs w:val="20"/>
        </w:rPr>
      </w:pPr>
      <w:r w:rsidRPr="00970766">
        <w:rPr>
          <w:rFonts w:ascii="Wingdings" w:eastAsia="Wingdings" w:hAnsi="Wingdings" w:cs="Wingdings"/>
        </w:rPr>
        <w:t></w:t>
      </w:r>
      <w:r w:rsidRPr="00970766">
        <w:rPr>
          <w:sz w:val="19"/>
          <w:szCs w:val="19"/>
          <w:bdr w:val="nil"/>
        </w:rPr>
        <w:tab/>
      </w:r>
      <w:r w:rsidRPr="00970766">
        <w:rPr>
          <w:b/>
          <w:bCs/>
          <w:sz w:val="20"/>
          <w:szCs w:val="20"/>
          <w:bdr w:val="nil"/>
        </w:rPr>
        <w:t>DÉCÈS</w:t>
      </w:r>
    </w:p>
    <w:p w14:paraId="4F3DA45B" w14:textId="77777777" w:rsidR="00AA7CC4" w:rsidRPr="00970766" w:rsidRDefault="00AA7CC4" w:rsidP="00AA7CC4">
      <w:pPr>
        <w:spacing w:before="48"/>
        <w:ind w:left="460"/>
        <w:jc w:val="both"/>
        <w:rPr>
          <w:sz w:val="20"/>
          <w:szCs w:val="20"/>
          <w:bdr w:val="nil"/>
        </w:rPr>
      </w:pPr>
      <w:r w:rsidRPr="00970766">
        <w:rPr>
          <w:sz w:val="20"/>
          <w:szCs w:val="20"/>
          <w:bdr w:val="nil"/>
        </w:rPr>
        <w:t>Date du décès</w:t>
      </w:r>
      <w:r w:rsidRPr="00970766">
        <w:rPr>
          <w:rFonts w:eastAsia="Calibri" w:cs="Calibri"/>
          <w:b/>
          <w:bCs/>
          <w:sz w:val="20"/>
          <w:szCs w:val="20"/>
          <w:bdr w:val="nil"/>
        </w:rPr>
        <w:t xml:space="preserve"> : </w:t>
      </w:r>
      <w:r w:rsidRPr="00970766">
        <w:rPr>
          <w:sz w:val="20"/>
          <w:szCs w:val="20"/>
          <w:bdr w:val="nil"/>
        </w:rPr>
        <w:t>(MM/AAAA) : |</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 |</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p>
    <w:p w14:paraId="0AD728BB" w14:textId="77777777" w:rsidR="00AA7CC4" w:rsidRPr="00970766" w:rsidRDefault="00AA7CC4" w:rsidP="00AA7CC4">
      <w:pPr>
        <w:spacing w:before="48"/>
        <w:ind w:left="460"/>
        <w:jc w:val="both"/>
        <w:rPr>
          <w:sz w:val="20"/>
          <w:szCs w:val="20"/>
          <w:bdr w:val="nil"/>
        </w:rPr>
      </w:pPr>
    </w:p>
    <w:p w14:paraId="7B42471A" w14:textId="77777777" w:rsidR="00AA7CC4" w:rsidRPr="00970766" w:rsidRDefault="00AA7CC4" w:rsidP="00AA7CC4">
      <w:pPr>
        <w:spacing w:before="48"/>
        <w:ind w:left="460"/>
        <w:jc w:val="both"/>
        <w:rPr>
          <w:b/>
          <w:bCs/>
          <w:sz w:val="20"/>
          <w:szCs w:val="20"/>
          <w:bdr w:val="nil"/>
        </w:rPr>
      </w:pPr>
      <w:r w:rsidRPr="00970766">
        <w:rPr>
          <w:sz w:val="20"/>
          <w:szCs w:val="20"/>
          <w:bdr w:val="nil"/>
        </w:rPr>
        <w:t>Cause du décès</w:t>
      </w:r>
      <w:r w:rsidRPr="00970766">
        <w:rPr>
          <w:b/>
          <w:bCs/>
          <w:sz w:val="20"/>
          <w:szCs w:val="20"/>
          <w:bdr w:val="nil"/>
        </w:rPr>
        <w:t> :</w:t>
      </w:r>
    </w:p>
    <w:p w14:paraId="38AEA0FD" w14:textId="7A857557" w:rsidR="00AA7CC4" w:rsidRPr="00970766" w:rsidRDefault="00AA7CC4" w:rsidP="00AA7CC4">
      <w:pPr>
        <w:spacing w:before="48"/>
        <w:ind w:left="460"/>
        <w:jc w:val="both"/>
        <w:rPr>
          <w:b/>
          <w:bCs/>
          <w:sz w:val="20"/>
          <w:szCs w:val="20"/>
          <w:bdr w:val="nil"/>
        </w:rPr>
      </w:pPr>
      <w:r w:rsidRPr="00970766">
        <w:rPr>
          <w:rFonts w:ascii="Wingdings" w:eastAsia="Wingdings" w:hAnsi="Wingdings" w:cs="Wingdings"/>
        </w:rPr>
        <w:t></w:t>
      </w:r>
      <w:r w:rsidRPr="00970766">
        <w:rPr>
          <w:rFonts w:eastAsia="Wingdings" w:cs="Wingdings"/>
          <w:sz w:val="19"/>
          <w:szCs w:val="19"/>
          <w:bdr w:val="nil"/>
        </w:rPr>
        <w:t xml:space="preserve">     </w:t>
      </w:r>
      <w:r w:rsidRPr="00970766">
        <w:rPr>
          <w:bCs/>
          <w:sz w:val="20"/>
          <w:szCs w:val="20"/>
          <w:bdr w:val="nil"/>
        </w:rPr>
        <w:t xml:space="preserve">Décès lié à un effet indésirable de </w:t>
      </w:r>
      <w:r w:rsidR="00311B1E">
        <w:rPr>
          <w:sz w:val="20"/>
          <w:szCs w:val="20"/>
          <w:bdr w:val="nil"/>
        </w:rPr>
        <w:t>BOTOX</w:t>
      </w:r>
    </w:p>
    <w:p w14:paraId="1E62DD28" w14:textId="5793C830" w:rsidR="00AA7CC4" w:rsidRPr="00970766" w:rsidRDefault="00AA7CC4" w:rsidP="00AA7CC4">
      <w:pPr>
        <w:spacing w:before="48"/>
        <w:ind w:left="460"/>
        <w:jc w:val="both"/>
        <w:rPr>
          <w:color w:val="0000FF"/>
          <w:sz w:val="20"/>
          <w:szCs w:val="20"/>
          <w:bdr w:val="nil"/>
        </w:rPr>
      </w:pPr>
      <w:r w:rsidRPr="00970766">
        <w:rPr>
          <w:sz w:val="20"/>
          <w:szCs w:val="20"/>
          <w:bdr w:val="nil"/>
        </w:rPr>
        <w:t>Si le décès est</w:t>
      </w:r>
      <w:r w:rsidR="00311B1E">
        <w:rPr>
          <w:sz w:val="20"/>
          <w:szCs w:val="20"/>
          <w:bdr w:val="nil"/>
        </w:rPr>
        <w:t xml:space="preserve"> susceptible d’être lié à BOTOX</w:t>
      </w:r>
      <w:r w:rsidRPr="00970766">
        <w:rPr>
          <w:sz w:val="20"/>
          <w:szCs w:val="20"/>
          <w:bdr w:val="nil"/>
        </w:rPr>
        <w:t>, procéder à la déclaration des effets indésirables (cf</w:t>
      </w:r>
      <w:r w:rsidR="00B05F77" w:rsidRPr="00970766">
        <w:rPr>
          <w:sz w:val="20"/>
          <w:szCs w:val="20"/>
          <w:bdr w:val="nil"/>
        </w:rPr>
        <w:t xml:space="preserve">. modalités en </w:t>
      </w:r>
      <w:r w:rsidR="00785084">
        <w:rPr>
          <w:sz w:val="20"/>
          <w:szCs w:val="20"/>
          <w:bdr w:val="nil"/>
        </w:rPr>
        <w:t>A</w:t>
      </w:r>
      <w:r w:rsidR="00B05F77" w:rsidRPr="00970766">
        <w:rPr>
          <w:sz w:val="20"/>
          <w:szCs w:val="20"/>
          <w:bdr w:val="nil"/>
        </w:rPr>
        <w:t>nnexe 5</w:t>
      </w:r>
      <w:r w:rsidRPr="00970766">
        <w:rPr>
          <w:sz w:val="20"/>
          <w:szCs w:val="20"/>
          <w:bdr w:val="nil"/>
        </w:rPr>
        <w:t>).</w:t>
      </w:r>
    </w:p>
    <w:p w14:paraId="51CB19CD" w14:textId="77777777" w:rsidR="00AA7CC4" w:rsidRPr="00970766" w:rsidRDefault="00AA7CC4" w:rsidP="00AA7CC4">
      <w:pPr>
        <w:spacing w:before="48"/>
        <w:ind w:left="460"/>
        <w:jc w:val="both"/>
        <w:rPr>
          <w:b/>
          <w:bCs/>
          <w:sz w:val="20"/>
          <w:szCs w:val="20"/>
          <w:bdr w:val="nil"/>
        </w:rPr>
      </w:pPr>
    </w:p>
    <w:p w14:paraId="77A9B83E" w14:textId="77777777" w:rsidR="00AA7CC4" w:rsidRPr="00970766" w:rsidRDefault="00AA7CC4" w:rsidP="00AA7CC4">
      <w:pPr>
        <w:spacing w:before="48"/>
        <w:ind w:left="460"/>
        <w:jc w:val="both"/>
        <w:rPr>
          <w:b/>
          <w:bCs/>
          <w:sz w:val="20"/>
          <w:szCs w:val="20"/>
          <w:bdr w:val="nil"/>
        </w:rPr>
      </w:pPr>
      <w:r w:rsidRPr="00970766">
        <w:rPr>
          <w:rFonts w:ascii="Wingdings" w:eastAsia="Wingdings" w:hAnsi="Wingdings" w:cs="Wingdings"/>
        </w:rPr>
        <w:t></w:t>
      </w:r>
      <w:r w:rsidRPr="00970766">
        <w:rPr>
          <w:rFonts w:eastAsia="Wingdings" w:cs="Wingdings"/>
          <w:sz w:val="19"/>
          <w:szCs w:val="19"/>
          <w:bdr w:val="nil"/>
        </w:rPr>
        <w:t xml:space="preserve">  Autres causes de décès :</w:t>
      </w:r>
    </w:p>
    <w:p w14:paraId="450E1C82" w14:textId="77777777" w:rsidR="00AA7CC4" w:rsidRPr="00970766" w:rsidRDefault="00AA7CC4" w:rsidP="00AA7CC4">
      <w:pPr>
        <w:spacing w:line="200" w:lineRule="exact"/>
        <w:jc w:val="both"/>
        <w:rPr>
          <w:sz w:val="20"/>
          <w:szCs w:val="20"/>
        </w:rPr>
      </w:pPr>
    </w:p>
    <w:p w14:paraId="496875FA" w14:textId="77777777" w:rsidR="00AA7CC4" w:rsidRPr="00970766" w:rsidRDefault="00AA7CC4" w:rsidP="00AA7CC4">
      <w:pPr>
        <w:tabs>
          <w:tab w:val="left" w:pos="426"/>
        </w:tabs>
        <w:ind w:left="493" w:hangingChars="224" w:hanging="493"/>
        <w:jc w:val="both"/>
        <w:rPr>
          <w:sz w:val="20"/>
          <w:szCs w:val="20"/>
        </w:rPr>
      </w:pPr>
      <w:r w:rsidRPr="00970766">
        <w:rPr>
          <w:rFonts w:ascii="Wingdings" w:eastAsia="Wingdings" w:hAnsi="Wingdings" w:cs="Wingdings"/>
        </w:rPr>
        <w:t></w:t>
      </w:r>
      <w:r w:rsidRPr="00970766">
        <w:rPr>
          <w:sz w:val="19"/>
          <w:szCs w:val="19"/>
          <w:bdr w:val="nil"/>
        </w:rPr>
        <w:t xml:space="preserve"> </w:t>
      </w:r>
      <w:r w:rsidRPr="00970766">
        <w:rPr>
          <w:sz w:val="19"/>
          <w:szCs w:val="19"/>
          <w:bdr w:val="nil"/>
        </w:rPr>
        <w:tab/>
      </w:r>
      <w:r w:rsidRPr="00970766">
        <w:rPr>
          <w:b/>
          <w:bCs/>
          <w:sz w:val="20"/>
          <w:szCs w:val="20"/>
          <w:bdr w:val="nil"/>
        </w:rPr>
        <w:t>PATIENT(E) PERDU(E) DE VUE AU SUIVI</w:t>
      </w:r>
    </w:p>
    <w:p w14:paraId="4782CDFD" w14:textId="77777777" w:rsidR="00AA7CC4" w:rsidRPr="00970766" w:rsidRDefault="00AA7CC4" w:rsidP="00AA7CC4">
      <w:pPr>
        <w:spacing w:before="48"/>
        <w:ind w:left="460"/>
        <w:jc w:val="both"/>
        <w:rPr>
          <w:sz w:val="20"/>
          <w:szCs w:val="20"/>
          <w:bdr w:val="nil"/>
        </w:rPr>
      </w:pPr>
      <w:r w:rsidRPr="00970766">
        <w:rPr>
          <w:sz w:val="20"/>
          <w:szCs w:val="20"/>
          <w:bdr w:val="nil"/>
        </w:rPr>
        <w:t>Date de la dernière visite (JJ/MM/AAAA) : |</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 |</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r w:rsidRPr="00970766">
        <w:rPr>
          <w:sz w:val="20"/>
          <w:szCs w:val="20"/>
          <w:u w:val="single"/>
          <w:bdr w:val="nil"/>
        </w:rPr>
        <w:t xml:space="preserve">  </w:t>
      </w:r>
      <w:r w:rsidRPr="00970766">
        <w:rPr>
          <w:sz w:val="20"/>
          <w:szCs w:val="20"/>
          <w:bdr w:val="nil"/>
        </w:rPr>
        <w:t>|</w:t>
      </w:r>
    </w:p>
    <w:p w14:paraId="00253868" w14:textId="77777777" w:rsidR="00AA7CC4" w:rsidRPr="00970766" w:rsidRDefault="00AA7CC4" w:rsidP="00AA7CC4">
      <w:pPr>
        <w:spacing w:before="48"/>
        <w:ind w:left="460"/>
        <w:jc w:val="both"/>
        <w:rPr>
          <w:sz w:val="20"/>
          <w:szCs w:val="20"/>
          <w:bdr w:val="nil"/>
        </w:rPr>
      </w:pPr>
    </w:p>
    <w:p w14:paraId="2EF1AAED" w14:textId="51D91CBC" w:rsidR="00AA7CC4" w:rsidRPr="00970766" w:rsidRDefault="00AA7CC4" w:rsidP="00AA7CC4">
      <w:pPr>
        <w:spacing w:before="48"/>
        <w:ind w:left="460" w:hanging="460"/>
        <w:jc w:val="both"/>
        <w:rPr>
          <w:b/>
          <w:bCs/>
          <w:sz w:val="20"/>
          <w:szCs w:val="20"/>
          <w:bdr w:val="nil"/>
        </w:rPr>
      </w:pPr>
      <w:r w:rsidRPr="00970766">
        <w:rPr>
          <w:rFonts w:ascii="Wingdings" w:eastAsia="Wingdings" w:hAnsi="Wingdings" w:cs="Wingdings"/>
        </w:rPr>
        <w:t></w:t>
      </w:r>
      <w:r w:rsidRPr="00970766">
        <w:rPr>
          <w:sz w:val="19"/>
          <w:szCs w:val="19"/>
          <w:bdr w:val="nil"/>
        </w:rPr>
        <w:tab/>
      </w:r>
      <w:r w:rsidRPr="00970766">
        <w:rPr>
          <w:b/>
          <w:bCs/>
          <w:sz w:val="20"/>
          <w:szCs w:val="20"/>
          <w:bdr w:val="nil"/>
        </w:rPr>
        <w:t>INCLUSION DANS UNE ÉTUDE CLINIQUE NE PERMETTANT PAS DE POURSUIVRE LE TRAITEMENT PAR BOTOX</w:t>
      </w:r>
    </w:p>
    <w:p w14:paraId="083701F8" w14:textId="77777777" w:rsidR="00AA7CC4" w:rsidRPr="00970766" w:rsidRDefault="00AA7CC4" w:rsidP="00AA7CC4">
      <w:pPr>
        <w:tabs>
          <w:tab w:val="left" w:pos="426"/>
        </w:tabs>
        <w:jc w:val="both"/>
        <w:rPr>
          <w:sz w:val="17"/>
          <w:szCs w:val="17"/>
        </w:rPr>
      </w:pPr>
    </w:p>
    <w:p w14:paraId="41534DFA" w14:textId="77777777" w:rsidR="00AA7CC4" w:rsidRPr="00970766" w:rsidRDefault="00AA7CC4" w:rsidP="00AA7CC4">
      <w:pPr>
        <w:tabs>
          <w:tab w:val="left" w:pos="426"/>
        </w:tabs>
        <w:ind w:left="493" w:hangingChars="224" w:hanging="493"/>
        <w:jc w:val="both"/>
        <w:rPr>
          <w:sz w:val="20"/>
          <w:szCs w:val="20"/>
        </w:rPr>
      </w:pPr>
      <w:r w:rsidRPr="00970766">
        <w:rPr>
          <w:rFonts w:ascii="Wingdings" w:eastAsia="Wingdings" w:hAnsi="Wingdings" w:cs="Wingdings"/>
        </w:rPr>
        <w:t></w:t>
      </w:r>
      <w:r w:rsidRPr="00970766">
        <w:rPr>
          <w:sz w:val="19"/>
          <w:szCs w:val="19"/>
          <w:bdr w:val="nil"/>
        </w:rPr>
        <w:tab/>
      </w:r>
      <w:r w:rsidRPr="00970766">
        <w:rPr>
          <w:b/>
          <w:bCs/>
          <w:sz w:val="20"/>
          <w:szCs w:val="20"/>
          <w:bdr w:val="nil"/>
        </w:rPr>
        <w:t>AUTRE RAISON</w:t>
      </w:r>
    </w:p>
    <w:p w14:paraId="33E34337" w14:textId="77777777" w:rsidR="00AA7CC4" w:rsidRPr="00970766" w:rsidRDefault="00AA7CC4" w:rsidP="00AA7CC4">
      <w:pPr>
        <w:spacing w:before="48"/>
        <w:ind w:left="460"/>
        <w:jc w:val="both"/>
        <w:rPr>
          <w:sz w:val="20"/>
          <w:szCs w:val="20"/>
          <w:bdr w:val="nil"/>
        </w:rPr>
      </w:pPr>
      <w:r w:rsidRPr="00970766">
        <w:rPr>
          <w:sz w:val="20"/>
          <w:szCs w:val="20"/>
          <w:bdr w:val="nil"/>
        </w:rPr>
        <w:t>Veuillez préciser :</w:t>
      </w:r>
    </w:p>
    <w:p w14:paraId="30967531" w14:textId="77777777" w:rsidR="00AA7CC4" w:rsidRPr="00970766" w:rsidRDefault="00AA7CC4" w:rsidP="00AA7CC4">
      <w:pPr>
        <w:spacing w:before="48"/>
        <w:ind w:left="460"/>
        <w:jc w:val="both"/>
        <w:rPr>
          <w:sz w:val="20"/>
          <w:szCs w:val="20"/>
          <w:bdr w:val="nil"/>
        </w:rPr>
      </w:pPr>
    </w:p>
    <w:p w14:paraId="171A94F9" w14:textId="77777777" w:rsidR="00AA7CC4" w:rsidRPr="00970766" w:rsidRDefault="00AA7CC4" w:rsidP="00AA7CC4">
      <w:pPr>
        <w:rPr>
          <w:rStyle w:val="lev"/>
        </w:rPr>
      </w:pPr>
    </w:p>
    <w:tbl>
      <w:tblPr>
        <w:tblW w:w="0" w:type="auto"/>
        <w:tblBorders>
          <w:top w:val="single" w:sz="18" w:space="0" w:color="auto"/>
          <w:left w:val="single" w:sz="18" w:space="0" w:color="auto"/>
          <w:bottom w:val="single" w:sz="18" w:space="0" w:color="auto"/>
          <w:right w:val="single" w:sz="18" w:space="0" w:color="auto"/>
        </w:tblBorders>
        <w:tblCellMar>
          <w:top w:w="28" w:type="dxa"/>
          <w:left w:w="28" w:type="dxa"/>
          <w:bottom w:w="28" w:type="dxa"/>
          <w:right w:w="28" w:type="dxa"/>
        </w:tblCellMar>
        <w:tblLook w:val="04A0" w:firstRow="1" w:lastRow="0" w:firstColumn="1" w:lastColumn="0" w:noHBand="0" w:noVBand="1"/>
      </w:tblPr>
      <w:tblGrid>
        <w:gridCol w:w="5041"/>
        <w:gridCol w:w="3985"/>
      </w:tblGrid>
      <w:tr w:rsidR="00AA7CC4" w:rsidRPr="00970766" w14:paraId="00B5DC57" w14:textId="77777777" w:rsidTr="00EC7346">
        <w:tc>
          <w:tcPr>
            <w:tcW w:w="5041" w:type="dxa"/>
          </w:tcPr>
          <w:p w14:paraId="71D1C276" w14:textId="77777777" w:rsidR="00AA7CC4" w:rsidRPr="00970766" w:rsidRDefault="00AA7CC4" w:rsidP="00EC7346">
            <w:pPr>
              <w:jc w:val="both"/>
              <w:rPr>
                <w:b/>
                <w:bCs/>
                <w:sz w:val="20"/>
                <w:szCs w:val="20"/>
                <w:bdr w:val="nil"/>
              </w:rPr>
            </w:pPr>
            <w:r w:rsidRPr="00970766">
              <w:rPr>
                <w:b/>
                <w:bCs/>
                <w:sz w:val="20"/>
                <w:szCs w:val="20"/>
                <w:bdr w:val="nil"/>
              </w:rPr>
              <w:t>Médecin prescripteur :</w:t>
            </w:r>
          </w:p>
          <w:p w14:paraId="5DBAD63C" w14:textId="77777777" w:rsidR="00AA7CC4" w:rsidRDefault="00AA7CC4" w:rsidP="00EC7346">
            <w:pPr>
              <w:jc w:val="both"/>
              <w:rPr>
                <w:b/>
                <w:bCs/>
                <w:sz w:val="20"/>
                <w:szCs w:val="20"/>
              </w:rPr>
            </w:pPr>
          </w:p>
          <w:p w14:paraId="171E16F1" w14:textId="2CC82203" w:rsidR="00B14435" w:rsidRPr="00970766" w:rsidRDefault="00B14435" w:rsidP="00EC7346">
            <w:pPr>
              <w:jc w:val="both"/>
              <w:rPr>
                <w:b/>
                <w:bCs/>
                <w:sz w:val="20"/>
                <w:szCs w:val="20"/>
              </w:rPr>
            </w:pPr>
            <w:r>
              <w:rPr>
                <w:b/>
                <w:bCs/>
                <w:sz w:val="20"/>
                <w:szCs w:val="20"/>
              </w:rPr>
              <w:t>N</w:t>
            </w:r>
            <w:r w:rsidRPr="00740BAC">
              <w:rPr>
                <w:b/>
                <w:bCs/>
                <w:sz w:val="20"/>
                <w:szCs w:val="20"/>
              </w:rPr>
              <w:t>° RPPS</w:t>
            </w:r>
            <w:r>
              <w:rPr>
                <w:b/>
                <w:bCs/>
                <w:sz w:val="20"/>
                <w:szCs w:val="20"/>
              </w:rPr>
              <w:t> :</w:t>
            </w:r>
          </w:p>
        </w:tc>
        <w:tc>
          <w:tcPr>
            <w:tcW w:w="3985" w:type="dxa"/>
          </w:tcPr>
          <w:p w14:paraId="7862C894" w14:textId="77777777" w:rsidR="00AA7CC4" w:rsidRPr="00970766" w:rsidRDefault="00AA7CC4" w:rsidP="00EC7346">
            <w:pPr>
              <w:jc w:val="both"/>
              <w:rPr>
                <w:sz w:val="20"/>
                <w:szCs w:val="20"/>
              </w:rPr>
            </w:pPr>
            <w:r w:rsidRPr="00970766">
              <w:rPr>
                <w:b/>
                <w:bCs/>
                <w:sz w:val="20"/>
                <w:szCs w:val="20"/>
                <w:bdr w:val="nil"/>
              </w:rPr>
              <w:t xml:space="preserve">JJ/MM/AAAA : </w:t>
            </w:r>
            <w:r w:rsidRPr="00970766">
              <w:rPr>
                <w:bCs/>
                <w:sz w:val="20"/>
                <w:szCs w:val="20"/>
                <w:bdr w:val="nil"/>
              </w:rPr>
              <w:t>|</w:t>
            </w:r>
            <w:r w:rsidRPr="00970766">
              <w:rPr>
                <w:bCs/>
                <w:sz w:val="20"/>
                <w:szCs w:val="20"/>
                <w:u w:val="single"/>
                <w:bdr w:val="nil"/>
              </w:rPr>
              <w:t xml:space="preserve">  </w:t>
            </w:r>
            <w:r w:rsidRPr="00970766">
              <w:rPr>
                <w:bCs/>
                <w:sz w:val="20"/>
                <w:szCs w:val="20"/>
                <w:bdr w:val="nil"/>
              </w:rPr>
              <w:t>||</w:t>
            </w:r>
            <w:r w:rsidRPr="00970766">
              <w:rPr>
                <w:bCs/>
                <w:sz w:val="20"/>
                <w:szCs w:val="20"/>
                <w:u w:val="single"/>
                <w:bdr w:val="nil"/>
              </w:rPr>
              <w:t xml:space="preserve">  </w:t>
            </w:r>
            <w:r w:rsidRPr="00970766">
              <w:rPr>
                <w:bCs/>
                <w:sz w:val="20"/>
                <w:szCs w:val="20"/>
                <w:bdr w:val="nil"/>
              </w:rPr>
              <w:t>|/|</w:t>
            </w:r>
            <w:r w:rsidRPr="00970766">
              <w:rPr>
                <w:bCs/>
                <w:sz w:val="20"/>
                <w:szCs w:val="20"/>
                <w:u w:val="single"/>
                <w:bdr w:val="nil"/>
              </w:rPr>
              <w:t xml:space="preserve">  </w:t>
            </w:r>
            <w:r w:rsidRPr="00970766">
              <w:rPr>
                <w:bCs/>
                <w:sz w:val="20"/>
                <w:szCs w:val="20"/>
                <w:bdr w:val="nil"/>
              </w:rPr>
              <w:t>||</w:t>
            </w:r>
            <w:r w:rsidRPr="00970766">
              <w:rPr>
                <w:bCs/>
                <w:sz w:val="20"/>
                <w:szCs w:val="20"/>
                <w:u w:val="single"/>
                <w:bdr w:val="nil"/>
              </w:rPr>
              <w:t xml:space="preserve">  </w:t>
            </w:r>
            <w:r w:rsidRPr="00970766">
              <w:rPr>
                <w:bCs/>
                <w:sz w:val="20"/>
                <w:szCs w:val="20"/>
                <w:bdr w:val="nil"/>
              </w:rPr>
              <w:t>|/ |</w:t>
            </w:r>
            <w:r w:rsidRPr="00970766">
              <w:rPr>
                <w:bCs/>
                <w:sz w:val="20"/>
                <w:szCs w:val="20"/>
                <w:u w:val="single"/>
                <w:bdr w:val="nil"/>
              </w:rPr>
              <w:t xml:space="preserve">  </w:t>
            </w:r>
            <w:r w:rsidRPr="00970766">
              <w:rPr>
                <w:bCs/>
                <w:sz w:val="20"/>
                <w:szCs w:val="20"/>
                <w:bdr w:val="nil"/>
              </w:rPr>
              <w:t>||</w:t>
            </w:r>
            <w:r w:rsidRPr="00970766">
              <w:rPr>
                <w:bCs/>
                <w:sz w:val="20"/>
                <w:szCs w:val="20"/>
                <w:u w:val="single"/>
                <w:bdr w:val="nil"/>
              </w:rPr>
              <w:t xml:space="preserve">  </w:t>
            </w:r>
            <w:r w:rsidRPr="00970766">
              <w:rPr>
                <w:bCs/>
                <w:sz w:val="20"/>
                <w:szCs w:val="20"/>
                <w:bdr w:val="nil"/>
              </w:rPr>
              <w:t>||</w:t>
            </w:r>
            <w:r w:rsidRPr="00970766">
              <w:rPr>
                <w:bCs/>
                <w:sz w:val="20"/>
                <w:szCs w:val="20"/>
                <w:u w:val="single"/>
                <w:bdr w:val="nil"/>
              </w:rPr>
              <w:t xml:space="preserve">  </w:t>
            </w:r>
            <w:r w:rsidRPr="00970766">
              <w:rPr>
                <w:bCs/>
                <w:sz w:val="20"/>
                <w:szCs w:val="20"/>
                <w:bdr w:val="nil"/>
              </w:rPr>
              <w:t>||</w:t>
            </w:r>
            <w:r w:rsidRPr="00970766">
              <w:rPr>
                <w:bCs/>
                <w:sz w:val="20"/>
                <w:szCs w:val="20"/>
                <w:u w:val="single"/>
                <w:bdr w:val="nil"/>
              </w:rPr>
              <w:t xml:space="preserve">  </w:t>
            </w:r>
            <w:r w:rsidRPr="00970766">
              <w:rPr>
                <w:bCs/>
                <w:sz w:val="20"/>
                <w:szCs w:val="20"/>
                <w:bdr w:val="nil"/>
              </w:rPr>
              <w:t>|</w:t>
            </w:r>
          </w:p>
        </w:tc>
      </w:tr>
      <w:tr w:rsidR="00AA7CC4" w:rsidRPr="00970766" w14:paraId="7CA2D624" w14:textId="77777777" w:rsidTr="00EC7346">
        <w:tc>
          <w:tcPr>
            <w:tcW w:w="5041" w:type="dxa"/>
          </w:tcPr>
          <w:p w14:paraId="5BD2B1C6" w14:textId="77777777" w:rsidR="00AA7CC4" w:rsidRPr="00970766" w:rsidRDefault="00AA7CC4" w:rsidP="00EC7346">
            <w:pPr>
              <w:spacing w:beforeLines="50" w:before="120"/>
              <w:jc w:val="both"/>
              <w:rPr>
                <w:b/>
                <w:bCs/>
                <w:sz w:val="20"/>
                <w:szCs w:val="20"/>
              </w:rPr>
            </w:pPr>
            <w:r w:rsidRPr="00970766">
              <w:rPr>
                <w:b/>
                <w:bCs/>
                <w:sz w:val="20"/>
                <w:szCs w:val="20"/>
                <w:bdr w:val="nil"/>
              </w:rPr>
              <w:t>Hôpital (nom, adresse, service):</w:t>
            </w:r>
          </w:p>
        </w:tc>
        <w:tc>
          <w:tcPr>
            <w:tcW w:w="3985" w:type="dxa"/>
          </w:tcPr>
          <w:p w14:paraId="3CFACD4D" w14:textId="77777777" w:rsidR="00AA7CC4" w:rsidRPr="00970766" w:rsidRDefault="00AA7CC4" w:rsidP="00EC7346">
            <w:pPr>
              <w:spacing w:beforeLines="50" w:before="120"/>
              <w:jc w:val="both"/>
              <w:rPr>
                <w:rFonts w:eastAsiaTheme="minorEastAsia"/>
                <w:b/>
                <w:bCs/>
                <w:sz w:val="20"/>
                <w:szCs w:val="20"/>
              </w:rPr>
            </w:pPr>
            <w:r w:rsidRPr="00970766">
              <w:rPr>
                <w:b/>
                <w:bCs/>
                <w:sz w:val="20"/>
                <w:szCs w:val="20"/>
                <w:bdr w:val="nil"/>
              </w:rPr>
              <w:t xml:space="preserve">Signature du médecin prescripteur : </w:t>
            </w:r>
          </w:p>
        </w:tc>
      </w:tr>
      <w:tr w:rsidR="00AA7CC4" w:rsidRPr="00970766" w14:paraId="0A7DCE90" w14:textId="77777777" w:rsidTr="00EC7346">
        <w:tc>
          <w:tcPr>
            <w:tcW w:w="5041" w:type="dxa"/>
          </w:tcPr>
          <w:p w14:paraId="0DFE14BF" w14:textId="77777777" w:rsidR="00AA7CC4" w:rsidRPr="00970766" w:rsidRDefault="00AA7CC4" w:rsidP="00EC7346">
            <w:pPr>
              <w:spacing w:beforeLines="50" w:before="120"/>
              <w:jc w:val="both"/>
              <w:rPr>
                <w:sz w:val="20"/>
                <w:szCs w:val="20"/>
              </w:rPr>
            </w:pPr>
          </w:p>
          <w:p w14:paraId="676EABFD" w14:textId="77777777" w:rsidR="00AA7CC4" w:rsidRPr="00970766" w:rsidRDefault="00AA7CC4" w:rsidP="00EC7346">
            <w:pPr>
              <w:spacing w:beforeLines="50" w:before="120"/>
              <w:jc w:val="both"/>
              <w:rPr>
                <w:sz w:val="20"/>
                <w:szCs w:val="20"/>
              </w:rPr>
            </w:pPr>
          </w:p>
        </w:tc>
        <w:tc>
          <w:tcPr>
            <w:tcW w:w="3985" w:type="dxa"/>
          </w:tcPr>
          <w:p w14:paraId="1BC9097D" w14:textId="77777777" w:rsidR="00AA7CC4" w:rsidRPr="00970766" w:rsidRDefault="00AA7CC4" w:rsidP="00EC7346">
            <w:pPr>
              <w:spacing w:beforeLines="50" w:before="120"/>
              <w:jc w:val="both"/>
              <w:rPr>
                <w:sz w:val="20"/>
                <w:szCs w:val="20"/>
              </w:rPr>
            </w:pPr>
          </w:p>
        </w:tc>
      </w:tr>
      <w:tr w:rsidR="00AA7CC4" w:rsidRPr="00970766" w14:paraId="31DFFF63" w14:textId="77777777" w:rsidTr="00EC7346">
        <w:trPr>
          <w:trHeight w:val="754"/>
        </w:trPr>
        <w:tc>
          <w:tcPr>
            <w:tcW w:w="5041" w:type="dxa"/>
          </w:tcPr>
          <w:p w14:paraId="176A2F19" w14:textId="77777777" w:rsidR="00AA7CC4" w:rsidRPr="00970766" w:rsidRDefault="00AA7CC4" w:rsidP="00EC7346">
            <w:pPr>
              <w:spacing w:beforeLines="50" w:before="120"/>
              <w:jc w:val="both"/>
            </w:pPr>
            <w:r w:rsidRPr="00970766">
              <w:rPr>
                <w:b/>
                <w:bCs/>
                <w:sz w:val="20"/>
                <w:szCs w:val="20"/>
                <w:bdr w:val="nil"/>
              </w:rPr>
              <w:t>Courriel :</w:t>
            </w:r>
          </w:p>
          <w:p w14:paraId="5F9DA22E" w14:textId="77777777" w:rsidR="00AA7CC4" w:rsidRPr="00970766" w:rsidRDefault="00AA7CC4" w:rsidP="00EC7346">
            <w:pPr>
              <w:spacing w:beforeLines="50" w:before="120"/>
              <w:jc w:val="both"/>
              <w:rPr>
                <w:b/>
                <w:bCs/>
                <w:sz w:val="20"/>
                <w:szCs w:val="20"/>
              </w:rPr>
            </w:pPr>
            <w:r w:rsidRPr="00970766">
              <w:t xml:space="preserve">Tel : </w:t>
            </w:r>
          </w:p>
        </w:tc>
        <w:tc>
          <w:tcPr>
            <w:tcW w:w="3985" w:type="dxa"/>
          </w:tcPr>
          <w:p w14:paraId="3D639F38" w14:textId="77777777" w:rsidR="00AA7CC4" w:rsidRPr="00970766" w:rsidRDefault="00AA7CC4" w:rsidP="00EC7346">
            <w:pPr>
              <w:spacing w:beforeLines="50" w:before="120"/>
              <w:jc w:val="both"/>
              <w:rPr>
                <w:b/>
                <w:bCs/>
                <w:sz w:val="20"/>
                <w:szCs w:val="20"/>
              </w:rPr>
            </w:pPr>
          </w:p>
        </w:tc>
      </w:tr>
    </w:tbl>
    <w:p w14:paraId="3FEB83E4" w14:textId="0174F3AD" w:rsidR="00242305" w:rsidRDefault="00242305" w:rsidP="00242305">
      <w:pPr>
        <w:pStyle w:val="NormalWeb"/>
        <w:jc w:val="both"/>
        <w:rPr>
          <w:sz w:val="16"/>
          <w:szCs w:val="16"/>
          <w:lang w:val="fr-FR"/>
        </w:rPr>
      </w:pPr>
      <w:r w:rsidRPr="009936CF">
        <w:rPr>
          <w:sz w:val="16"/>
          <w:szCs w:val="16"/>
          <w:lang w:val="fr-FR"/>
        </w:rPr>
        <w:t>AbbVie</w:t>
      </w:r>
      <w:r w:rsidRPr="00EE2B5B">
        <w:rPr>
          <w:sz w:val="16"/>
          <w:szCs w:val="16"/>
          <w:lang w:val="fr-FR"/>
        </w:rPr>
        <w:t xml:space="preserve">, situé 10 rue d’Arcueil 94150 Rungis, </w:t>
      </w:r>
      <w:r w:rsidRPr="009936CF">
        <w:rPr>
          <w:sz w:val="16"/>
          <w:szCs w:val="16"/>
          <w:lang w:val="fr-FR"/>
        </w:rPr>
        <w:t xml:space="preserve"> est responsable du traitement des données à caractère personnel mis en œuvre dans le contexte d’un cadre de prescription compassio</w:t>
      </w:r>
      <w:r w:rsidR="00311B1E">
        <w:rPr>
          <w:sz w:val="16"/>
          <w:szCs w:val="16"/>
          <w:lang w:val="fr-FR"/>
        </w:rPr>
        <w:t>nnelle pour le médicament BOTOX</w:t>
      </w:r>
      <w:r w:rsidRPr="009936CF">
        <w:rPr>
          <w:sz w:val="16"/>
          <w:szCs w:val="16"/>
          <w:lang w:val="fr-FR"/>
        </w:rPr>
        <w:t xml:space="preserve"> 50, 100, 200 UNITÉS ALLERGAN. Le traitement de vos données à caractère personnel est ainsi nécessaire pour permettre à AbbVie :</w:t>
      </w:r>
    </w:p>
    <w:p w14:paraId="492F9705" w14:textId="77777777" w:rsidR="00242305" w:rsidRDefault="00242305" w:rsidP="00242305">
      <w:pPr>
        <w:pStyle w:val="NormalWeb"/>
        <w:jc w:val="both"/>
        <w:rPr>
          <w:sz w:val="16"/>
          <w:szCs w:val="16"/>
          <w:lang w:val="fr-FR"/>
        </w:rPr>
      </w:pPr>
    </w:p>
    <w:p w14:paraId="41C188D0" w14:textId="7B4981C6" w:rsidR="00242305" w:rsidRDefault="00242305" w:rsidP="00242305">
      <w:pPr>
        <w:pStyle w:val="NormalWeb"/>
        <w:numPr>
          <w:ilvl w:val="0"/>
          <w:numId w:val="28"/>
        </w:numPr>
        <w:jc w:val="both"/>
        <w:rPr>
          <w:sz w:val="16"/>
          <w:szCs w:val="16"/>
          <w:lang w:val="fr-FR"/>
        </w:rPr>
      </w:pPr>
      <w:r w:rsidRPr="000C2309">
        <w:rPr>
          <w:sz w:val="16"/>
          <w:szCs w:val="16"/>
          <w:lang w:val="fr-FR"/>
        </w:rPr>
        <w:t xml:space="preserve">D’assurer le suivi de la collecte des données à caractère personnel des patients en vue de garantir une </w:t>
      </w:r>
      <w:r w:rsidR="00311B1E">
        <w:rPr>
          <w:sz w:val="16"/>
          <w:szCs w:val="16"/>
          <w:lang w:val="fr-FR"/>
        </w:rPr>
        <w:t>utilisation du médicament BOTOX</w:t>
      </w:r>
      <w:r w:rsidRPr="000C2309">
        <w:rPr>
          <w:sz w:val="16"/>
          <w:szCs w:val="16"/>
          <w:lang w:val="fr-FR"/>
        </w:rPr>
        <w:t xml:space="preserve"> 50, 100, 200 UNITÉS ALLERGAN conforme au protocole d’utilisation thérapeutique</w:t>
      </w:r>
    </w:p>
    <w:p w14:paraId="38AA5FEA" w14:textId="77777777" w:rsidR="00242305" w:rsidRDefault="00242305" w:rsidP="00242305">
      <w:pPr>
        <w:pStyle w:val="NormalWeb"/>
        <w:numPr>
          <w:ilvl w:val="0"/>
          <w:numId w:val="28"/>
        </w:numPr>
        <w:jc w:val="both"/>
        <w:rPr>
          <w:sz w:val="16"/>
          <w:szCs w:val="16"/>
          <w:lang w:val="fr-FR"/>
        </w:rPr>
      </w:pPr>
      <w:r w:rsidRPr="000C2309">
        <w:rPr>
          <w:sz w:val="16"/>
          <w:szCs w:val="16"/>
          <w:lang w:val="fr-FR"/>
        </w:rPr>
        <w:t>De recueillir des informations sur les conditions d’utilisation du médicament sous cadre de prescription compassionnelle</w:t>
      </w:r>
    </w:p>
    <w:p w14:paraId="7B2E715D" w14:textId="77777777" w:rsidR="00242305" w:rsidRPr="0038685B" w:rsidRDefault="00242305" w:rsidP="00242305">
      <w:pPr>
        <w:pStyle w:val="NormalWeb"/>
        <w:numPr>
          <w:ilvl w:val="0"/>
          <w:numId w:val="28"/>
        </w:numPr>
        <w:jc w:val="both"/>
        <w:rPr>
          <w:sz w:val="16"/>
          <w:szCs w:val="16"/>
          <w:lang w:val="fr-FR"/>
        </w:rPr>
      </w:pPr>
      <w:r w:rsidRPr="000C2309">
        <w:rPr>
          <w:sz w:val="16"/>
          <w:szCs w:val="16"/>
          <w:lang w:val="fr-FR"/>
        </w:rPr>
        <w:t>D’assurer légitimement la gestion des contacts avec les médecins prescripteurs et les pharmaciens dispensateurs de ces médicaments.</w:t>
      </w:r>
    </w:p>
    <w:p w14:paraId="3FC0096D" w14:textId="4E047D4B" w:rsidR="00242305" w:rsidRPr="00B469AB" w:rsidRDefault="00242305" w:rsidP="00242305">
      <w:pPr>
        <w:tabs>
          <w:tab w:val="left" w:pos="1400"/>
        </w:tabs>
        <w:spacing w:before="163" w:line="250" w:lineRule="auto"/>
        <w:ind w:right="845"/>
        <w:jc w:val="both"/>
        <w:rPr>
          <w:rFonts w:ascii="Imago" w:eastAsia="Times New Roman" w:hAnsi="Imago" w:cs="Times New Roman"/>
          <w:sz w:val="16"/>
          <w:szCs w:val="16"/>
        </w:rPr>
      </w:pPr>
      <w:r w:rsidRPr="00B469AB">
        <w:rPr>
          <w:rFonts w:ascii="Imago" w:eastAsia="Times New Roman" w:hAnsi="Imago" w:cs="Times New Roman"/>
          <w:sz w:val="16"/>
          <w:szCs w:val="16"/>
        </w:rPr>
        <w:t xml:space="preserve">Vos données sont conservées dans la limite d’un an suivant l’approbation par l’ANSM du résumé du dernier rapport de synthèse puis archivées jusqu’à 70 ans maximum à compter de l’expiration de la décision de l’ANSM ou de la date de décision de l’ANSM prononçant la suspension ou le retrait du cadre de prescription compassionnelle. Vos données seront ensuite supprimées ou anonymisées. AbbVie peut également produire des statistiques dans le cadre de ses activités et des services qu’elle met en œuvre après l’anonymisation de vos données ne permettant plus de vous identifier. Les destinataires de vos données sont AbbVie, les sous-traitants d’AbbVie présentant des garanties suffisantes au titre de la mise en œuvre de mesures techniques et organisationnelles appropriées, en particulier en termes de confidentialité et de sécurité et la maison mère d’AbbVie, AbbVie Inc (situés aux Etats-Unis d’Amérique), intervenant dans la mise en œuvre du cadre de prescription compassionnelle. Vos données sont également destinées aux organismes publics communautaires, nationaux ou locaux en charge de la surveillance des médicaments sous cadre de prescription compassionnelle. Le transfert de vos données vers la maison mère d’AbbVie, AbbVie Inc (Etats-Unis d’Amérique) est encadré par les clauses contractuelles types garantissant un niveau de protection suffisant des données personnelles. En cas de transfert subséquent vers des pays ne disposant pas de réglementation protectrice des données personnelles AbbVie s'assurera contractuellement que les données continueront à bénéficier d'une protection adéquate. Vous avez la possibilité de vous procurer une copie des clauses contractuelles types encadrant le transfert des données en vous adressant à </w:t>
      </w:r>
      <w:hyperlink r:id="rId49" w:history="1">
        <w:r w:rsidRPr="00DD11B4">
          <w:rPr>
            <w:rStyle w:val="Lienhypertexte"/>
            <w:rFonts w:ascii="Imago" w:eastAsia="Times New Roman" w:hAnsi="Imago" w:cs="Times New Roman"/>
            <w:sz w:val="16"/>
            <w:szCs w:val="16"/>
          </w:rPr>
          <w:t>privacyoffice@abbvie.com</w:t>
        </w:r>
      </w:hyperlink>
      <w:r w:rsidRPr="00B469AB">
        <w:rPr>
          <w:rFonts w:ascii="Imago" w:eastAsia="Times New Roman" w:hAnsi="Imago" w:cs="Times New Roman"/>
          <w:sz w:val="16"/>
          <w:szCs w:val="16"/>
        </w:rPr>
        <w:t xml:space="preserve">. Vous êtes informé qu’en aucun cas vos données ne seront communiquées à des tiers non autorisés et en particulier vos données ne feront en aucun cas l’objet de commercialisation. Conformément à la réglementation, vous bénéficiez d’un droit d’accès, de rectification, de limitation du traitement de vos données, du droit d’introduire une réclamation auprès de la CNIL et du droit de définir des directives particulières relatives au sort de vos données après votre décès. Le droit d’opposition au traitement de vos données personnelles, le droit à l’effacement de vos données personnelles et le droit à la portabilité ne sont pas applicables à ce traitement. Vous pouvez exercer vos droits en vous adressant à : </w:t>
      </w:r>
      <w:hyperlink r:id="rId50" w:history="1">
        <w:r w:rsidRPr="00DD11B4">
          <w:rPr>
            <w:rStyle w:val="Lienhypertexte"/>
            <w:rFonts w:ascii="Imago" w:eastAsia="Times New Roman" w:hAnsi="Imago" w:cs="Times New Roman"/>
            <w:sz w:val="16"/>
            <w:szCs w:val="16"/>
          </w:rPr>
          <w:t>privacyoffice@abbvie.com</w:t>
        </w:r>
      </w:hyperlink>
      <w:r>
        <w:rPr>
          <w:rFonts w:ascii="Imago" w:eastAsia="Times New Roman" w:hAnsi="Imago" w:cs="Times New Roman"/>
          <w:sz w:val="16"/>
          <w:szCs w:val="16"/>
        </w:rPr>
        <w:t xml:space="preserve">  </w:t>
      </w:r>
      <w:r w:rsidRPr="00B469AB">
        <w:rPr>
          <w:rFonts w:ascii="Imago" w:eastAsia="Times New Roman" w:hAnsi="Imago" w:cs="Times New Roman"/>
          <w:sz w:val="16"/>
          <w:szCs w:val="16"/>
        </w:rPr>
        <w:t xml:space="preserve"> ou en remplissant le formulaire accessible via le lien </w:t>
      </w:r>
      <w:hyperlink r:id="rId51" w:history="1">
        <w:r w:rsidRPr="00DD11B4">
          <w:rPr>
            <w:rStyle w:val="Lienhypertexte"/>
            <w:rFonts w:ascii="Imago" w:eastAsia="Times New Roman" w:hAnsi="Imago" w:cs="Times New Roman"/>
            <w:sz w:val="16"/>
            <w:szCs w:val="16"/>
          </w:rPr>
          <w:t>https://abbviemetadata.my.site.com/AbbvieDSRM/s/?language=en_US</w:t>
        </w:r>
      </w:hyperlink>
      <w:r>
        <w:rPr>
          <w:rFonts w:ascii="Imago" w:eastAsia="Times New Roman" w:hAnsi="Imago" w:cs="Times New Roman"/>
          <w:sz w:val="16"/>
          <w:szCs w:val="16"/>
        </w:rPr>
        <w:t xml:space="preserve"> </w:t>
      </w:r>
      <w:r w:rsidRPr="00B469AB">
        <w:rPr>
          <w:rFonts w:ascii="Imago" w:eastAsia="Times New Roman" w:hAnsi="Imago" w:cs="Times New Roman"/>
          <w:sz w:val="16"/>
          <w:szCs w:val="16"/>
        </w:rPr>
        <w:t xml:space="preserve">ou envoyer un email à </w:t>
      </w:r>
      <w:hyperlink r:id="rId52" w:history="1">
        <w:r w:rsidRPr="00DD11B4">
          <w:rPr>
            <w:rStyle w:val="Lienhypertexte"/>
            <w:rFonts w:ascii="Imago" w:eastAsia="Times New Roman" w:hAnsi="Imago" w:cs="Times New Roman"/>
            <w:sz w:val="16"/>
            <w:szCs w:val="16"/>
          </w:rPr>
          <w:t>privacydsr@abbvie.com</w:t>
        </w:r>
      </w:hyperlink>
      <w:r w:rsidRPr="00B469AB">
        <w:rPr>
          <w:rFonts w:ascii="Imago" w:eastAsia="Times New Roman" w:hAnsi="Imago" w:cs="Times New Roman"/>
          <w:sz w:val="16"/>
          <w:szCs w:val="16"/>
        </w:rPr>
        <w:t xml:space="preserve">. Vous pouvez contacter le délégué à la protection des données d’AbbVie aux coordonnées suivantes par email à l’adresse </w:t>
      </w:r>
      <w:hyperlink r:id="rId53" w:history="1">
        <w:r w:rsidRPr="00DD11B4">
          <w:rPr>
            <w:rStyle w:val="Lienhypertexte"/>
            <w:rFonts w:ascii="Imago" w:eastAsia="Times New Roman" w:hAnsi="Imago" w:cs="Times New Roman"/>
            <w:sz w:val="16"/>
            <w:szCs w:val="16"/>
          </w:rPr>
          <w:t>privacyoffice@abbvie.com</w:t>
        </w:r>
      </w:hyperlink>
      <w:r>
        <w:rPr>
          <w:rFonts w:ascii="Imago" w:eastAsia="Times New Roman" w:hAnsi="Imago" w:cs="Times New Roman"/>
          <w:sz w:val="16"/>
          <w:szCs w:val="16"/>
        </w:rPr>
        <w:t xml:space="preserve"> </w:t>
      </w:r>
      <w:r w:rsidRPr="00B469AB">
        <w:rPr>
          <w:rFonts w:ascii="Imago" w:eastAsia="Times New Roman" w:hAnsi="Imago" w:cs="Times New Roman"/>
          <w:sz w:val="16"/>
          <w:szCs w:val="16"/>
        </w:rPr>
        <w:t xml:space="preserve">ou par courrier : AbbVie Customer Service Attn: Privacy Department 36M 1 N. Waukegan Road North Chicago, IL 60064-6163. Pour toute information complémentaire, nous vous invitons à consulter notre Politique de confidentialité </w:t>
      </w:r>
      <w:hyperlink r:id="rId54" w:history="1">
        <w:r w:rsidRPr="00DD11B4">
          <w:rPr>
            <w:rStyle w:val="Lienhypertexte"/>
            <w:rFonts w:ascii="Imago" w:eastAsia="Times New Roman" w:hAnsi="Imago" w:cs="Times New Roman"/>
            <w:sz w:val="16"/>
            <w:szCs w:val="16"/>
          </w:rPr>
          <w:t>http://www.abbvie.fr/privacy/home.html</w:t>
        </w:r>
      </w:hyperlink>
      <w:r>
        <w:rPr>
          <w:rFonts w:ascii="Imago" w:eastAsia="Times New Roman" w:hAnsi="Imago" w:cs="Times New Roman"/>
          <w:sz w:val="16"/>
          <w:szCs w:val="16"/>
        </w:rPr>
        <w:t xml:space="preserve">. </w:t>
      </w:r>
    </w:p>
    <w:p w14:paraId="79553CD9" w14:textId="77777777" w:rsidR="00AA7CC4" w:rsidRPr="00970766" w:rsidRDefault="00AA7CC4" w:rsidP="00AA7CC4">
      <w:pPr>
        <w:rPr>
          <w:rFonts w:ascii="Arial" w:hAnsi="Arial" w:cs="Arial"/>
          <w:sz w:val="20"/>
          <w:szCs w:val="20"/>
        </w:rPr>
      </w:pPr>
    </w:p>
    <w:p w14:paraId="560C4066" w14:textId="77777777" w:rsidR="003648F6" w:rsidRPr="00970766" w:rsidRDefault="003648F6" w:rsidP="00100401">
      <w:pPr>
        <w:ind w:right="260"/>
        <w:jc w:val="center"/>
        <w:rPr>
          <w:rFonts w:ascii="Arial" w:hAnsi="Arial" w:cs="Arial"/>
          <w:sz w:val="20"/>
          <w:szCs w:val="20"/>
        </w:rPr>
      </w:pPr>
    </w:p>
    <w:p w14:paraId="2F0F74BA" w14:textId="77777777" w:rsidR="00597676" w:rsidRPr="00970766" w:rsidRDefault="00597676">
      <w:pPr>
        <w:rPr>
          <w:rFonts w:ascii="Arial" w:hAnsi="Arial" w:cs="Arial"/>
          <w:sz w:val="20"/>
          <w:szCs w:val="20"/>
        </w:rPr>
      </w:pPr>
      <w:r w:rsidRPr="00970766">
        <w:rPr>
          <w:rFonts w:ascii="Arial" w:hAnsi="Arial" w:cs="Arial"/>
          <w:sz w:val="20"/>
          <w:szCs w:val="20"/>
        </w:rPr>
        <w:br w:type="page"/>
      </w:r>
    </w:p>
    <w:p w14:paraId="7EFDDE15" w14:textId="113048EB" w:rsidR="00B13B0C" w:rsidRPr="00970766" w:rsidRDefault="00597676" w:rsidP="00B13B0C">
      <w:pPr>
        <w:pStyle w:val="Titre2"/>
        <w:rPr>
          <w:rFonts w:ascii="Arial Narrow" w:hAnsi="Arial Narrow"/>
          <w:sz w:val="28"/>
          <w:szCs w:val="28"/>
        </w:rPr>
      </w:pPr>
      <w:bookmarkStart w:id="15" w:name="_Toc158900882"/>
      <w:r w:rsidRPr="00970766">
        <w:rPr>
          <w:rStyle w:val="lev"/>
          <w:rFonts w:ascii="Arial Narrow" w:hAnsi="Arial Narrow"/>
          <w:b w:val="0"/>
          <w:bCs w:val="0"/>
          <w:sz w:val="28"/>
          <w:szCs w:val="28"/>
        </w:rPr>
        <w:lastRenderedPageBreak/>
        <w:t xml:space="preserve">ANNEXE </w:t>
      </w:r>
      <w:r w:rsidR="00B05F77" w:rsidRPr="00970766">
        <w:rPr>
          <w:rStyle w:val="lev"/>
          <w:rFonts w:ascii="Arial Narrow" w:hAnsi="Arial Narrow"/>
          <w:b w:val="0"/>
          <w:bCs w:val="0"/>
          <w:sz w:val="28"/>
          <w:szCs w:val="28"/>
        </w:rPr>
        <w:t>2</w:t>
      </w:r>
      <w:r w:rsidR="00693E0C" w:rsidRPr="00970766">
        <w:rPr>
          <w:rStyle w:val="lev"/>
          <w:rFonts w:ascii="Arial Narrow" w:hAnsi="Arial Narrow"/>
          <w:b w:val="0"/>
          <w:bCs w:val="0"/>
          <w:sz w:val="28"/>
          <w:szCs w:val="28"/>
        </w:rPr>
        <w:t> </w:t>
      </w:r>
      <w:r w:rsidR="005B3210" w:rsidRPr="00970766">
        <w:rPr>
          <w:rStyle w:val="lev"/>
          <w:rFonts w:ascii="Arial Narrow" w:hAnsi="Arial Narrow"/>
          <w:b w:val="0"/>
          <w:bCs w:val="0"/>
          <w:sz w:val="28"/>
          <w:szCs w:val="28"/>
        </w:rPr>
        <w:t xml:space="preserve">: </w:t>
      </w:r>
      <w:r w:rsidRPr="00970766">
        <w:rPr>
          <w:rStyle w:val="lev"/>
          <w:rFonts w:ascii="Arial Narrow" w:hAnsi="Arial Narrow"/>
          <w:b w:val="0"/>
          <w:bCs w:val="0"/>
          <w:sz w:val="28"/>
          <w:szCs w:val="28"/>
        </w:rPr>
        <w:t>Argumentaire et Références bibliographiques</w:t>
      </w:r>
      <w:r w:rsidR="00B13B0C" w:rsidRPr="00970766">
        <w:rPr>
          <w:rStyle w:val="lev"/>
          <w:rFonts w:ascii="Arial Narrow" w:hAnsi="Arial Narrow"/>
          <w:b w:val="0"/>
          <w:bCs w:val="0"/>
          <w:sz w:val="28"/>
          <w:szCs w:val="28"/>
        </w:rPr>
        <w:t xml:space="preserve"> </w:t>
      </w:r>
      <w:r w:rsidR="00B13B0C" w:rsidRPr="00970766">
        <w:rPr>
          <w:rStyle w:val="lev"/>
          <w:rFonts w:ascii="Arial Narrow" w:hAnsi="Arial Narrow"/>
          <w:b w:val="0"/>
          <w:sz w:val="28"/>
          <w:szCs w:val="28"/>
        </w:rPr>
        <w:t>pour l’utilisation de BOTOX 50/100/200 UNITÉS ALLERGAN, poudre pour solution injectable dans les indications du CPC</w:t>
      </w:r>
      <w:bookmarkEnd w:id="15"/>
    </w:p>
    <w:p w14:paraId="6C3DB5A6" w14:textId="77777777" w:rsidR="00B13B0C" w:rsidRPr="00970766" w:rsidRDefault="00B13B0C" w:rsidP="00B13B0C">
      <w:pPr>
        <w:adjustRightInd w:val="0"/>
        <w:jc w:val="both"/>
        <w:rPr>
          <w:rFonts w:ascii="Arial" w:hAnsi="Arial" w:cs="Arial"/>
          <w:i/>
          <w:color w:val="9933FF"/>
          <w:sz w:val="20"/>
          <w:szCs w:val="20"/>
        </w:rPr>
      </w:pPr>
    </w:p>
    <w:p w14:paraId="166EA269" w14:textId="77777777" w:rsidR="00B13B0C" w:rsidRPr="00970766" w:rsidRDefault="00B13B0C" w:rsidP="00B13B0C">
      <w:pPr>
        <w:adjustRightInd w:val="0"/>
        <w:jc w:val="both"/>
        <w:rPr>
          <w:rFonts w:ascii="Arial" w:hAnsi="Arial" w:cs="Arial"/>
          <w:sz w:val="20"/>
          <w:szCs w:val="20"/>
        </w:rPr>
      </w:pPr>
      <w:r w:rsidRPr="00970766">
        <w:rPr>
          <w:rFonts w:ascii="Arial" w:hAnsi="Arial" w:cs="Arial"/>
          <w:sz w:val="20"/>
          <w:szCs w:val="20"/>
        </w:rPr>
        <w:t>La douleur neuropathique est définie par l’association internationale pour l’étude de la douleur (International Association for the Study of Pain, IASP) comme « une douleur associée à une lésion ou une maladie affectant le système somatosensoriel ». Elle est dite périphérique lorsque qu’elle est associée à une lésion ou une maladie affectant le système somatosensoriel périphérique. La douleur chronique est généralement définie par la persistance de la douleur et/ou la présence d’épisodes douloureux récurrents sur une période de plus de 3 mois.</w:t>
      </w:r>
    </w:p>
    <w:p w14:paraId="2D59486C" w14:textId="77777777" w:rsidR="00B13B0C" w:rsidRPr="00970766" w:rsidRDefault="00B13B0C" w:rsidP="00B13B0C">
      <w:pPr>
        <w:adjustRightInd w:val="0"/>
        <w:jc w:val="both"/>
        <w:rPr>
          <w:rFonts w:ascii="Arial" w:hAnsi="Arial" w:cs="Arial"/>
          <w:sz w:val="20"/>
          <w:szCs w:val="20"/>
        </w:rPr>
      </w:pPr>
      <w:r w:rsidRPr="00970766">
        <w:rPr>
          <w:rFonts w:ascii="Arial" w:hAnsi="Arial" w:cs="Arial"/>
          <w:sz w:val="20"/>
          <w:szCs w:val="20"/>
        </w:rPr>
        <w:t>La douleur neuropathique est considérée comme souvent méconnue, sous-estimée et sous-traitée. Cependant, cette douleur n’est pas rare, puisque, selon une étude épidémiologique en population générale, des douleurs chroniques de caractéristiques neuropathiques affectent 7 % de la population française adulte (5 % pour les douleurs neuropathiques modérées à sévères), ce qui représente un quart des patients douloureux chroniques [1]. De plus, elle a un impact considérable sur la qualité de vie des patients et leur entourage, ainsi qu’un impact socio-économique important. Les étiologies sont très diverses : douleur neuropathiques post-traumatiques, post-chirurgicales, diabétiques, post-zostériennes, associées au cancer, chimio-induites, associées à la sclérose en plaques, post-AVC…</w:t>
      </w:r>
    </w:p>
    <w:p w14:paraId="553C2C80" w14:textId="77777777" w:rsidR="00B13B0C" w:rsidRPr="00970766" w:rsidRDefault="00B13B0C" w:rsidP="00B13B0C">
      <w:pPr>
        <w:adjustRightInd w:val="0"/>
        <w:jc w:val="both"/>
        <w:rPr>
          <w:rFonts w:ascii="Arial" w:hAnsi="Arial" w:cs="Arial"/>
          <w:sz w:val="20"/>
          <w:szCs w:val="20"/>
        </w:rPr>
      </w:pPr>
      <w:r w:rsidRPr="00970766">
        <w:rPr>
          <w:rFonts w:ascii="Arial" w:hAnsi="Arial" w:cs="Arial"/>
          <w:sz w:val="20"/>
          <w:szCs w:val="20"/>
        </w:rPr>
        <w:t xml:space="preserve">Les traitements antalgiques habituels sont très peu efficaces voire inefficaces. Malgré l’existence de traitements locaux (emplâtres de lidocaïne, patchs de capsaïcine) et généraux (certains IRSNA, antidépresseurs tricycliques et </w:t>
      </w:r>
      <w:r w:rsidR="00B20D56" w:rsidRPr="00970766">
        <w:rPr>
          <w:rFonts w:ascii="Arial" w:hAnsi="Arial" w:cs="Arial"/>
          <w:sz w:val="20"/>
          <w:szCs w:val="20"/>
        </w:rPr>
        <w:t>antiépileptiques</w:t>
      </w:r>
      <w:r w:rsidRPr="00970766">
        <w:rPr>
          <w:rFonts w:ascii="Arial" w:hAnsi="Arial" w:cs="Arial"/>
          <w:sz w:val="20"/>
          <w:szCs w:val="20"/>
        </w:rPr>
        <w:t xml:space="preserve">) spécifiques, la douleur neuropathique reste difficile à traiter. </w:t>
      </w:r>
    </w:p>
    <w:p w14:paraId="00841F78" w14:textId="046A1313" w:rsidR="00B13B0C" w:rsidRPr="00970766" w:rsidRDefault="00B13B0C" w:rsidP="00B13B0C">
      <w:pPr>
        <w:adjustRightInd w:val="0"/>
        <w:jc w:val="both"/>
        <w:rPr>
          <w:rFonts w:ascii="Arial" w:hAnsi="Arial" w:cs="Arial"/>
          <w:sz w:val="20"/>
          <w:szCs w:val="20"/>
        </w:rPr>
      </w:pPr>
      <w:r w:rsidRPr="00970766">
        <w:rPr>
          <w:rFonts w:ascii="Arial" w:hAnsi="Arial" w:cs="Arial"/>
          <w:sz w:val="20"/>
          <w:szCs w:val="20"/>
        </w:rPr>
        <w:t>Par ailleurs, les recommandations françaises de 2021 sur les traitements pharmacologiques (et non pharmacologiques) dans la douleur neuropathique préconisent l’utilisation hors-AMM de la toxine botulinique de type A (BoNT/A) en 2ème ligne dans le traitement des douleurs neuropathiques périphériques localisées. Ainsi, les spécialités BOTOX contenant BoNT/A sont utilisées hors AMM, notamment par certains centres de traitement de la douleur, dans la prise en charge de certaines douleurs neuropathiques périphériques [2].</w:t>
      </w:r>
    </w:p>
    <w:p w14:paraId="67B7E076" w14:textId="746A801D" w:rsidR="00B13B0C" w:rsidRPr="00970766" w:rsidRDefault="00B13B0C" w:rsidP="00B13B0C">
      <w:pPr>
        <w:adjustRightInd w:val="0"/>
        <w:jc w:val="both"/>
        <w:rPr>
          <w:rFonts w:ascii="Arial" w:hAnsi="Arial" w:cs="Arial"/>
          <w:sz w:val="20"/>
          <w:szCs w:val="20"/>
        </w:rPr>
      </w:pPr>
      <w:r w:rsidRPr="00970766">
        <w:rPr>
          <w:rFonts w:ascii="Arial" w:hAnsi="Arial" w:cs="Arial"/>
          <w:sz w:val="20"/>
          <w:szCs w:val="20"/>
        </w:rPr>
        <w:t>Ce</w:t>
      </w:r>
      <w:r w:rsidRPr="00970766">
        <w:t xml:space="preserve"> </w:t>
      </w:r>
      <w:r w:rsidRPr="00970766">
        <w:rPr>
          <w:rFonts w:ascii="Arial" w:hAnsi="Arial" w:cs="Arial"/>
          <w:sz w:val="20"/>
          <w:szCs w:val="20"/>
        </w:rPr>
        <w:t>cadre de prescription compassionnelle (CPC) vise à encadrer et sécuriser l’utilisation des spécialités BOTOX, en tant qu’alternative thérapeutique répondant à un besoin thérapeutique insuffisamment couvert, dans la douleur neuropathique périphérique chronique réfractaire.</w:t>
      </w:r>
    </w:p>
    <w:p w14:paraId="142AEC9B" w14:textId="77777777" w:rsidR="00B13B0C" w:rsidRPr="00970766" w:rsidRDefault="00B13B0C" w:rsidP="00B13B0C">
      <w:pPr>
        <w:adjustRightInd w:val="0"/>
        <w:jc w:val="both"/>
        <w:rPr>
          <w:rFonts w:ascii="Arial" w:hAnsi="Arial" w:cs="Arial"/>
          <w:sz w:val="20"/>
          <w:szCs w:val="20"/>
        </w:rPr>
      </w:pPr>
      <w:r w:rsidRPr="00970766">
        <w:rPr>
          <w:rFonts w:ascii="Arial" w:hAnsi="Arial" w:cs="Arial"/>
          <w:sz w:val="20"/>
          <w:szCs w:val="20"/>
        </w:rPr>
        <w:t>Les patients concernés sont des adultes</w:t>
      </w:r>
      <w:r w:rsidRPr="00970766">
        <w:t xml:space="preserve"> </w:t>
      </w:r>
      <w:r w:rsidRPr="00970766">
        <w:rPr>
          <w:rFonts w:ascii="Arial" w:hAnsi="Arial" w:cs="Arial"/>
          <w:sz w:val="20"/>
          <w:szCs w:val="20"/>
        </w:rPr>
        <w:t>présentant des douleurs quotidiennes (au moins 4/10 sur échelle numérique) attribuées à une lésion nerveuse périphérique bien localisée (surface ≤ 240 cm²) depuis au moins 6 mois et présentant un score d’au moins 4/10 sur le DN4. En outre, les patients doivent être réfractaires ou insuffisamment soulagés par les autres traitements recommandés et bien conduits dans la douleur neuropathique périphérique.</w:t>
      </w:r>
    </w:p>
    <w:p w14:paraId="4DC3BE2A" w14:textId="77777777" w:rsidR="00B13B0C" w:rsidRPr="00970766" w:rsidRDefault="00B13B0C" w:rsidP="00B13B0C">
      <w:pPr>
        <w:keepLines/>
        <w:spacing w:before="120"/>
        <w:ind w:right="46"/>
        <w:jc w:val="both"/>
        <w:rPr>
          <w:rFonts w:ascii="Arial" w:hAnsi="Arial" w:cs="Arial"/>
          <w:b/>
          <w:bCs/>
          <w:i/>
          <w:iCs/>
          <w:color w:val="000000"/>
          <w:sz w:val="20"/>
          <w:szCs w:val="20"/>
          <w:u w:val="single"/>
          <w:lang w:eastAsia="fr-FR"/>
        </w:rPr>
      </w:pPr>
      <w:r w:rsidRPr="00970766">
        <w:rPr>
          <w:rFonts w:ascii="Arial" w:hAnsi="Arial" w:cs="Arial"/>
          <w:b/>
          <w:bCs/>
          <w:i/>
          <w:iCs/>
          <w:color w:val="000000"/>
          <w:sz w:val="20"/>
          <w:szCs w:val="20"/>
          <w:u w:val="single"/>
          <w:lang w:eastAsia="fr-FR"/>
        </w:rPr>
        <w:t>Sur le plan de l’efficacité</w:t>
      </w:r>
    </w:p>
    <w:p w14:paraId="69633283" w14:textId="34C1CBED" w:rsidR="00B13B0C" w:rsidRPr="00970766" w:rsidRDefault="00B13B0C" w:rsidP="00B13B0C">
      <w:pPr>
        <w:keepLines/>
        <w:spacing w:before="120"/>
        <w:ind w:right="46"/>
        <w:jc w:val="both"/>
        <w:rPr>
          <w:rFonts w:ascii="Arial" w:hAnsi="Arial" w:cs="Arial"/>
          <w:bCs/>
          <w:iCs/>
          <w:color w:val="000000"/>
          <w:sz w:val="20"/>
          <w:szCs w:val="20"/>
          <w:lang w:eastAsia="fr-FR"/>
        </w:rPr>
      </w:pPr>
      <w:r w:rsidRPr="00970766">
        <w:rPr>
          <w:rFonts w:ascii="Arial" w:hAnsi="Arial" w:cs="Arial"/>
          <w:bCs/>
          <w:iCs/>
          <w:color w:val="000000"/>
          <w:sz w:val="20"/>
          <w:szCs w:val="20"/>
          <w:lang w:eastAsia="fr-FR"/>
        </w:rPr>
        <w:t>Les données disponibles fournies par le laboratoire Allergan (ancien titulaire des spécialités BOTOX), issues de la littérature scientifique sont des publications de rapports de cas cliniques, d’essais cliniques contrôlés randomisés et de méta-analyses de ces différents essais cliniques. Ces publications rapportent globalement un bénéfice pour les patients et suggèrent donc une certaine efficacité de la BoNT/A dans le traitement de la douleur neuropathique périphérique.</w:t>
      </w:r>
    </w:p>
    <w:p w14:paraId="1D95C2F4" w14:textId="77777777" w:rsidR="00B13B0C" w:rsidRPr="00970766" w:rsidRDefault="00B13B0C" w:rsidP="00B13B0C">
      <w:pPr>
        <w:keepLines/>
        <w:spacing w:before="120"/>
        <w:ind w:right="46"/>
        <w:jc w:val="both"/>
        <w:rPr>
          <w:rFonts w:ascii="Arial" w:hAnsi="Arial" w:cs="Arial"/>
          <w:bCs/>
          <w:iCs/>
          <w:color w:val="000000"/>
          <w:sz w:val="20"/>
          <w:szCs w:val="20"/>
          <w:lang w:eastAsia="fr-FR"/>
        </w:rPr>
      </w:pPr>
      <w:r w:rsidRPr="00970766">
        <w:rPr>
          <w:rFonts w:ascii="Arial" w:hAnsi="Arial" w:cs="Arial"/>
          <w:bCs/>
          <w:iCs/>
          <w:color w:val="000000"/>
          <w:sz w:val="20"/>
          <w:szCs w:val="20"/>
          <w:lang w:eastAsia="fr-FR"/>
        </w:rPr>
        <w:lastRenderedPageBreak/>
        <w:t>Plus spécifiquement, les essais contrôlés randomisés relatant de cette utilisation ont été menés sur des petits effectifs de patients présentant des douleurs neuropathiques périphériques chroniques insuffisamment contrôlées par les autres traitements (antidépresseurs tricycliques, gabapentinoïdes, IRSNA, opioïdes). Les étiologies de la douleur neuropathique étaient diverses (neuropathie diabétique, postzostérienne, postopératoire et post-traumatique) et la toxine botulinique de type A a été évaluée en tant que traitement adjuvant, les patients maintenant leurs traitements habituels. Deux techniques d’injection ont été testées (</w:t>
      </w:r>
      <w:r w:rsidR="00B20D56" w:rsidRPr="00970766">
        <w:rPr>
          <w:rFonts w:ascii="Arial" w:hAnsi="Arial" w:cs="Arial"/>
          <w:bCs/>
          <w:iCs/>
          <w:color w:val="000000"/>
          <w:sz w:val="20"/>
          <w:szCs w:val="20"/>
          <w:lang w:eastAsia="fr-FR"/>
        </w:rPr>
        <w:t>intradermique</w:t>
      </w:r>
      <w:r w:rsidRPr="00970766">
        <w:rPr>
          <w:rFonts w:ascii="Arial" w:hAnsi="Arial" w:cs="Arial"/>
          <w:bCs/>
          <w:iCs/>
          <w:color w:val="000000"/>
          <w:sz w:val="20"/>
          <w:szCs w:val="20"/>
          <w:lang w:eastAsia="fr-FR"/>
        </w:rPr>
        <w:t xml:space="preserve"> et sous-cutanée) sur des surfaces limitées (maximum 240 cm²) avec des doses variables (maximum 200 voire 300 unités de BoNT/A). L’efficacité de la toxine a été évaluée sur des études utilisant une dose unique ou deux doses avec une durée de traitement maximale de 24 semaines (une administration par série de multiples injections au niveau de la zone douloureuse toutes les 12 semaines).</w:t>
      </w:r>
    </w:p>
    <w:p w14:paraId="1564CBAE" w14:textId="77777777" w:rsidR="00B13B0C" w:rsidRPr="00970766" w:rsidRDefault="00B13B0C" w:rsidP="00B13B0C">
      <w:pPr>
        <w:keepLines/>
        <w:spacing w:before="120"/>
        <w:ind w:right="46"/>
        <w:jc w:val="both"/>
        <w:rPr>
          <w:rFonts w:ascii="Arial" w:hAnsi="Arial" w:cs="Arial"/>
          <w:bCs/>
          <w:iCs/>
          <w:color w:val="000000"/>
          <w:sz w:val="20"/>
          <w:szCs w:val="20"/>
          <w:lang w:eastAsia="fr-FR"/>
        </w:rPr>
      </w:pPr>
      <w:r w:rsidRPr="00970766">
        <w:rPr>
          <w:rFonts w:ascii="Arial" w:hAnsi="Arial" w:cs="Arial"/>
          <w:bCs/>
          <w:iCs/>
          <w:color w:val="000000"/>
          <w:sz w:val="20"/>
          <w:szCs w:val="20"/>
          <w:lang w:eastAsia="fr-FR"/>
        </w:rPr>
        <w:t>Les résultats rapportés sont une diminution globale du niveau de douleur chez les patients traités par rapport à ceux traités avec placebo. Néanmoins, compte tenu des faibles effectifs de ces études, la qualité de preuve reste au mieux modérée et la taille de l’effet obtenu reste modeste (résultats moyens montrant une diminution d’environ un point sur 10 par rapport à l’évaluation initiale de la douleur).</w:t>
      </w:r>
    </w:p>
    <w:p w14:paraId="56E69F29" w14:textId="77777777" w:rsidR="00B13B0C" w:rsidRPr="00970766" w:rsidRDefault="00B13B0C" w:rsidP="00B13B0C">
      <w:pPr>
        <w:keepLines/>
        <w:spacing w:before="120"/>
        <w:ind w:right="46"/>
        <w:jc w:val="both"/>
        <w:rPr>
          <w:rFonts w:ascii="Arial" w:hAnsi="Arial" w:cs="Arial"/>
          <w:bCs/>
          <w:iCs/>
          <w:color w:val="000000"/>
          <w:sz w:val="20"/>
          <w:szCs w:val="20"/>
          <w:lang w:eastAsia="fr-FR"/>
        </w:rPr>
      </w:pPr>
      <w:r w:rsidRPr="00970766">
        <w:rPr>
          <w:rFonts w:ascii="Arial" w:hAnsi="Arial" w:cs="Arial"/>
          <w:bCs/>
          <w:iCs/>
          <w:color w:val="000000"/>
          <w:sz w:val="20"/>
          <w:szCs w:val="20"/>
          <w:lang w:eastAsia="fr-FR"/>
        </w:rPr>
        <w:t xml:space="preserve">En particulier, il a été réalisé en 2008 un essai randomisé en double aveugle, contrôlé versus placebo, en groupe parallèle de patients atteints de douleurs neuropathiques périphériques localisées (post-traumatiques, post-opératoires ou post-herpétiques) avec allodynie [3]. Ces douleurs étaient chroniques (douleurs quotidiennes avec score ≥3/10 depuis au moins 6 mois) et clairement attribuées à une lésion de surface limitée (max 60 cm²) avec allodynie mécanique au niveau de la zone concernée. Les patients pouvaient être traités avec des traitements concomitants (dose stable depuis au moins un mois) excepté les traitements topiques, ceux agissant sur les jonctions neuromusculaires et les blocs anesthésiques. Les patients ont reçu une dose unique de toxine (ou de placebo), administrée par injections intradermiques séparées de 1,5 cm. Chaque injection contenait 5 unités de BoNT/A pour un volume de 0,2 </w:t>
      </w:r>
      <w:r w:rsidR="00B20D56" w:rsidRPr="00970766">
        <w:rPr>
          <w:rFonts w:ascii="Arial" w:hAnsi="Arial" w:cs="Arial"/>
          <w:bCs/>
          <w:iCs/>
          <w:color w:val="000000"/>
          <w:sz w:val="20"/>
          <w:szCs w:val="20"/>
          <w:lang w:eastAsia="fr-FR"/>
        </w:rPr>
        <w:t>ml</w:t>
      </w:r>
      <w:r w:rsidRPr="00970766">
        <w:rPr>
          <w:rFonts w:ascii="Arial" w:hAnsi="Arial" w:cs="Arial"/>
          <w:bCs/>
          <w:iCs/>
          <w:color w:val="000000"/>
          <w:sz w:val="20"/>
          <w:szCs w:val="20"/>
          <w:lang w:eastAsia="fr-FR"/>
        </w:rPr>
        <w:t>. Le site douloureux était « cartographié » avec un stylo sur la peau du malade et correspondait à la zone d’allodynie mécanique et le produit injecté afin de couvrir l’ensemble de la zone sans dépasser le nombre maximal d’injections qui avait été prédéfini : 40 injections au maximum pour une dose maximale de 200 unités de BoNT/A.</w:t>
      </w:r>
    </w:p>
    <w:p w14:paraId="6874D6A3" w14:textId="77777777" w:rsidR="00B13B0C" w:rsidRPr="00970766" w:rsidRDefault="00B13B0C" w:rsidP="00B13B0C">
      <w:pPr>
        <w:keepLines/>
        <w:spacing w:before="120"/>
        <w:ind w:right="46"/>
        <w:jc w:val="both"/>
        <w:rPr>
          <w:rFonts w:ascii="Arial" w:hAnsi="Arial" w:cs="Arial"/>
          <w:bCs/>
          <w:iCs/>
          <w:color w:val="000000"/>
          <w:sz w:val="20"/>
          <w:szCs w:val="20"/>
          <w:lang w:eastAsia="fr-FR"/>
        </w:rPr>
      </w:pPr>
      <w:r w:rsidRPr="00970766">
        <w:rPr>
          <w:rFonts w:ascii="Arial" w:hAnsi="Arial" w:cs="Arial"/>
          <w:bCs/>
          <w:iCs/>
          <w:color w:val="000000"/>
          <w:sz w:val="20"/>
          <w:szCs w:val="20"/>
          <w:lang w:eastAsia="fr-FR"/>
        </w:rPr>
        <w:t>29 patients ont été randomisés (15 dans le groupe BoNT/A et 14 dans le groupe placebo) et 22 ont participé pendant les 24 semaines (12 dans le groupe BoNT/A et 10 dans le groupe placebo). Parmi les 7 patients étant sortis de l’étude prématurément, 4 étaient dans le groupe placebo (raison : défaut d’efficacité), les autres dans le groupe BoNT/A (raisons : 2 pour défaut d’efficacité ; 1 pour une pathologie intercurrente).</w:t>
      </w:r>
    </w:p>
    <w:p w14:paraId="655B16E3" w14:textId="77777777" w:rsidR="00B13B0C" w:rsidRPr="00970766" w:rsidRDefault="00B13B0C" w:rsidP="00B13B0C">
      <w:pPr>
        <w:keepLines/>
        <w:spacing w:before="120"/>
        <w:ind w:right="46"/>
        <w:jc w:val="both"/>
        <w:rPr>
          <w:rFonts w:ascii="Arial" w:hAnsi="Arial" w:cs="Arial"/>
          <w:color w:val="000000"/>
          <w:sz w:val="20"/>
          <w:szCs w:val="20"/>
          <w:lang w:eastAsia="fr-FR"/>
        </w:rPr>
      </w:pPr>
      <w:r w:rsidRPr="00970766">
        <w:rPr>
          <w:rFonts w:ascii="Arial" w:hAnsi="Arial" w:cs="Arial"/>
          <w:color w:val="000000" w:themeColor="text1"/>
          <w:sz w:val="20"/>
          <w:szCs w:val="20"/>
          <w:lang w:eastAsia="fr-FR"/>
        </w:rPr>
        <w:t>Le nombre moyen d’injections réalisées par patient était de 20 +/- 8,3 avec des doses allant de 20 à 190 unités de BoNT/A.</w:t>
      </w:r>
    </w:p>
    <w:p w14:paraId="7289DCFA" w14:textId="77777777" w:rsidR="00B13B0C" w:rsidRPr="00970766" w:rsidRDefault="00B13B0C" w:rsidP="00B13B0C">
      <w:pPr>
        <w:keepLines/>
        <w:spacing w:before="120"/>
        <w:ind w:right="46"/>
        <w:jc w:val="both"/>
        <w:rPr>
          <w:rFonts w:ascii="Arial" w:hAnsi="Arial" w:cs="Arial"/>
          <w:bCs/>
          <w:iCs/>
          <w:color w:val="000000"/>
          <w:sz w:val="20"/>
          <w:szCs w:val="20"/>
          <w:lang w:eastAsia="fr-FR"/>
        </w:rPr>
      </w:pPr>
      <w:r w:rsidRPr="00970766">
        <w:rPr>
          <w:rFonts w:ascii="Arial" w:hAnsi="Arial" w:cs="Arial"/>
          <w:bCs/>
          <w:iCs/>
          <w:color w:val="000000"/>
          <w:sz w:val="20"/>
          <w:szCs w:val="20"/>
          <w:lang w:eastAsia="fr-FR"/>
        </w:rPr>
        <w:t>L’analyse des moyennes hebdomadaires de l’intensité de la douleur au cours des 24 semaines de l’étude suggère une diminution de la douleur dans le groupe BoNT/A par rapport au placebo.</w:t>
      </w:r>
    </w:p>
    <w:p w14:paraId="2DEF4CD8" w14:textId="77777777" w:rsidR="00B13B0C" w:rsidRPr="00970766" w:rsidRDefault="00B13B0C" w:rsidP="00B13B0C">
      <w:pPr>
        <w:pStyle w:val="pf0"/>
        <w:rPr>
          <w:rFonts w:ascii="Arial" w:hAnsi="Arial" w:cs="Arial"/>
          <w:sz w:val="20"/>
          <w:szCs w:val="20"/>
        </w:rPr>
      </w:pPr>
      <w:r w:rsidRPr="00970766">
        <w:rPr>
          <w:rFonts w:ascii="Arial" w:hAnsi="Arial" w:cs="Arial"/>
          <w:color w:val="000000"/>
          <w:sz w:val="20"/>
          <w:szCs w:val="20"/>
        </w:rPr>
        <w:t xml:space="preserve">Les auteurs rapportent une plus grande proportion de patients répondeurs (≥50% de soulagement de la douleur) dans le groupe BoNT/A comparé au groupe placebo. </w:t>
      </w:r>
      <w:r w:rsidRPr="00970766">
        <w:rPr>
          <w:rFonts w:ascii="Arial" w:hAnsi="Arial" w:cs="Arial"/>
          <w:bCs/>
          <w:iCs/>
          <w:color w:val="000000"/>
          <w:sz w:val="20"/>
          <w:szCs w:val="20"/>
        </w:rPr>
        <w:t>Le NNT</w:t>
      </w:r>
      <w:r w:rsidRPr="00970766">
        <w:rPr>
          <w:rFonts w:ascii="Arial" w:hAnsi="Arial" w:cs="Arial"/>
          <w:color w:val="000000"/>
          <w:sz w:val="20"/>
          <w:szCs w:val="20"/>
        </w:rPr>
        <w:t xml:space="preserve"> </w:t>
      </w:r>
      <w:r w:rsidRPr="00C34F51">
        <w:rPr>
          <w:rStyle w:val="cf01"/>
          <w:rFonts w:ascii="Arial" w:hAnsi="Arial" w:cs="Arial"/>
          <w:i/>
          <w:sz w:val="20"/>
        </w:rPr>
        <w:t>(Number Needed to treat)</w:t>
      </w:r>
      <w:r w:rsidRPr="00970766">
        <w:rPr>
          <w:rStyle w:val="cf01"/>
        </w:rPr>
        <w:t xml:space="preserve"> </w:t>
      </w:r>
      <w:r w:rsidRPr="00970766">
        <w:rPr>
          <w:rFonts w:ascii="Arial" w:hAnsi="Arial" w:cs="Arial"/>
          <w:color w:val="000000"/>
          <w:sz w:val="20"/>
          <w:szCs w:val="20"/>
        </w:rPr>
        <w:t>pour obtenir un sou</w:t>
      </w:r>
      <w:r w:rsidRPr="00970766">
        <w:rPr>
          <w:rFonts w:ascii="Arial" w:hAnsi="Arial" w:cs="Arial"/>
          <w:bCs/>
          <w:iCs/>
          <w:color w:val="000000"/>
          <w:sz w:val="20"/>
          <w:szCs w:val="20"/>
        </w:rPr>
        <w:t>lagement de la douleur d’au moins 50% était de 3,70 (2,04 à 23,2) à 4 semaines et de 3,03 (1,64 à 21,6) à 12 semaines.</w:t>
      </w:r>
    </w:p>
    <w:p w14:paraId="5063D535" w14:textId="77777777" w:rsidR="00B13B0C" w:rsidRPr="00970766" w:rsidRDefault="00B13B0C" w:rsidP="00B13B0C">
      <w:pPr>
        <w:keepLines/>
        <w:spacing w:before="120"/>
        <w:ind w:right="46"/>
        <w:jc w:val="both"/>
        <w:rPr>
          <w:rFonts w:ascii="Arial" w:hAnsi="Arial" w:cs="Arial"/>
          <w:bCs/>
          <w:iCs/>
          <w:color w:val="000000"/>
          <w:sz w:val="20"/>
          <w:szCs w:val="20"/>
          <w:lang w:eastAsia="fr-FR"/>
        </w:rPr>
      </w:pPr>
      <w:r w:rsidRPr="00970766">
        <w:rPr>
          <w:rFonts w:ascii="Arial" w:hAnsi="Arial" w:cs="Arial"/>
          <w:color w:val="000000" w:themeColor="text1"/>
          <w:sz w:val="20"/>
          <w:szCs w:val="20"/>
          <w:lang w:eastAsia="fr-FR"/>
        </w:rPr>
        <w:t xml:space="preserve">En résumé cette étude monocentrique sur un petit effectif de patients suggère une efficacité de la toxine administrée par injection intradermique dans les douleurs neuropathiques chroniques périphériques localisées (surface maximale de 60 cm²) associées à une allodynie. </w:t>
      </w:r>
    </w:p>
    <w:p w14:paraId="20F72AD2" w14:textId="77777777" w:rsidR="00B13B0C" w:rsidRPr="00970766" w:rsidRDefault="00B13B0C" w:rsidP="00B13B0C">
      <w:pPr>
        <w:keepLines/>
        <w:spacing w:before="120"/>
        <w:ind w:right="46"/>
        <w:jc w:val="both"/>
        <w:rPr>
          <w:rFonts w:ascii="Arial" w:hAnsi="Arial" w:cs="Arial"/>
          <w:bCs/>
          <w:iCs/>
          <w:color w:val="000000"/>
          <w:sz w:val="20"/>
          <w:szCs w:val="20"/>
          <w:lang w:eastAsia="fr-FR"/>
        </w:rPr>
      </w:pPr>
      <w:r w:rsidRPr="00970766">
        <w:rPr>
          <w:rFonts w:ascii="Arial" w:hAnsi="Arial" w:cs="Arial"/>
          <w:bCs/>
          <w:iCs/>
          <w:color w:val="000000"/>
          <w:sz w:val="20"/>
          <w:szCs w:val="20"/>
          <w:lang w:eastAsia="fr-FR"/>
        </w:rPr>
        <w:t xml:space="preserve">Des résultats similaires ont été rapportés dans 3 études monocentriques en double aveugle contre placebo dans la douleur post-zostérienne pour deux études et dans la polyneuropathie diabétique pour une étude [4–6]. Ces études ont toutes en commun d’avoir retrouvé une efficacité durable (3 mois) d’une injection unique sous-cutanée de BoNT/A (doses fixes ou adaptées à l’aire douloureuse, allant de 50 à 200 unités) dans la zone douloureuse. Ces études ont été </w:t>
      </w:r>
      <w:r w:rsidR="00B20D56" w:rsidRPr="00970766">
        <w:rPr>
          <w:rFonts w:ascii="Arial" w:hAnsi="Arial" w:cs="Arial"/>
          <w:bCs/>
          <w:iCs/>
          <w:color w:val="000000"/>
          <w:sz w:val="20"/>
          <w:szCs w:val="20"/>
          <w:lang w:eastAsia="fr-FR"/>
        </w:rPr>
        <w:t>menées</w:t>
      </w:r>
      <w:r w:rsidRPr="00970766">
        <w:rPr>
          <w:rFonts w:ascii="Arial" w:hAnsi="Arial" w:cs="Arial"/>
          <w:bCs/>
          <w:iCs/>
          <w:color w:val="000000"/>
          <w:sz w:val="20"/>
          <w:szCs w:val="20"/>
          <w:lang w:eastAsia="fr-FR"/>
        </w:rPr>
        <w:t xml:space="preserve"> sur des petits effectifs de patients et présentent globalement une faible qualité méthodologique [7]. </w:t>
      </w:r>
    </w:p>
    <w:p w14:paraId="45328897" w14:textId="77777777" w:rsidR="00B13B0C" w:rsidRPr="00970766" w:rsidRDefault="00B13B0C" w:rsidP="00B13B0C">
      <w:pPr>
        <w:keepLines/>
        <w:spacing w:before="120"/>
        <w:ind w:right="46"/>
        <w:jc w:val="both"/>
        <w:rPr>
          <w:rFonts w:ascii="Arial" w:hAnsi="Arial" w:cs="Arial"/>
          <w:bCs/>
          <w:iCs/>
          <w:color w:val="000000"/>
          <w:sz w:val="20"/>
          <w:szCs w:val="20"/>
          <w:lang w:eastAsia="fr-FR"/>
        </w:rPr>
      </w:pPr>
      <w:r w:rsidRPr="00970766">
        <w:rPr>
          <w:rFonts w:ascii="Arial" w:hAnsi="Arial" w:cs="Arial"/>
          <w:bCs/>
          <w:iCs/>
          <w:color w:val="000000"/>
          <w:sz w:val="20"/>
          <w:szCs w:val="20"/>
          <w:lang w:eastAsia="fr-FR"/>
        </w:rPr>
        <w:lastRenderedPageBreak/>
        <w:t xml:space="preserve">Par ailleurs, il a été </w:t>
      </w:r>
      <w:r w:rsidR="00B20D56" w:rsidRPr="00970766">
        <w:rPr>
          <w:rFonts w:ascii="Arial" w:hAnsi="Arial" w:cs="Arial"/>
          <w:bCs/>
          <w:iCs/>
          <w:color w:val="000000"/>
          <w:sz w:val="20"/>
          <w:szCs w:val="20"/>
          <w:lang w:eastAsia="fr-FR"/>
        </w:rPr>
        <w:t>réalisé un</w:t>
      </w:r>
      <w:r w:rsidRPr="00970766">
        <w:rPr>
          <w:rFonts w:ascii="Arial" w:hAnsi="Arial" w:cs="Arial"/>
          <w:bCs/>
          <w:iCs/>
          <w:color w:val="000000"/>
          <w:sz w:val="20"/>
          <w:szCs w:val="20"/>
          <w:lang w:eastAsia="fr-FR"/>
        </w:rPr>
        <w:t xml:space="preserve"> essai multicentrique (3 centres) randomisé en double aveugle, contrôlé versus placebo, en groupe parallèle chez des patients atteints de douleurs neuropathiques périphériques et ayant évalué l’efficacité de deux administrations répétées de BoNT/A [8]. 68 patients (34 par groupe) ont été randomisés et 66 ont été inclus dans l’analyse (34 dans le groupe BoNT/A et 32 dans le groupe placebo). 58 patients ont reçu les deux doses (32 dans le groupe BoNT/A et 26 dans le groupe placebo).</w:t>
      </w:r>
    </w:p>
    <w:p w14:paraId="3EAEDB94" w14:textId="77777777" w:rsidR="00B13B0C" w:rsidRPr="00970766" w:rsidRDefault="00B13B0C" w:rsidP="00B13B0C">
      <w:pPr>
        <w:keepLines/>
        <w:spacing w:before="120"/>
        <w:ind w:right="46"/>
        <w:jc w:val="both"/>
        <w:rPr>
          <w:rFonts w:ascii="Arial" w:hAnsi="Arial" w:cs="Arial"/>
          <w:bCs/>
          <w:iCs/>
          <w:color w:val="000000"/>
          <w:sz w:val="20"/>
          <w:szCs w:val="20"/>
          <w:lang w:eastAsia="fr-FR"/>
        </w:rPr>
      </w:pPr>
      <w:r w:rsidRPr="00970766">
        <w:rPr>
          <w:rFonts w:ascii="Arial" w:hAnsi="Arial" w:cs="Arial"/>
          <w:bCs/>
          <w:iCs/>
          <w:color w:val="000000"/>
          <w:sz w:val="20"/>
          <w:szCs w:val="20"/>
          <w:lang w:eastAsia="fr-FR"/>
        </w:rPr>
        <w:t>Les patients devaient être âgés de 18 à 85 ans, présenter un score d’au moins 4/10 sur le DN4 et présenter des douleurs quotidiennes attribuées à une lésion nerveuse périphérique depuis au moins 6 mois. Leur douleur devait être d’au moins 4/10 sur échelle numérique. La surface douloureuse ne pouvait pas excéder 240 cm². L’utilisation de traitements de la douleur neuropathique concomitants à dose stable depuis 4 semaines n’était pas interdite sauf exception (traitements topiques, ceux agissant sur les jonctions neuromusculaires et les blocs anesthésiques). Environ 2/3 des patients présentaient des douleurs neuropathique d’origine post-traumatique ou post-opératoire.</w:t>
      </w:r>
    </w:p>
    <w:p w14:paraId="552A849F" w14:textId="77777777" w:rsidR="00B13B0C" w:rsidRPr="00970766" w:rsidRDefault="00B13B0C" w:rsidP="00B13B0C">
      <w:pPr>
        <w:keepLines/>
        <w:spacing w:before="120"/>
        <w:ind w:right="46"/>
        <w:jc w:val="both"/>
        <w:rPr>
          <w:rFonts w:ascii="Arial" w:hAnsi="Arial" w:cs="Arial"/>
          <w:bCs/>
          <w:iCs/>
          <w:color w:val="000000"/>
          <w:sz w:val="20"/>
          <w:szCs w:val="20"/>
          <w:lang w:eastAsia="fr-FR"/>
        </w:rPr>
      </w:pPr>
      <w:r w:rsidRPr="00970766">
        <w:rPr>
          <w:rFonts w:ascii="Arial" w:hAnsi="Arial" w:cs="Arial"/>
          <w:bCs/>
          <w:iCs/>
          <w:color w:val="000000"/>
          <w:sz w:val="20"/>
          <w:szCs w:val="20"/>
          <w:lang w:eastAsia="fr-FR"/>
        </w:rPr>
        <w:t xml:space="preserve">Après une semaine d’évaluation initiale (baseline), les patients éligibles  ont reçu au total deux administrations sous-cutanées de BoNT/A ou de placebo. Les administrations étaient espacées de 12 semaines. Chaque administration comprenait plusieurs injections sous-cutanées espacées de 1,5 à 2 cm par site d’injection pour couvrir la zone douloureuse (selon la topographie de la douleur). Chaque injection correspond à un volume de 0,2 mL soit 5 unités de BoNT/A par site. La dose totale ne devait pas excéder 60 sites d’injection correspondant à un volume de 12 mL pour une dose maximale totale par administration de 300 unités de BoNT/A. </w:t>
      </w:r>
    </w:p>
    <w:p w14:paraId="5B2EA904" w14:textId="77777777" w:rsidR="00B13B0C" w:rsidRPr="00970766" w:rsidRDefault="00B13B0C" w:rsidP="00B13B0C">
      <w:pPr>
        <w:keepLines/>
        <w:spacing w:before="120"/>
        <w:ind w:right="46"/>
        <w:jc w:val="both"/>
        <w:rPr>
          <w:rFonts w:ascii="Arial" w:hAnsi="Arial" w:cs="Arial"/>
          <w:bCs/>
          <w:iCs/>
          <w:color w:val="000000"/>
          <w:sz w:val="20"/>
          <w:szCs w:val="20"/>
          <w:lang w:eastAsia="fr-FR"/>
        </w:rPr>
      </w:pPr>
      <w:r w:rsidRPr="00970766">
        <w:rPr>
          <w:rFonts w:ascii="Arial" w:hAnsi="Arial" w:cs="Arial"/>
          <w:bCs/>
          <w:iCs/>
          <w:color w:val="000000"/>
          <w:sz w:val="20"/>
          <w:szCs w:val="20"/>
          <w:lang w:eastAsia="fr-FR"/>
        </w:rPr>
        <w:t>Comparé au placebo, les deux administrations successives de BoNT/A ont significativement réduit l’intensité douloureuse moyenne rapportée par les patients pendant les 24 semaines après la 1ère administration (estimation ajustée de l’effet -0,77 (IC95% [-0,95 ; -0,59] ; p&lt;0,0001). Ces résultats suggèrent un niveau de douleur globalement abaissé dans le groupe traité par BoNT/A par rapport au groupe placebo.</w:t>
      </w:r>
    </w:p>
    <w:p w14:paraId="2816F5D1" w14:textId="77777777" w:rsidR="00B13B0C" w:rsidRPr="00970766" w:rsidRDefault="00B13B0C" w:rsidP="00B13B0C">
      <w:pPr>
        <w:keepLines/>
        <w:spacing w:before="120"/>
        <w:ind w:right="46"/>
        <w:jc w:val="both"/>
        <w:rPr>
          <w:rFonts w:ascii="Arial" w:hAnsi="Arial" w:cs="Arial"/>
          <w:bCs/>
          <w:iCs/>
          <w:color w:val="000000"/>
          <w:sz w:val="20"/>
          <w:szCs w:val="20"/>
          <w:lang w:eastAsia="fr-FR"/>
        </w:rPr>
      </w:pPr>
      <w:r w:rsidRPr="00970766">
        <w:rPr>
          <w:rFonts w:ascii="Arial" w:hAnsi="Arial" w:cs="Arial"/>
          <w:bCs/>
          <w:iCs/>
          <w:color w:val="000000"/>
          <w:sz w:val="20"/>
          <w:szCs w:val="20"/>
          <w:lang w:eastAsia="fr-FR"/>
        </w:rPr>
        <w:t xml:space="preserve">La proportion de répondeurs (≥50% de réduction de l’intensité douloureuse) n’était pas significativement différente entre les deux groupes au bout de 24 semaines après une administration (10/34 [29%]  vs 5/32 [16%] ; NNT 7,3 ; IC95% –3,0 à 16,6; p=0,2). Cependant la proportion de répondeurs (≥30% de réduction de l’intensité douloureuse) était significativement plus </w:t>
      </w:r>
      <w:r w:rsidR="00B20D56" w:rsidRPr="00970766">
        <w:rPr>
          <w:rFonts w:ascii="Arial" w:hAnsi="Arial" w:cs="Arial"/>
          <w:bCs/>
          <w:iCs/>
          <w:color w:val="000000"/>
          <w:sz w:val="20"/>
          <w:szCs w:val="20"/>
          <w:lang w:eastAsia="fr-FR"/>
        </w:rPr>
        <w:t>élevée</w:t>
      </w:r>
      <w:r w:rsidRPr="00970766">
        <w:rPr>
          <w:rFonts w:ascii="Arial" w:hAnsi="Arial" w:cs="Arial"/>
          <w:bCs/>
          <w:iCs/>
          <w:color w:val="000000"/>
          <w:sz w:val="20"/>
          <w:szCs w:val="20"/>
          <w:lang w:eastAsia="fr-FR"/>
        </w:rPr>
        <w:t xml:space="preserve"> dans le groupe BoNT/A (22/34 [65%] vs 8/32 [25%] ; NNT 2,5 ; IC 95% 1,6 à 5,6 ; p=0,001).</w:t>
      </w:r>
    </w:p>
    <w:p w14:paraId="13E113F7" w14:textId="77777777" w:rsidR="00B13B0C" w:rsidRPr="00970766" w:rsidRDefault="00B13B0C" w:rsidP="00B13B0C">
      <w:pPr>
        <w:keepLines/>
        <w:spacing w:before="120"/>
        <w:ind w:right="46"/>
        <w:jc w:val="both"/>
        <w:rPr>
          <w:rFonts w:ascii="Arial" w:hAnsi="Arial" w:cs="Arial"/>
          <w:bCs/>
          <w:iCs/>
          <w:color w:val="000000"/>
          <w:sz w:val="20"/>
          <w:szCs w:val="20"/>
          <w:lang w:eastAsia="fr-FR"/>
        </w:rPr>
      </w:pPr>
      <w:r w:rsidRPr="00970766">
        <w:rPr>
          <w:rFonts w:ascii="Arial" w:hAnsi="Arial" w:cs="Arial"/>
          <w:bCs/>
          <w:iCs/>
          <w:color w:val="000000"/>
          <w:sz w:val="20"/>
          <w:szCs w:val="20"/>
          <w:lang w:eastAsia="fr-FR"/>
        </w:rPr>
        <w:t>Les auteurs rapportent par ailleurs, un effet plus important entre 3 et 12 semaines après la 2ème administration (semaines 15 à 24). En effet, certains patients (7, 22%) ayant peu répondu à la 1ère administration (diminution de l’intensité douloureuse ou soulagement &lt;30%) sont devenus répondeurs (diminution de l’intensité douloureuse ou soulagement ≥50%) après la deuxième administration. Pour les auteurs, cela signifie qu’il pourrait être nécessaire de pratiquer deux administrations de toxine avant de se prononcer sur la réponse du patient au traitement.</w:t>
      </w:r>
    </w:p>
    <w:p w14:paraId="3CC7B7AF" w14:textId="77777777" w:rsidR="00B13B0C" w:rsidRPr="00970766" w:rsidRDefault="00B13B0C" w:rsidP="00B13B0C">
      <w:pPr>
        <w:keepLines/>
        <w:spacing w:before="120"/>
        <w:ind w:right="46"/>
        <w:jc w:val="both"/>
        <w:rPr>
          <w:rFonts w:ascii="Arial" w:hAnsi="Arial" w:cs="Arial"/>
          <w:bCs/>
          <w:iCs/>
          <w:color w:val="000000"/>
          <w:sz w:val="20"/>
          <w:szCs w:val="20"/>
          <w:lang w:eastAsia="fr-FR"/>
        </w:rPr>
      </w:pPr>
      <w:r w:rsidRPr="00970766">
        <w:rPr>
          <w:rFonts w:ascii="Arial" w:hAnsi="Arial" w:cs="Arial"/>
          <w:bCs/>
          <w:iCs/>
          <w:color w:val="000000"/>
          <w:sz w:val="20"/>
          <w:szCs w:val="20"/>
          <w:lang w:eastAsia="fr-FR"/>
        </w:rPr>
        <w:t>Il est également rapporté un effet plus important également chez les patients ayant reçu au moins une dose et atteints d’allodynie versus sans allodynie. Les résultats suggèreraient de plus selon les auteurs qu’un moindre déficit thermique et une allodynie mécanique plus forte étaient associés à une plus grande efficacité de la toxine. Ces données suggéreraient une plus grande efficacité de la toxine chez les patients présentant des afférences nociceptives préservées. Les auteurs font l’hypothèse que les fibres nerveuses doivent être présentes pour que la toxine puisse atteindre le SNC. Le mécanisme d’action de la toxine pourrait être une combinaison de mécanismes périphériques et centraux.</w:t>
      </w:r>
    </w:p>
    <w:p w14:paraId="54DE7CF4" w14:textId="77777777" w:rsidR="00B13B0C" w:rsidRPr="00970766" w:rsidRDefault="00B13B0C" w:rsidP="00B13B0C">
      <w:pPr>
        <w:keepLines/>
        <w:spacing w:before="120"/>
        <w:ind w:right="46"/>
        <w:jc w:val="both"/>
        <w:rPr>
          <w:rFonts w:ascii="Arial" w:hAnsi="Arial" w:cs="Arial"/>
          <w:bCs/>
          <w:iCs/>
          <w:color w:val="000000"/>
          <w:sz w:val="20"/>
          <w:szCs w:val="20"/>
          <w:lang w:eastAsia="fr-FR"/>
        </w:rPr>
      </w:pPr>
      <w:r w:rsidRPr="00970766">
        <w:rPr>
          <w:rFonts w:ascii="Arial" w:hAnsi="Arial" w:cs="Arial"/>
          <w:color w:val="000000" w:themeColor="text1"/>
          <w:sz w:val="20"/>
          <w:szCs w:val="20"/>
          <w:lang w:eastAsia="fr-FR"/>
        </w:rPr>
        <w:t>En résumé, cet essai suggère que deux administrations de BoNT/A peuvent réduire l’intensité douloureuse pendant 24 semaines par rapport au placebo chez des patients atteints de douleur neuropathiques chronique périphériques de surface &lt;240 cm².  Néanmoins, l’effectif reste peu important, la taille de l’effet semble limitée et les patients étaient traités avec d’autres médicaments utilisés dans le traitement de la douleur neuropathique (gabapentinoïdes, tricycliques, IRSNA, capsaïcine…). Les caractéristiques de la douleur (allodynie, moindre déficit thermique) semblent également jouer un rôle important pour sélectionner les patients répondeurs, bien plus que l’origine de la douleur (post-traumatique, post-opératoire, zone concernée…).</w:t>
      </w:r>
    </w:p>
    <w:p w14:paraId="766C884F" w14:textId="09B91273" w:rsidR="00B13B0C" w:rsidRPr="00970766" w:rsidRDefault="00B13B0C" w:rsidP="00B13B0C">
      <w:pPr>
        <w:keepLines/>
        <w:spacing w:before="120"/>
        <w:ind w:right="46"/>
        <w:jc w:val="both"/>
        <w:rPr>
          <w:rFonts w:ascii="Arial" w:hAnsi="Arial" w:cs="Arial"/>
          <w:bCs/>
          <w:iCs/>
          <w:color w:val="000000"/>
          <w:sz w:val="20"/>
          <w:szCs w:val="20"/>
          <w:lang w:eastAsia="fr-FR"/>
        </w:rPr>
      </w:pPr>
      <w:r w:rsidRPr="00970766">
        <w:rPr>
          <w:rFonts w:ascii="Arial" w:hAnsi="Arial" w:cs="Arial"/>
          <w:bCs/>
          <w:iCs/>
          <w:color w:val="000000"/>
          <w:sz w:val="20"/>
          <w:szCs w:val="20"/>
          <w:lang w:eastAsia="fr-FR"/>
        </w:rPr>
        <w:lastRenderedPageBreak/>
        <w:t>A noter que les résultats non publiés d’un essai sponsorisé par le laboratoire Allergan (ancien titulaire des spécialités BOTOX) ont été fournis. Cet essai, présentant un plus large effectif (117 patients), mené chez des patients atteints de douleurs neuropathiques post-zostériennes n’a pas pu démontrer de différence significative entre le traitement par BoNT/A et le placebo [9]. Certains auteurs ont estimé qu’une explication probable de l’échec de cette étude pourrait être liée au critère d’inclusion (présence d’une douleur depuis au moins 3 mois), la douleur post-zostérienne s’améliorant généralement après 3 mois, ce qui pourrait expliquer une amélioration spontanée de la douleur dans le groupe placebo [7].</w:t>
      </w:r>
    </w:p>
    <w:p w14:paraId="3CB63F94" w14:textId="77777777" w:rsidR="00B13B0C" w:rsidRPr="00970766" w:rsidRDefault="00B13B0C" w:rsidP="00B13B0C">
      <w:pPr>
        <w:keepLines/>
        <w:spacing w:before="120"/>
        <w:ind w:right="46"/>
        <w:jc w:val="both"/>
        <w:rPr>
          <w:rFonts w:ascii="Arial" w:hAnsi="Arial" w:cs="Arial"/>
          <w:bCs/>
          <w:iCs/>
          <w:color w:val="000000"/>
          <w:sz w:val="20"/>
          <w:szCs w:val="20"/>
          <w:lang w:eastAsia="fr-FR"/>
        </w:rPr>
      </w:pPr>
      <w:r w:rsidRPr="00970766">
        <w:rPr>
          <w:rFonts w:ascii="Arial" w:hAnsi="Arial" w:cs="Arial"/>
          <w:bCs/>
          <w:iCs/>
          <w:color w:val="000000"/>
          <w:sz w:val="20"/>
          <w:szCs w:val="20"/>
          <w:lang w:eastAsia="fr-FR"/>
        </w:rPr>
        <w:t xml:space="preserve">Une méta-analyse publiée en 2022, a analysé les résultats d’essais cliniques contrôlés randomisés ayant comparé les injections sous-cutanées de BoNT/A et de placebo dans le traitement de la douleur </w:t>
      </w:r>
      <w:r w:rsidR="00B20D56" w:rsidRPr="00970766">
        <w:rPr>
          <w:rFonts w:ascii="Arial" w:hAnsi="Arial" w:cs="Arial"/>
          <w:bCs/>
          <w:iCs/>
          <w:color w:val="000000"/>
          <w:sz w:val="20"/>
          <w:szCs w:val="20"/>
          <w:lang w:eastAsia="fr-FR"/>
        </w:rPr>
        <w:t>neuropathique</w:t>
      </w:r>
      <w:r w:rsidRPr="00970766">
        <w:rPr>
          <w:rFonts w:ascii="Arial" w:hAnsi="Arial" w:cs="Arial"/>
          <w:bCs/>
          <w:iCs/>
          <w:color w:val="000000"/>
          <w:sz w:val="20"/>
          <w:szCs w:val="20"/>
          <w:lang w:eastAsia="fr-FR"/>
        </w:rPr>
        <w:t xml:space="preserve"> périphérique chronique [10]. 10 études comprenant 531 patients ont été incluses dans la revue systématique. Les patients ayant été traités par la BoNT/A présentaient une intensité douloureuse significativement plus faible comparée au groupe contrôle d’après l’analyse des données combinées des différentes études. La différence moyenne entre les groupes était de – 1,87 (IC95% : [- 2,91 ; - 0,83]) et de – 1,38 (IC95% : [- 1,95 ; - 0,81]) respectivement un mois (9 études, 505 patients) et trois mois (6 études, 219 patients) après l’administration. Les NNT pour obtenir un bénéfice ont été estimés à 3 (2-10) à un mois et à 7 (7-13) à 3 mois. Les auteurs concluent que les injections de BoNT/A ont un effet cliniquement significatif, diminuant la douleur pendant une période allant jusqu’à 3 mois après l’administration. Ils estiment que le niveau de preuve de leur analyse est modéré compte tenu des études incluses (essentiellement des essais monocentriques sur de petits effectifs de patients) et de leur nombre limité (10 études), de la variabilité des doses utilisées et des zones traitées. </w:t>
      </w:r>
    </w:p>
    <w:p w14:paraId="36B1D46D" w14:textId="77777777" w:rsidR="00B13B0C" w:rsidRPr="00970766" w:rsidRDefault="00B13B0C" w:rsidP="00B13B0C">
      <w:pPr>
        <w:keepLines/>
        <w:spacing w:before="120"/>
        <w:ind w:right="46"/>
        <w:jc w:val="both"/>
        <w:rPr>
          <w:rFonts w:ascii="Arial" w:hAnsi="Arial" w:cs="Arial"/>
          <w:bCs/>
          <w:iCs/>
          <w:color w:val="000000"/>
          <w:sz w:val="20"/>
          <w:szCs w:val="20"/>
          <w:u w:val="single"/>
          <w:lang w:eastAsia="fr-FR"/>
        </w:rPr>
      </w:pPr>
    </w:p>
    <w:p w14:paraId="5F2F3442" w14:textId="77777777" w:rsidR="00B13B0C" w:rsidRPr="00970766" w:rsidRDefault="00B13B0C" w:rsidP="00B13B0C">
      <w:pPr>
        <w:keepLines/>
        <w:spacing w:before="120"/>
        <w:ind w:right="46"/>
        <w:jc w:val="both"/>
        <w:rPr>
          <w:rFonts w:ascii="Arial" w:hAnsi="Arial" w:cs="Arial"/>
          <w:bCs/>
          <w:iCs/>
          <w:color w:val="000000"/>
          <w:sz w:val="20"/>
          <w:szCs w:val="20"/>
          <w:u w:val="single"/>
          <w:lang w:eastAsia="fr-FR"/>
        </w:rPr>
      </w:pPr>
      <w:r w:rsidRPr="00970766">
        <w:rPr>
          <w:rFonts w:ascii="Arial" w:hAnsi="Arial" w:cs="Arial"/>
          <w:bCs/>
          <w:iCs/>
          <w:color w:val="000000"/>
          <w:sz w:val="20"/>
          <w:szCs w:val="20"/>
          <w:u w:val="single"/>
          <w:lang w:eastAsia="fr-FR"/>
        </w:rPr>
        <w:t xml:space="preserve">Caractéristiques des études repris de Hary et </w:t>
      </w:r>
      <w:r w:rsidRPr="00970766">
        <w:rPr>
          <w:rFonts w:ascii="Arial" w:hAnsi="Arial" w:cs="Arial"/>
          <w:bCs/>
          <w:i/>
          <w:iCs/>
          <w:color w:val="000000"/>
          <w:sz w:val="20"/>
          <w:szCs w:val="20"/>
          <w:u w:val="single"/>
          <w:lang w:eastAsia="fr-FR"/>
        </w:rPr>
        <w:t>al</w:t>
      </w:r>
      <w:r w:rsidRPr="00970766">
        <w:rPr>
          <w:rFonts w:ascii="Arial" w:hAnsi="Arial" w:cs="Arial"/>
          <w:bCs/>
          <w:iCs/>
          <w:color w:val="000000"/>
          <w:sz w:val="20"/>
          <w:szCs w:val="20"/>
          <w:u w:val="single"/>
          <w:lang w:eastAsia="fr-FR"/>
        </w:rPr>
        <w:t>. (2022) [10]</w:t>
      </w:r>
    </w:p>
    <w:p w14:paraId="30F4BFF0" w14:textId="77777777" w:rsidR="00B13B0C" w:rsidRPr="00970766" w:rsidRDefault="00B13B0C" w:rsidP="00B13B0C">
      <w:pPr>
        <w:keepLines/>
        <w:spacing w:before="120"/>
        <w:ind w:right="46"/>
        <w:jc w:val="both"/>
        <w:rPr>
          <w:rFonts w:ascii="Arial" w:hAnsi="Arial" w:cs="Arial"/>
          <w:bCs/>
          <w:iCs/>
          <w:color w:val="000000"/>
          <w:sz w:val="20"/>
          <w:szCs w:val="20"/>
          <w:lang w:eastAsia="fr-FR"/>
        </w:rPr>
      </w:pPr>
    </w:p>
    <w:tbl>
      <w:tblPr>
        <w:tblStyle w:val="Grilledutableau"/>
        <w:tblW w:w="10060" w:type="dxa"/>
        <w:tblLayout w:type="fixed"/>
        <w:tblLook w:val="04A0" w:firstRow="1" w:lastRow="0" w:firstColumn="1" w:lastColumn="0" w:noHBand="0" w:noVBand="1"/>
      </w:tblPr>
      <w:tblGrid>
        <w:gridCol w:w="988"/>
        <w:gridCol w:w="850"/>
        <w:gridCol w:w="992"/>
        <w:gridCol w:w="993"/>
        <w:gridCol w:w="1134"/>
        <w:gridCol w:w="1417"/>
        <w:gridCol w:w="1276"/>
        <w:gridCol w:w="1134"/>
        <w:gridCol w:w="1276"/>
      </w:tblGrid>
      <w:tr w:rsidR="00B13B0C" w:rsidRPr="00970766" w14:paraId="304CD108" w14:textId="77777777" w:rsidTr="00EC7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D0CECE" w:themeFill="background2" w:themeFillShade="E6"/>
          </w:tcPr>
          <w:p w14:paraId="38742C9C" w14:textId="77777777" w:rsidR="00B13B0C" w:rsidRPr="00970766" w:rsidRDefault="00B13B0C" w:rsidP="00EC7346">
            <w:pPr>
              <w:keepLines/>
              <w:spacing w:before="120"/>
              <w:ind w:right="46"/>
              <w:jc w:val="center"/>
              <w:rPr>
                <w:rFonts w:cs="Arial"/>
                <w:b w:val="0"/>
                <w:bCs/>
                <w:iCs/>
                <w:color w:val="000000"/>
                <w:sz w:val="16"/>
                <w:szCs w:val="16"/>
              </w:rPr>
            </w:pPr>
            <w:r w:rsidRPr="00970766">
              <w:rPr>
                <w:rFonts w:cs="Arial"/>
                <w:b w:val="0"/>
                <w:bCs/>
                <w:iCs/>
                <w:color w:val="000000"/>
                <w:sz w:val="16"/>
                <w:szCs w:val="16"/>
              </w:rPr>
              <w:t>Auteurs</w:t>
            </w:r>
          </w:p>
        </w:tc>
        <w:tc>
          <w:tcPr>
            <w:tcW w:w="850" w:type="dxa"/>
            <w:shd w:val="clear" w:color="auto" w:fill="D0CECE" w:themeFill="background2" w:themeFillShade="E6"/>
          </w:tcPr>
          <w:p w14:paraId="5BE02F04" w14:textId="77777777" w:rsidR="00B13B0C" w:rsidRPr="00970766" w:rsidRDefault="00B13B0C" w:rsidP="00EC7346">
            <w:pPr>
              <w:keepLines/>
              <w:spacing w:before="120"/>
              <w:ind w:right="46"/>
              <w:jc w:val="center"/>
              <w:cnfStyle w:val="100000000000" w:firstRow="1" w:lastRow="0" w:firstColumn="0" w:lastColumn="0" w:oddVBand="0" w:evenVBand="0" w:oddHBand="0" w:evenHBand="0" w:firstRowFirstColumn="0" w:firstRowLastColumn="0" w:lastRowFirstColumn="0" w:lastRowLastColumn="0"/>
              <w:rPr>
                <w:rFonts w:cs="Arial"/>
                <w:b w:val="0"/>
                <w:bCs/>
                <w:iCs/>
                <w:color w:val="000000"/>
                <w:sz w:val="16"/>
                <w:szCs w:val="16"/>
              </w:rPr>
            </w:pPr>
            <w:r w:rsidRPr="00970766">
              <w:rPr>
                <w:rFonts w:cs="Arial"/>
                <w:b w:val="0"/>
                <w:bCs/>
                <w:iCs/>
                <w:color w:val="000000"/>
                <w:sz w:val="16"/>
                <w:szCs w:val="16"/>
              </w:rPr>
              <w:t>Année</w:t>
            </w:r>
          </w:p>
        </w:tc>
        <w:tc>
          <w:tcPr>
            <w:tcW w:w="992" w:type="dxa"/>
            <w:shd w:val="clear" w:color="auto" w:fill="D0CECE" w:themeFill="background2" w:themeFillShade="E6"/>
          </w:tcPr>
          <w:p w14:paraId="42789E32" w14:textId="77777777" w:rsidR="00B13B0C" w:rsidRPr="00970766" w:rsidRDefault="00B13B0C" w:rsidP="00EC7346">
            <w:pPr>
              <w:keepLines/>
              <w:spacing w:before="120"/>
              <w:ind w:right="46"/>
              <w:jc w:val="center"/>
              <w:cnfStyle w:val="100000000000" w:firstRow="1" w:lastRow="0" w:firstColumn="0" w:lastColumn="0" w:oddVBand="0" w:evenVBand="0" w:oddHBand="0" w:evenHBand="0" w:firstRowFirstColumn="0" w:firstRowLastColumn="0" w:lastRowFirstColumn="0" w:lastRowLastColumn="0"/>
              <w:rPr>
                <w:rFonts w:cs="Arial"/>
                <w:b w:val="0"/>
                <w:bCs/>
                <w:iCs/>
                <w:color w:val="000000"/>
                <w:sz w:val="16"/>
                <w:szCs w:val="16"/>
              </w:rPr>
            </w:pPr>
            <w:r w:rsidRPr="00970766">
              <w:rPr>
                <w:rFonts w:cs="Arial"/>
                <w:b w:val="0"/>
                <w:bCs/>
                <w:iCs/>
                <w:color w:val="000000"/>
                <w:sz w:val="16"/>
                <w:szCs w:val="16"/>
              </w:rPr>
              <w:t>Pays</w:t>
            </w:r>
          </w:p>
        </w:tc>
        <w:tc>
          <w:tcPr>
            <w:tcW w:w="993" w:type="dxa"/>
            <w:shd w:val="clear" w:color="auto" w:fill="D0CECE" w:themeFill="background2" w:themeFillShade="E6"/>
          </w:tcPr>
          <w:p w14:paraId="2859B3AA" w14:textId="77777777" w:rsidR="00B13B0C" w:rsidRPr="00970766" w:rsidRDefault="00B13B0C" w:rsidP="00EC7346">
            <w:pPr>
              <w:keepLines/>
              <w:spacing w:before="120"/>
              <w:ind w:right="46"/>
              <w:jc w:val="center"/>
              <w:cnfStyle w:val="100000000000" w:firstRow="1" w:lastRow="0" w:firstColumn="0" w:lastColumn="0" w:oddVBand="0" w:evenVBand="0" w:oddHBand="0" w:evenHBand="0" w:firstRowFirstColumn="0" w:firstRowLastColumn="0" w:lastRowFirstColumn="0" w:lastRowLastColumn="0"/>
              <w:rPr>
                <w:rFonts w:cs="Arial"/>
                <w:b w:val="0"/>
                <w:bCs/>
                <w:iCs/>
                <w:color w:val="000000"/>
                <w:sz w:val="16"/>
                <w:szCs w:val="16"/>
              </w:rPr>
            </w:pPr>
            <w:r w:rsidRPr="00970766">
              <w:rPr>
                <w:rFonts w:cs="Arial"/>
                <w:b w:val="0"/>
                <w:bCs/>
                <w:iCs/>
                <w:color w:val="000000"/>
                <w:sz w:val="16"/>
                <w:szCs w:val="16"/>
              </w:rPr>
              <w:t>Nombre de patients</w:t>
            </w:r>
          </w:p>
        </w:tc>
        <w:tc>
          <w:tcPr>
            <w:tcW w:w="1134" w:type="dxa"/>
            <w:shd w:val="clear" w:color="auto" w:fill="D0CECE" w:themeFill="background2" w:themeFillShade="E6"/>
          </w:tcPr>
          <w:p w14:paraId="144E4FE3" w14:textId="77777777" w:rsidR="00B13B0C" w:rsidRPr="00970766" w:rsidRDefault="00B13B0C" w:rsidP="00EC7346">
            <w:pPr>
              <w:keepLines/>
              <w:spacing w:before="120"/>
              <w:ind w:right="46"/>
              <w:jc w:val="center"/>
              <w:cnfStyle w:val="100000000000" w:firstRow="1" w:lastRow="0" w:firstColumn="0" w:lastColumn="0" w:oddVBand="0" w:evenVBand="0" w:oddHBand="0" w:evenHBand="0" w:firstRowFirstColumn="0" w:firstRowLastColumn="0" w:lastRowFirstColumn="0" w:lastRowLastColumn="0"/>
              <w:rPr>
                <w:rFonts w:cs="Arial"/>
                <w:b w:val="0"/>
                <w:bCs/>
                <w:iCs/>
                <w:color w:val="000000"/>
                <w:sz w:val="16"/>
                <w:szCs w:val="16"/>
              </w:rPr>
            </w:pPr>
            <w:r w:rsidRPr="00970766">
              <w:rPr>
                <w:rFonts w:cs="Arial"/>
                <w:b w:val="0"/>
                <w:bCs/>
                <w:iCs/>
                <w:color w:val="000000"/>
                <w:sz w:val="16"/>
                <w:szCs w:val="16"/>
              </w:rPr>
              <w:t>Etiologie</w:t>
            </w:r>
          </w:p>
        </w:tc>
        <w:tc>
          <w:tcPr>
            <w:tcW w:w="1417" w:type="dxa"/>
            <w:shd w:val="clear" w:color="auto" w:fill="D0CECE" w:themeFill="background2" w:themeFillShade="E6"/>
          </w:tcPr>
          <w:p w14:paraId="1B5B63C0" w14:textId="77777777" w:rsidR="00B13B0C" w:rsidRPr="00970766" w:rsidRDefault="00B13B0C" w:rsidP="00EC7346">
            <w:pPr>
              <w:keepLines/>
              <w:spacing w:before="120"/>
              <w:ind w:right="46"/>
              <w:jc w:val="center"/>
              <w:cnfStyle w:val="100000000000" w:firstRow="1" w:lastRow="0" w:firstColumn="0" w:lastColumn="0" w:oddVBand="0" w:evenVBand="0" w:oddHBand="0" w:evenHBand="0" w:firstRowFirstColumn="0" w:firstRowLastColumn="0" w:lastRowFirstColumn="0" w:lastRowLastColumn="0"/>
              <w:rPr>
                <w:rFonts w:cs="Arial"/>
                <w:b w:val="0"/>
                <w:bCs/>
                <w:iCs/>
                <w:color w:val="000000"/>
                <w:sz w:val="16"/>
                <w:szCs w:val="16"/>
              </w:rPr>
            </w:pPr>
            <w:r w:rsidRPr="00970766">
              <w:rPr>
                <w:rFonts w:cs="Arial"/>
                <w:b w:val="0"/>
                <w:bCs/>
                <w:iCs/>
                <w:color w:val="000000"/>
                <w:sz w:val="16"/>
                <w:szCs w:val="16"/>
              </w:rPr>
              <w:t>Intervention</w:t>
            </w:r>
          </w:p>
        </w:tc>
        <w:tc>
          <w:tcPr>
            <w:tcW w:w="1276" w:type="dxa"/>
            <w:shd w:val="clear" w:color="auto" w:fill="D0CECE" w:themeFill="background2" w:themeFillShade="E6"/>
          </w:tcPr>
          <w:p w14:paraId="1C0E7DA4" w14:textId="77777777" w:rsidR="00B13B0C" w:rsidRPr="00970766" w:rsidRDefault="00B13B0C" w:rsidP="00EC7346">
            <w:pPr>
              <w:keepLines/>
              <w:spacing w:before="120"/>
              <w:ind w:right="46"/>
              <w:jc w:val="center"/>
              <w:cnfStyle w:val="100000000000" w:firstRow="1" w:lastRow="0" w:firstColumn="0" w:lastColumn="0" w:oddVBand="0" w:evenVBand="0" w:oddHBand="0" w:evenHBand="0" w:firstRowFirstColumn="0" w:firstRowLastColumn="0" w:lastRowFirstColumn="0" w:lastRowLastColumn="0"/>
              <w:rPr>
                <w:rFonts w:cs="Arial"/>
                <w:b w:val="0"/>
                <w:bCs/>
                <w:iCs/>
                <w:color w:val="000000"/>
                <w:sz w:val="16"/>
                <w:szCs w:val="16"/>
              </w:rPr>
            </w:pPr>
            <w:r w:rsidRPr="00970766">
              <w:rPr>
                <w:rFonts w:cs="Arial"/>
                <w:b w:val="0"/>
                <w:bCs/>
                <w:iCs/>
                <w:color w:val="000000"/>
                <w:sz w:val="16"/>
                <w:szCs w:val="16"/>
              </w:rPr>
              <w:t>Site d’injection</w:t>
            </w:r>
          </w:p>
        </w:tc>
        <w:tc>
          <w:tcPr>
            <w:tcW w:w="1134" w:type="dxa"/>
            <w:shd w:val="clear" w:color="auto" w:fill="D0CECE" w:themeFill="background2" w:themeFillShade="E6"/>
          </w:tcPr>
          <w:p w14:paraId="72F6BB97" w14:textId="77777777" w:rsidR="00B13B0C" w:rsidRPr="00970766" w:rsidRDefault="00B13B0C" w:rsidP="00EC7346">
            <w:pPr>
              <w:keepLines/>
              <w:spacing w:before="120"/>
              <w:ind w:right="46"/>
              <w:jc w:val="center"/>
              <w:cnfStyle w:val="100000000000" w:firstRow="1" w:lastRow="0" w:firstColumn="0" w:lastColumn="0" w:oddVBand="0" w:evenVBand="0" w:oddHBand="0" w:evenHBand="0" w:firstRowFirstColumn="0" w:firstRowLastColumn="0" w:lastRowFirstColumn="0" w:lastRowLastColumn="0"/>
              <w:rPr>
                <w:rFonts w:cs="Arial"/>
                <w:b w:val="0"/>
                <w:bCs/>
                <w:iCs/>
                <w:color w:val="000000"/>
                <w:sz w:val="16"/>
                <w:szCs w:val="16"/>
              </w:rPr>
            </w:pPr>
            <w:r w:rsidRPr="00970766">
              <w:rPr>
                <w:rFonts w:cs="Arial"/>
                <w:b w:val="0"/>
                <w:bCs/>
                <w:iCs/>
                <w:color w:val="000000"/>
                <w:sz w:val="16"/>
                <w:szCs w:val="16"/>
              </w:rPr>
              <w:t>Résultat principal</w:t>
            </w:r>
          </w:p>
        </w:tc>
        <w:tc>
          <w:tcPr>
            <w:tcW w:w="1276" w:type="dxa"/>
            <w:shd w:val="clear" w:color="auto" w:fill="D0CECE" w:themeFill="background2" w:themeFillShade="E6"/>
          </w:tcPr>
          <w:p w14:paraId="7E8786D7" w14:textId="77777777" w:rsidR="00B13B0C" w:rsidRPr="00970766" w:rsidRDefault="00B13B0C" w:rsidP="00EC7346">
            <w:pPr>
              <w:keepLines/>
              <w:spacing w:before="120"/>
              <w:ind w:right="46"/>
              <w:jc w:val="center"/>
              <w:cnfStyle w:val="100000000000" w:firstRow="1" w:lastRow="0" w:firstColumn="0" w:lastColumn="0" w:oddVBand="0" w:evenVBand="0" w:oddHBand="0" w:evenHBand="0" w:firstRowFirstColumn="0" w:firstRowLastColumn="0" w:lastRowFirstColumn="0" w:lastRowLastColumn="0"/>
              <w:rPr>
                <w:rFonts w:cs="Arial"/>
                <w:b w:val="0"/>
                <w:bCs/>
                <w:iCs/>
                <w:color w:val="000000"/>
                <w:sz w:val="16"/>
                <w:szCs w:val="16"/>
              </w:rPr>
            </w:pPr>
            <w:r w:rsidRPr="00970766">
              <w:rPr>
                <w:rFonts w:cs="Arial"/>
                <w:b w:val="0"/>
                <w:bCs/>
                <w:iCs/>
                <w:color w:val="000000"/>
                <w:sz w:val="16"/>
                <w:szCs w:val="16"/>
              </w:rPr>
              <w:t>Suivi (semaines)</w:t>
            </w:r>
          </w:p>
        </w:tc>
      </w:tr>
      <w:tr w:rsidR="00B13B0C" w:rsidRPr="00970766" w14:paraId="774DD35B" w14:textId="77777777" w:rsidTr="00EC7346">
        <w:tc>
          <w:tcPr>
            <w:cnfStyle w:val="001000000000" w:firstRow="0" w:lastRow="0" w:firstColumn="1" w:lastColumn="0" w:oddVBand="0" w:evenVBand="0" w:oddHBand="0" w:evenHBand="0" w:firstRowFirstColumn="0" w:firstRowLastColumn="0" w:lastRowFirstColumn="0" w:lastRowLastColumn="0"/>
            <w:tcW w:w="988" w:type="dxa"/>
          </w:tcPr>
          <w:p w14:paraId="0DFBDB2E" w14:textId="77777777" w:rsidR="00B13B0C" w:rsidRPr="00970766" w:rsidRDefault="00B13B0C" w:rsidP="00EC7346">
            <w:pPr>
              <w:keepLines/>
              <w:spacing w:before="120"/>
              <w:ind w:right="46"/>
              <w:jc w:val="center"/>
              <w:rPr>
                <w:rFonts w:cs="Arial"/>
                <w:bCs/>
                <w:iCs/>
                <w:color w:val="000000"/>
                <w:sz w:val="16"/>
                <w:szCs w:val="16"/>
              </w:rPr>
            </w:pPr>
            <w:r w:rsidRPr="00970766">
              <w:rPr>
                <w:rFonts w:cs="Arial"/>
                <w:bCs/>
                <w:iCs/>
                <w:color w:val="000000"/>
                <w:sz w:val="16"/>
                <w:szCs w:val="16"/>
              </w:rPr>
              <w:t>NCT00168441*</w:t>
            </w:r>
          </w:p>
        </w:tc>
        <w:tc>
          <w:tcPr>
            <w:tcW w:w="850" w:type="dxa"/>
          </w:tcPr>
          <w:p w14:paraId="12141AD4"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2005</w:t>
            </w:r>
          </w:p>
        </w:tc>
        <w:tc>
          <w:tcPr>
            <w:tcW w:w="992" w:type="dxa"/>
          </w:tcPr>
          <w:p w14:paraId="2855E373"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USA</w:t>
            </w:r>
          </w:p>
          <w:p w14:paraId="0203819B"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Canada</w:t>
            </w:r>
          </w:p>
        </w:tc>
        <w:tc>
          <w:tcPr>
            <w:tcW w:w="993" w:type="dxa"/>
          </w:tcPr>
          <w:p w14:paraId="5B8FCE14"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117</w:t>
            </w:r>
          </w:p>
        </w:tc>
        <w:tc>
          <w:tcPr>
            <w:tcW w:w="1134" w:type="dxa"/>
          </w:tcPr>
          <w:p w14:paraId="36E1CD01"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NPH</w:t>
            </w:r>
          </w:p>
        </w:tc>
        <w:tc>
          <w:tcPr>
            <w:tcW w:w="1417" w:type="dxa"/>
          </w:tcPr>
          <w:p w14:paraId="0F8273E3"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ID, 2–80</w:t>
            </w:r>
          </w:p>
          <w:p w14:paraId="1AA47ABF"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injections, 5–200</w:t>
            </w:r>
          </w:p>
          <w:p w14:paraId="3305BC77"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U</w:t>
            </w:r>
          </w:p>
        </w:tc>
        <w:tc>
          <w:tcPr>
            <w:tcW w:w="1276" w:type="dxa"/>
          </w:tcPr>
          <w:p w14:paraId="7E1BFB37"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Trigéminal, cervical, thorax, region lombaire ou sacrée</w:t>
            </w:r>
          </w:p>
        </w:tc>
        <w:tc>
          <w:tcPr>
            <w:tcW w:w="1134" w:type="dxa"/>
          </w:tcPr>
          <w:p w14:paraId="128172F5"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EN</w:t>
            </w:r>
          </w:p>
        </w:tc>
        <w:tc>
          <w:tcPr>
            <w:tcW w:w="1276" w:type="dxa"/>
          </w:tcPr>
          <w:p w14:paraId="0B23CBCB"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12</w:t>
            </w:r>
          </w:p>
        </w:tc>
      </w:tr>
      <w:tr w:rsidR="00B13B0C" w:rsidRPr="00970766" w14:paraId="592DB71B" w14:textId="77777777" w:rsidTr="00EC7346">
        <w:tc>
          <w:tcPr>
            <w:cnfStyle w:val="001000000000" w:firstRow="0" w:lastRow="0" w:firstColumn="1" w:lastColumn="0" w:oddVBand="0" w:evenVBand="0" w:oddHBand="0" w:evenHBand="0" w:firstRowFirstColumn="0" w:firstRowLastColumn="0" w:lastRowFirstColumn="0" w:lastRowLastColumn="0"/>
            <w:tcW w:w="988" w:type="dxa"/>
          </w:tcPr>
          <w:p w14:paraId="7FB23521" w14:textId="77777777" w:rsidR="00B13B0C" w:rsidRPr="00970766" w:rsidRDefault="00B13B0C" w:rsidP="00EC7346">
            <w:pPr>
              <w:keepLines/>
              <w:spacing w:before="120"/>
              <w:ind w:right="46"/>
              <w:jc w:val="center"/>
              <w:rPr>
                <w:rFonts w:cs="Arial"/>
                <w:bCs/>
                <w:iCs/>
                <w:color w:val="000000"/>
                <w:sz w:val="16"/>
                <w:szCs w:val="16"/>
              </w:rPr>
            </w:pPr>
            <w:r w:rsidRPr="00970766">
              <w:rPr>
                <w:rFonts w:cs="Arial"/>
                <w:bCs/>
                <w:iCs/>
                <w:color w:val="000000"/>
                <w:sz w:val="16"/>
                <w:szCs w:val="16"/>
              </w:rPr>
              <w:t>Apalla et al.</w:t>
            </w:r>
          </w:p>
        </w:tc>
        <w:tc>
          <w:tcPr>
            <w:tcW w:w="850" w:type="dxa"/>
          </w:tcPr>
          <w:p w14:paraId="72AD228E"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2012</w:t>
            </w:r>
          </w:p>
        </w:tc>
        <w:tc>
          <w:tcPr>
            <w:tcW w:w="992" w:type="dxa"/>
          </w:tcPr>
          <w:p w14:paraId="77138D41"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Grèce</w:t>
            </w:r>
          </w:p>
        </w:tc>
        <w:tc>
          <w:tcPr>
            <w:tcW w:w="993" w:type="dxa"/>
          </w:tcPr>
          <w:p w14:paraId="441EF791"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30</w:t>
            </w:r>
          </w:p>
        </w:tc>
        <w:tc>
          <w:tcPr>
            <w:tcW w:w="1134" w:type="dxa"/>
          </w:tcPr>
          <w:p w14:paraId="730C4060"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NPH</w:t>
            </w:r>
          </w:p>
        </w:tc>
        <w:tc>
          <w:tcPr>
            <w:tcW w:w="1417" w:type="dxa"/>
          </w:tcPr>
          <w:p w14:paraId="380EA6C0"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SC, 40 injections, 100 U</w:t>
            </w:r>
          </w:p>
        </w:tc>
        <w:tc>
          <w:tcPr>
            <w:tcW w:w="1276" w:type="dxa"/>
          </w:tcPr>
          <w:p w14:paraId="251FE19A"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NS</w:t>
            </w:r>
          </w:p>
        </w:tc>
        <w:tc>
          <w:tcPr>
            <w:tcW w:w="1134" w:type="dxa"/>
          </w:tcPr>
          <w:p w14:paraId="531EA038"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EN</w:t>
            </w:r>
          </w:p>
        </w:tc>
        <w:tc>
          <w:tcPr>
            <w:tcW w:w="1276" w:type="dxa"/>
          </w:tcPr>
          <w:p w14:paraId="58F564ED"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20</w:t>
            </w:r>
          </w:p>
        </w:tc>
      </w:tr>
      <w:tr w:rsidR="00B13B0C" w:rsidRPr="00970766" w14:paraId="040C493A" w14:textId="77777777" w:rsidTr="00EC7346">
        <w:tc>
          <w:tcPr>
            <w:cnfStyle w:val="001000000000" w:firstRow="0" w:lastRow="0" w:firstColumn="1" w:lastColumn="0" w:oddVBand="0" w:evenVBand="0" w:oddHBand="0" w:evenHBand="0" w:firstRowFirstColumn="0" w:firstRowLastColumn="0" w:lastRowFirstColumn="0" w:lastRowLastColumn="0"/>
            <w:tcW w:w="988" w:type="dxa"/>
          </w:tcPr>
          <w:p w14:paraId="49D66CF0" w14:textId="77777777" w:rsidR="00B13B0C" w:rsidRPr="00970766" w:rsidRDefault="00B13B0C" w:rsidP="00EC7346">
            <w:pPr>
              <w:keepLines/>
              <w:spacing w:before="120"/>
              <w:ind w:right="46"/>
              <w:jc w:val="center"/>
              <w:rPr>
                <w:rFonts w:cs="Arial"/>
                <w:bCs/>
                <w:iCs/>
                <w:color w:val="000000"/>
                <w:sz w:val="16"/>
                <w:szCs w:val="16"/>
              </w:rPr>
            </w:pPr>
            <w:r w:rsidRPr="00970766">
              <w:rPr>
                <w:rFonts w:cs="Arial"/>
                <w:bCs/>
                <w:iCs/>
                <w:color w:val="000000"/>
                <w:sz w:val="16"/>
                <w:szCs w:val="16"/>
              </w:rPr>
              <w:t>Attal et al.</w:t>
            </w:r>
          </w:p>
        </w:tc>
        <w:tc>
          <w:tcPr>
            <w:tcW w:w="850" w:type="dxa"/>
          </w:tcPr>
          <w:p w14:paraId="421DFCC4"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2016</w:t>
            </w:r>
          </w:p>
        </w:tc>
        <w:tc>
          <w:tcPr>
            <w:tcW w:w="992" w:type="dxa"/>
          </w:tcPr>
          <w:p w14:paraId="1376D348"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France</w:t>
            </w:r>
          </w:p>
          <w:p w14:paraId="50943018"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Brésil</w:t>
            </w:r>
          </w:p>
        </w:tc>
        <w:tc>
          <w:tcPr>
            <w:tcW w:w="993" w:type="dxa"/>
          </w:tcPr>
          <w:p w14:paraId="6005F8BC"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68</w:t>
            </w:r>
          </w:p>
        </w:tc>
        <w:tc>
          <w:tcPr>
            <w:tcW w:w="1134" w:type="dxa"/>
          </w:tcPr>
          <w:p w14:paraId="60243357"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NPT-C</w:t>
            </w:r>
          </w:p>
          <w:p w14:paraId="67D271C9"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NPH</w:t>
            </w:r>
          </w:p>
          <w:p w14:paraId="0F641C6A"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PN</w:t>
            </w:r>
          </w:p>
        </w:tc>
        <w:tc>
          <w:tcPr>
            <w:tcW w:w="1417" w:type="dxa"/>
          </w:tcPr>
          <w:p w14:paraId="0EA2D3AC"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SC, 40 injections max,</w:t>
            </w:r>
          </w:p>
          <w:p w14:paraId="179F13B3"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300 U max</w:t>
            </w:r>
          </w:p>
        </w:tc>
        <w:tc>
          <w:tcPr>
            <w:tcW w:w="1276" w:type="dxa"/>
          </w:tcPr>
          <w:p w14:paraId="4CC385EE"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NS</w:t>
            </w:r>
          </w:p>
        </w:tc>
        <w:tc>
          <w:tcPr>
            <w:tcW w:w="1134" w:type="dxa"/>
          </w:tcPr>
          <w:p w14:paraId="03F5D561"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EN</w:t>
            </w:r>
          </w:p>
        </w:tc>
        <w:tc>
          <w:tcPr>
            <w:tcW w:w="1276" w:type="dxa"/>
          </w:tcPr>
          <w:p w14:paraId="09079C85"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24</w:t>
            </w:r>
          </w:p>
        </w:tc>
      </w:tr>
      <w:tr w:rsidR="00B13B0C" w:rsidRPr="00970766" w14:paraId="4D31C14D" w14:textId="77777777" w:rsidTr="00EC7346">
        <w:tc>
          <w:tcPr>
            <w:cnfStyle w:val="001000000000" w:firstRow="0" w:lastRow="0" w:firstColumn="1" w:lastColumn="0" w:oddVBand="0" w:evenVBand="0" w:oddHBand="0" w:evenHBand="0" w:firstRowFirstColumn="0" w:firstRowLastColumn="0" w:lastRowFirstColumn="0" w:lastRowLastColumn="0"/>
            <w:tcW w:w="988" w:type="dxa"/>
          </w:tcPr>
          <w:p w14:paraId="6661DE4E" w14:textId="77777777" w:rsidR="00B13B0C" w:rsidRPr="00970766" w:rsidRDefault="00B13B0C" w:rsidP="00EC7346">
            <w:pPr>
              <w:keepLines/>
              <w:spacing w:before="120"/>
              <w:ind w:right="46"/>
              <w:jc w:val="center"/>
              <w:rPr>
                <w:rFonts w:cs="Arial"/>
                <w:bCs/>
                <w:iCs/>
                <w:color w:val="000000"/>
                <w:sz w:val="16"/>
                <w:szCs w:val="16"/>
              </w:rPr>
            </w:pPr>
            <w:r w:rsidRPr="00970766">
              <w:rPr>
                <w:rFonts w:cs="Arial"/>
                <w:bCs/>
                <w:iCs/>
                <w:color w:val="000000"/>
                <w:sz w:val="16"/>
                <w:szCs w:val="16"/>
              </w:rPr>
              <w:t>NCT03663101*</w:t>
            </w:r>
          </w:p>
        </w:tc>
        <w:tc>
          <w:tcPr>
            <w:tcW w:w="850" w:type="dxa"/>
          </w:tcPr>
          <w:p w14:paraId="539A44EE"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2020</w:t>
            </w:r>
          </w:p>
        </w:tc>
        <w:tc>
          <w:tcPr>
            <w:tcW w:w="992" w:type="dxa"/>
          </w:tcPr>
          <w:p w14:paraId="60533C32"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R-U</w:t>
            </w:r>
          </w:p>
        </w:tc>
        <w:tc>
          <w:tcPr>
            <w:tcW w:w="993" w:type="dxa"/>
          </w:tcPr>
          <w:p w14:paraId="74392CEB"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16</w:t>
            </w:r>
          </w:p>
        </w:tc>
        <w:tc>
          <w:tcPr>
            <w:tcW w:w="1134" w:type="dxa"/>
          </w:tcPr>
          <w:p w14:paraId="507D1CA5"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NPT-C</w:t>
            </w:r>
          </w:p>
        </w:tc>
        <w:tc>
          <w:tcPr>
            <w:tcW w:w="1417" w:type="dxa"/>
          </w:tcPr>
          <w:p w14:paraId="6AC0C7B8"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ID, 10 injections max,</w:t>
            </w:r>
          </w:p>
          <w:p w14:paraId="00BADFA0"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25–200</w:t>
            </w:r>
          </w:p>
          <w:p w14:paraId="1C21A151"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U</w:t>
            </w:r>
          </w:p>
        </w:tc>
        <w:tc>
          <w:tcPr>
            <w:tcW w:w="1276" w:type="dxa"/>
          </w:tcPr>
          <w:p w14:paraId="51367000"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Abdomen, thorax</w:t>
            </w:r>
          </w:p>
        </w:tc>
        <w:tc>
          <w:tcPr>
            <w:tcW w:w="1134" w:type="dxa"/>
          </w:tcPr>
          <w:p w14:paraId="30739198"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EN</w:t>
            </w:r>
          </w:p>
        </w:tc>
        <w:tc>
          <w:tcPr>
            <w:tcW w:w="1276" w:type="dxa"/>
          </w:tcPr>
          <w:p w14:paraId="5CA5516E"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16</w:t>
            </w:r>
          </w:p>
        </w:tc>
      </w:tr>
      <w:tr w:rsidR="00B13B0C" w:rsidRPr="00970766" w14:paraId="66A9D3CB" w14:textId="77777777" w:rsidTr="00EC7346">
        <w:tc>
          <w:tcPr>
            <w:cnfStyle w:val="001000000000" w:firstRow="0" w:lastRow="0" w:firstColumn="1" w:lastColumn="0" w:oddVBand="0" w:evenVBand="0" w:oddHBand="0" w:evenHBand="0" w:firstRowFirstColumn="0" w:firstRowLastColumn="0" w:lastRowFirstColumn="0" w:lastRowLastColumn="0"/>
            <w:tcW w:w="988" w:type="dxa"/>
          </w:tcPr>
          <w:p w14:paraId="08D186BC" w14:textId="77777777" w:rsidR="00B13B0C" w:rsidRPr="00970766" w:rsidRDefault="00B13B0C" w:rsidP="00EC7346">
            <w:pPr>
              <w:keepLines/>
              <w:spacing w:before="120"/>
              <w:ind w:right="46"/>
              <w:jc w:val="center"/>
              <w:rPr>
                <w:rFonts w:cs="Arial"/>
                <w:bCs/>
                <w:iCs/>
                <w:color w:val="000000"/>
                <w:sz w:val="16"/>
                <w:szCs w:val="16"/>
              </w:rPr>
            </w:pPr>
            <w:r w:rsidRPr="00970766">
              <w:rPr>
                <w:rFonts w:cs="Arial"/>
                <w:bCs/>
                <w:iCs/>
                <w:color w:val="000000"/>
                <w:sz w:val="16"/>
                <w:szCs w:val="16"/>
              </w:rPr>
              <w:t>Ghasemi et al.</w:t>
            </w:r>
          </w:p>
        </w:tc>
        <w:tc>
          <w:tcPr>
            <w:tcW w:w="850" w:type="dxa"/>
          </w:tcPr>
          <w:p w14:paraId="692A9304"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2014</w:t>
            </w:r>
          </w:p>
        </w:tc>
        <w:tc>
          <w:tcPr>
            <w:tcW w:w="992" w:type="dxa"/>
          </w:tcPr>
          <w:p w14:paraId="2156ED8D"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Iran</w:t>
            </w:r>
          </w:p>
        </w:tc>
        <w:tc>
          <w:tcPr>
            <w:tcW w:w="993" w:type="dxa"/>
          </w:tcPr>
          <w:p w14:paraId="1EE3FFAF"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40</w:t>
            </w:r>
          </w:p>
        </w:tc>
        <w:tc>
          <w:tcPr>
            <w:tcW w:w="1134" w:type="dxa"/>
          </w:tcPr>
          <w:p w14:paraId="2BD49EAA"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PND</w:t>
            </w:r>
          </w:p>
        </w:tc>
        <w:tc>
          <w:tcPr>
            <w:tcW w:w="1417" w:type="dxa"/>
          </w:tcPr>
          <w:p w14:paraId="16D79B2E"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ID, 10 injections max, 100 IU</w:t>
            </w:r>
          </w:p>
        </w:tc>
        <w:tc>
          <w:tcPr>
            <w:tcW w:w="1276" w:type="dxa"/>
          </w:tcPr>
          <w:p w14:paraId="6868E8C2"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Pieds</w:t>
            </w:r>
          </w:p>
        </w:tc>
        <w:tc>
          <w:tcPr>
            <w:tcW w:w="1134" w:type="dxa"/>
          </w:tcPr>
          <w:p w14:paraId="1BB64B65"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EN</w:t>
            </w:r>
          </w:p>
        </w:tc>
        <w:tc>
          <w:tcPr>
            <w:tcW w:w="1276" w:type="dxa"/>
          </w:tcPr>
          <w:p w14:paraId="3B773144"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3</w:t>
            </w:r>
          </w:p>
        </w:tc>
      </w:tr>
      <w:tr w:rsidR="00B13B0C" w:rsidRPr="00970766" w14:paraId="7CBD2962" w14:textId="77777777" w:rsidTr="00EC7346">
        <w:tc>
          <w:tcPr>
            <w:cnfStyle w:val="001000000000" w:firstRow="0" w:lastRow="0" w:firstColumn="1" w:lastColumn="0" w:oddVBand="0" w:evenVBand="0" w:oddHBand="0" w:evenHBand="0" w:firstRowFirstColumn="0" w:firstRowLastColumn="0" w:lastRowFirstColumn="0" w:lastRowLastColumn="0"/>
            <w:tcW w:w="988" w:type="dxa"/>
          </w:tcPr>
          <w:p w14:paraId="1C2F07A3" w14:textId="77777777" w:rsidR="00B13B0C" w:rsidRPr="00970766" w:rsidRDefault="00B13B0C" w:rsidP="00EC7346">
            <w:pPr>
              <w:keepLines/>
              <w:spacing w:before="120"/>
              <w:ind w:right="46"/>
              <w:jc w:val="center"/>
              <w:rPr>
                <w:rFonts w:cs="Arial"/>
                <w:bCs/>
                <w:iCs/>
                <w:color w:val="000000"/>
                <w:sz w:val="16"/>
                <w:szCs w:val="16"/>
              </w:rPr>
            </w:pPr>
            <w:r w:rsidRPr="00970766">
              <w:rPr>
                <w:rFonts w:cs="Arial"/>
                <w:bCs/>
                <w:iCs/>
                <w:color w:val="000000"/>
                <w:sz w:val="16"/>
                <w:szCs w:val="16"/>
              </w:rPr>
              <w:t>Ranoux et al.</w:t>
            </w:r>
          </w:p>
        </w:tc>
        <w:tc>
          <w:tcPr>
            <w:tcW w:w="850" w:type="dxa"/>
          </w:tcPr>
          <w:p w14:paraId="5344B97A"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2008</w:t>
            </w:r>
          </w:p>
        </w:tc>
        <w:tc>
          <w:tcPr>
            <w:tcW w:w="992" w:type="dxa"/>
          </w:tcPr>
          <w:p w14:paraId="0E8C5F2E"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France</w:t>
            </w:r>
          </w:p>
        </w:tc>
        <w:tc>
          <w:tcPr>
            <w:tcW w:w="993" w:type="dxa"/>
          </w:tcPr>
          <w:p w14:paraId="3A2C23BB"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29</w:t>
            </w:r>
          </w:p>
        </w:tc>
        <w:tc>
          <w:tcPr>
            <w:tcW w:w="1134" w:type="dxa"/>
          </w:tcPr>
          <w:p w14:paraId="4A63835E"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NPT-C</w:t>
            </w:r>
          </w:p>
          <w:p w14:paraId="66B37D18"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NPH</w:t>
            </w:r>
          </w:p>
          <w:p w14:paraId="0ED2FAA8"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PN</w:t>
            </w:r>
          </w:p>
        </w:tc>
        <w:tc>
          <w:tcPr>
            <w:tcW w:w="1417" w:type="dxa"/>
          </w:tcPr>
          <w:p w14:paraId="4EE6B8F3"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SC, 40 injections max,</w:t>
            </w:r>
          </w:p>
          <w:p w14:paraId="04522BC8"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200 U max</w:t>
            </w:r>
          </w:p>
        </w:tc>
        <w:tc>
          <w:tcPr>
            <w:tcW w:w="1276" w:type="dxa"/>
          </w:tcPr>
          <w:p w14:paraId="5F66418A"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NS</w:t>
            </w:r>
          </w:p>
        </w:tc>
        <w:tc>
          <w:tcPr>
            <w:tcW w:w="1134" w:type="dxa"/>
          </w:tcPr>
          <w:p w14:paraId="70ED3993"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EN</w:t>
            </w:r>
          </w:p>
        </w:tc>
        <w:tc>
          <w:tcPr>
            <w:tcW w:w="1276" w:type="dxa"/>
          </w:tcPr>
          <w:p w14:paraId="57C6B290"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24</w:t>
            </w:r>
          </w:p>
        </w:tc>
      </w:tr>
      <w:tr w:rsidR="00B13B0C" w:rsidRPr="00970766" w14:paraId="7DE9D899" w14:textId="77777777" w:rsidTr="00EC7346">
        <w:tc>
          <w:tcPr>
            <w:cnfStyle w:val="001000000000" w:firstRow="0" w:lastRow="0" w:firstColumn="1" w:lastColumn="0" w:oddVBand="0" w:evenVBand="0" w:oddHBand="0" w:evenHBand="0" w:firstRowFirstColumn="0" w:firstRowLastColumn="0" w:lastRowFirstColumn="0" w:lastRowLastColumn="0"/>
            <w:tcW w:w="988" w:type="dxa"/>
          </w:tcPr>
          <w:p w14:paraId="7FE98417" w14:textId="77777777" w:rsidR="00B13B0C" w:rsidRPr="00970766" w:rsidRDefault="00B13B0C" w:rsidP="00EC7346">
            <w:pPr>
              <w:keepLines/>
              <w:spacing w:before="120"/>
              <w:ind w:right="46"/>
              <w:jc w:val="center"/>
              <w:rPr>
                <w:rFonts w:cs="Arial"/>
                <w:bCs/>
                <w:iCs/>
                <w:color w:val="000000"/>
                <w:sz w:val="16"/>
                <w:szCs w:val="16"/>
              </w:rPr>
            </w:pPr>
            <w:r w:rsidRPr="00970766">
              <w:rPr>
                <w:rFonts w:cs="Arial"/>
                <w:bCs/>
                <w:iCs/>
                <w:color w:val="000000"/>
                <w:sz w:val="16"/>
                <w:szCs w:val="16"/>
              </w:rPr>
              <w:t>Salehi et al.</w:t>
            </w:r>
          </w:p>
        </w:tc>
        <w:tc>
          <w:tcPr>
            <w:tcW w:w="850" w:type="dxa"/>
          </w:tcPr>
          <w:p w14:paraId="3C7D7159"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2019</w:t>
            </w:r>
          </w:p>
        </w:tc>
        <w:tc>
          <w:tcPr>
            <w:tcW w:w="992" w:type="dxa"/>
          </w:tcPr>
          <w:p w14:paraId="33723B13"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Iran</w:t>
            </w:r>
          </w:p>
        </w:tc>
        <w:tc>
          <w:tcPr>
            <w:tcW w:w="993" w:type="dxa"/>
          </w:tcPr>
          <w:p w14:paraId="40511647"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32</w:t>
            </w:r>
          </w:p>
        </w:tc>
        <w:tc>
          <w:tcPr>
            <w:tcW w:w="1134" w:type="dxa"/>
          </w:tcPr>
          <w:p w14:paraId="01D07B7C"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PND</w:t>
            </w:r>
          </w:p>
        </w:tc>
        <w:tc>
          <w:tcPr>
            <w:tcW w:w="1417" w:type="dxa"/>
          </w:tcPr>
          <w:p w14:paraId="361E07C8"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ID, 12 injections, 100 U</w:t>
            </w:r>
          </w:p>
        </w:tc>
        <w:tc>
          <w:tcPr>
            <w:tcW w:w="1276" w:type="dxa"/>
          </w:tcPr>
          <w:p w14:paraId="391D654A"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Pieds</w:t>
            </w:r>
          </w:p>
        </w:tc>
        <w:tc>
          <w:tcPr>
            <w:tcW w:w="1134" w:type="dxa"/>
          </w:tcPr>
          <w:p w14:paraId="37C3AC5D"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EVA</w:t>
            </w:r>
          </w:p>
        </w:tc>
        <w:tc>
          <w:tcPr>
            <w:tcW w:w="1276" w:type="dxa"/>
          </w:tcPr>
          <w:p w14:paraId="68B83583"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12</w:t>
            </w:r>
          </w:p>
        </w:tc>
      </w:tr>
      <w:tr w:rsidR="00B13B0C" w:rsidRPr="00970766" w14:paraId="11DC7295" w14:textId="77777777" w:rsidTr="00EC7346">
        <w:trPr>
          <w:trHeight w:val="416"/>
        </w:trPr>
        <w:tc>
          <w:tcPr>
            <w:cnfStyle w:val="001000000000" w:firstRow="0" w:lastRow="0" w:firstColumn="1" w:lastColumn="0" w:oddVBand="0" w:evenVBand="0" w:oddHBand="0" w:evenHBand="0" w:firstRowFirstColumn="0" w:firstRowLastColumn="0" w:lastRowFirstColumn="0" w:lastRowLastColumn="0"/>
            <w:tcW w:w="988" w:type="dxa"/>
          </w:tcPr>
          <w:p w14:paraId="0F276902" w14:textId="77777777" w:rsidR="00B13B0C" w:rsidRPr="00970766" w:rsidRDefault="00B13B0C" w:rsidP="00EC7346">
            <w:pPr>
              <w:keepLines/>
              <w:spacing w:before="120"/>
              <w:ind w:right="46"/>
              <w:jc w:val="center"/>
              <w:rPr>
                <w:rFonts w:cs="Arial"/>
                <w:bCs/>
                <w:iCs/>
                <w:color w:val="000000"/>
                <w:sz w:val="16"/>
                <w:szCs w:val="16"/>
              </w:rPr>
            </w:pPr>
            <w:r w:rsidRPr="00970766">
              <w:rPr>
                <w:rFonts w:cs="Arial"/>
                <w:bCs/>
                <w:iCs/>
                <w:color w:val="000000"/>
                <w:sz w:val="16"/>
                <w:szCs w:val="16"/>
              </w:rPr>
              <w:t>Taheri et al.</w:t>
            </w:r>
          </w:p>
        </w:tc>
        <w:tc>
          <w:tcPr>
            <w:tcW w:w="850" w:type="dxa"/>
          </w:tcPr>
          <w:p w14:paraId="75F43C47"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2020</w:t>
            </w:r>
          </w:p>
        </w:tc>
        <w:tc>
          <w:tcPr>
            <w:tcW w:w="992" w:type="dxa"/>
          </w:tcPr>
          <w:p w14:paraId="35B965BB"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Iran</w:t>
            </w:r>
          </w:p>
        </w:tc>
        <w:tc>
          <w:tcPr>
            <w:tcW w:w="993" w:type="dxa"/>
          </w:tcPr>
          <w:p w14:paraId="24808D2E"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141</w:t>
            </w:r>
          </w:p>
        </w:tc>
        <w:tc>
          <w:tcPr>
            <w:tcW w:w="1134" w:type="dxa"/>
          </w:tcPr>
          <w:p w14:paraId="72B4D3CE"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PND</w:t>
            </w:r>
          </w:p>
        </w:tc>
        <w:tc>
          <w:tcPr>
            <w:tcW w:w="1417" w:type="dxa"/>
          </w:tcPr>
          <w:p w14:paraId="1E2E8B96"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ID, 20–40</w:t>
            </w:r>
          </w:p>
          <w:p w14:paraId="7AADB5CE"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injections, 150 U</w:t>
            </w:r>
          </w:p>
        </w:tc>
        <w:tc>
          <w:tcPr>
            <w:tcW w:w="1276" w:type="dxa"/>
          </w:tcPr>
          <w:p w14:paraId="7524A881"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Pieds</w:t>
            </w:r>
          </w:p>
        </w:tc>
        <w:tc>
          <w:tcPr>
            <w:tcW w:w="1134" w:type="dxa"/>
          </w:tcPr>
          <w:p w14:paraId="1A6142B2"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EVA</w:t>
            </w:r>
          </w:p>
        </w:tc>
        <w:tc>
          <w:tcPr>
            <w:tcW w:w="1276" w:type="dxa"/>
          </w:tcPr>
          <w:p w14:paraId="20485473"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4</w:t>
            </w:r>
          </w:p>
        </w:tc>
      </w:tr>
      <w:tr w:rsidR="00B13B0C" w:rsidRPr="00970766" w14:paraId="3A28CFD0" w14:textId="77777777" w:rsidTr="00EC7346">
        <w:tc>
          <w:tcPr>
            <w:cnfStyle w:val="001000000000" w:firstRow="0" w:lastRow="0" w:firstColumn="1" w:lastColumn="0" w:oddVBand="0" w:evenVBand="0" w:oddHBand="0" w:evenHBand="0" w:firstRowFirstColumn="0" w:firstRowLastColumn="0" w:lastRowFirstColumn="0" w:lastRowLastColumn="0"/>
            <w:tcW w:w="988" w:type="dxa"/>
          </w:tcPr>
          <w:p w14:paraId="51247773" w14:textId="77777777" w:rsidR="00B13B0C" w:rsidRPr="00970766" w:rsidRDefault="00B13B0C" w:rsidP="00EC7346">
            <w:pPr>
              <w:keepLines/>
              <w:spacing w:before="120"/>
              <w:ind w:right="46"/>
              <w:jc w:val="center"/>
              <w:rPr>
                <w:rFonts w:cs="Arial"/>
                <w:bCs/>
                <w:iCs/>
                <w:color w:val="000000"/>
                <w:sz w:val="16"/>
                <w:szCs w:val="16"/>
              </w:rPr>
            </w:pPr>
            <w:r w:rsidRPr="00970766">
              <w:rPr>
                <w:rFonts w:cs="Arial"/>
                <w:bCs/>
                <w:iCs/>
                <w:color w:val="000000"/>
                <w:sz w:val="16"/>
                <w:szCs w:val="16"/>
              </w:rPr>
              <w:lastRenderedPageBreak/>
              <w:t>Xiao et al.</w:t>
            </w:r>
          </w:p>
        </w:tc>
        <w:tc>
          <w:tcPr>
            <w:tcW w:w="850" w:type="dxa"/>
          </w:tcPr>
          <w:p w14:paraId="7F074EE4"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2010</w:t>
            </w:r>
          </w:p>
        </w:tc>
        <w:tc>
          <w:tcPr>
            <w:tcW w:w="992" w:type="dxa"/>
          </w:tcPr>
          <w:p w14:paraId="566A720B"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Chine</w:t>
            </w:r>
          </w:p>
        </w:tc>
        <w:tc>
          <w:tcPr>
            <w:tcW w:w="993" w:type="dxa"/>
          </w:tcPr>
          <w:p w14:paraId="4CA5FB85"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40</w:t>
            </w:r>
          </w:p>
        </w:tc>
        <w:tc>
          <w:tcPr>
            <w:tcW w:w="1134" w:type="dxa"/>
          </w:tcPr>
          <w:p w14:paraId="16AEE9E5"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NPH</w:t>
            </w:r>
          </w:p>
        </w:tc>
        <w:tc>
          <w:tcPr>
            <w:tcW w:w="1417" w:type="dxa"/>
          </w:tcPr>
          <w:p w14:paraId="4F4FC218"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SC, multiple injections,</w:t>
            </w:r>
          </w:p>
          <w:p w14:paraId="41D5ECA2"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200 U max</w:t>
            </w:r>
          </w:p>
        </w:tc>
        <w:tc>
          <w:tcPr>
            <w:tcW w:w="1276" w:type="dxa"/>
          </w:tcPr>
          <w:p w14:paraId="46E3DB7E"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NS</w:t>
            </w:r>
          </w:p>
        </w:tc>
        <w:tc>
          <w:tcPr>
            <w:tcW w:w="1134" w:type="dxa"/>
          </w:tcPr>
          <w:p w14:paraId="2E68460B"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EVA</w:t>
            </w:r>
          </w:p>
        </w:tc>
        <w:tc>
          <w:tcPr>
            <w:tcW w:w="1276" w:type="dxa"/>
          </w:tcPr>
          <w:p w14:paraId="7153E298"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12</w:t>
            </w:r>
          </w:p>
        </w:tc>
      </w:tr>
      <w:tr w:rsidR="00B13B0C" w:rsidRPr="00970766" w14:paraId="1BFF6710" w14:textId="77777777" w:rsidTr="00EC7346">
        <w:tc>
          <w:tcPr>
            <w:cnfStyle w:val="001000000000" w:firstRow="0" w:lastRow="0" w:firstColumn="1" w:lastColumn="0" w:oddVBand="0" w:evenVBand="0" w:oddHBand="0" w:evenHBand="0" w:firstRowFirstColumn="0" w:firstRowLastColumn="0" w:lastRowFirstColumn="0" w:lastRowLastColumn="0"/>
            <w:tcW w:w="988" w:type="dxa"/>
          </w:tcPr>
          <w:p w14:paraId="4AB93C4C" w14:textId="77777777" w:rsidR="00B13B0C" w:rsidRPr="00970766" w:rsidRDefault="00B13B0C" w:rsidP="00EC7346">
            <w:pPr>
              <w:keepLines/>
              <w:spacing w:before="120"/>
              <w:ind w:right="46"/>
              <w:jc w:val="center"/>
              <w:rPr>
                <w:rFonts w:cs="Arial"/>
                <w:bCs/>
                <w:iCs/>
                <w:color w:val="000000"/>
                <w:sz w:val="16"/>
                <w:szCs w:val="16"/>
              </w:rPr>
            </w:pPr>
            <w:r w:rsidRPr="00970766">
              <w:rPr>
                <w:rFonts w:cs="Arial"/>
                <w:bCs/>
                <w:iCs/>
                <w:color w:val="000000"/>
                <w:sz w:val="16"/>
                <w:szCs w:val="16"/>
              </w:rPr>
              <w:t>Yuan et al.</w:t>
            </w:r>
          </w:p>
        </w:tc>
        <w:tc>
          <w:tcPr>
            <w:tcW w:w="850" w:type="dxa"/>
          </w:tcPr>
          <w:p w14:paraId="3F4B125D"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2009</w:t>
            </w:r>
          </w:p>
        </w:tc>
        <w:tc>
          <w:tcPr>
            <w:tcW w:w="992" w:type="dxa"/>
          </w:tcPr>
          <w:p w14:paraId="3E0C630F"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Chine</w:t>
            </w:r>
          </w:p>
        </w:tc>
        <w:tc>
          <w:tcPr>
            <w:tcW w:w="993" w:type="dxa"/>
          </w:tcPr>
          <w:p w14:paraId="7C411827"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18</w:t>
            </w:r>
          </w:p>
        </w:tc>
        <w:tc>
          <w:tcPr>
            <w:tcW w:w="1134" w:type="dxa"/>
          </w:tcPr>
          <w:p w14:paraId="68488AF9"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PND</w:t>
            </w:r>
          </w:p>
        </w:tc>
        <w:tc>
          <w:tcPr>
            <w:tcW w:w="1417" w:type="dxa"/>
          </w:tcPr>
          <w:p w14:paraId="42086792"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SC, 24 injections, 100 U</w:t>
            </w:r>
          </w:p>
        </w:tc>
        <w:tc>
          <w:tcPr>
            <w:tcW w:w="1276" w:type="dxa"/>
          </w:tcPr>
          <w:p w14:paraId="577A2235"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Pieds</w:t>
            </w:r>
          </w:p>
        </w:tc>
        <w:tc>
          <w:tcPr>
            <w:tcW w:w="1134" w:type="dxa"/>
          </w:tcPr>
          <w:p w14:paraId="037F20C0"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EVA</w:t>
            </w:r>
          </w:p>
        </w:tc>
        <w:tc>
          <w:tcPr>
            <w:tcW w:w="1276" w:type="dxa"/>
          </w:tcPr>
          <w:p w14:paraId="3F1822E4" w14:textId="77777777" w:rsidR="00B13B0C" w:rsidRPr="00970766" w:rsidRDefault="00B13B0C" w:rsidP="00EC7346">
            <w:pPr>
              <w:keepLines/>
              <w:spacing w:before="120"/>
              <w:ind w:right="46"/>
              <w:jc w:val="center"/>
              <w:cnfStyle w:val="000000000000" w:firstRow="0" w:lastRow="0" w:firstColumn="0" w:lastColumn="0" w:oddVBand="0" w:evenVBand="0" w:oddHBand="0" w:evenHBand="0" w:firstRowFirstColumn="0" w:firstRowLastColumn="0" w:lastRowFirstColumn="0" w:lastRowLastColumn="0"/>
              <w:rPr>
                <w:rFonts w:cs="Arial"/>
                <w:bCs/>
                <w:iCs/>
                <w:color w:val="000000"/>
                <w:sz w:val="16"/>
                <w:szCs w:val="16"/>
              </w:rPr>
            </w:pPr>
            <w:r w:rsidRPr="00970766">
              <w:rPr>
                <w:rFonts w:cs="Arial"/>
                <w:bCs/>
                <w:iCs/>
                <w:color w:val="000000"/>
                <w:sz w:val="16"/>
                <w:szCs w:val="16"/>
              </w:rPr>
              <w:t>12</w:t>
            </w:r>
          </w:p>
        </w:tc>
      </w:tr>
    </w:tbl>
    <w:p w14:paraId="3021894F" w14:textId="77777777" w:rsidR="00B13B0C" w:rsidRPr="00970766" w:rsidRDefault="00B20D56" w:rsidP="00B13B0C">
      <w:pPr>
        <w:keepLines/>
        <w:spacing w:before="120"/>
        <w:ind w:right="46"/>
        <w:jc w:val="both"/>
        <w:rPr>
          <w:rFonts w:ascii="Arial" w:hAnsi="Arial" w:cs="Arial"/>
          <w:bCs/>
          <w:iCs/>
          <w:color w:val="000000"/>
          <w:sz w:val="16"/>
          <w:szCs w:val="20"/>
          <w:lang w:eastAsia="fr-FR"/>
        </w:rPr>
      </w:pPr>
      <w:r w:rsidRPr="00970766">
        <w:rPr>
          <w:rFonts w:ascii="Arial" w:hAnsi="Arial" w:cs="Arial"/>
          <w:bCs/>
          <w:iCs/>
          <w:color w:val="000000"/>
          <w:sz w:val="16"/>
          <w:szCs w:val="20"/>
          <w:lang w:eastAsia="fr-FR"/>
        </w:rPr>
        <w:t>Abréviations</w:t>
      </w:r>
      <w:r w:rsidR="00B13B0C" w:rsidRPr="00970766">
        <w:rPr>
          <w:rFonts w:ascii="Arial" w:hAnsi="Arial" w:cs="Arial"/>
          <w:bCs/>
          <w:iCs/>
          <w:color w:val="000000"/>
          <w:sz w:val="16"/>
          <w:szCs w:val="20"/>
          <w:lang w:eastAsia="fr-FR"/>
        </w:rPr>
        <w:t xml:space="preserve"> : EN : échelle numérique ; EVA : échelle visuelle analogique ; ID : intradermique ; SC : sous-cutanée ; NPH : neuropathie post-herpétique ; NPT-C : neuropathie post-traumatique ou chirurgicale ; PN : polyneuropathie ; PND : polyneuropathie diabétique ; * études non publiées enregistrées sur Clinicaltrials.gov </w:t>
      </w:r>
    </w:p>
    <w:p w14:paraId="119D73E5" w14:textId="77777777" w:rsidR="00B13B0C" w:rsidRPr="00970766" w:rsidRDefault="00B13B0C" w:rsidP="00B13B0C">
      <w:pPr>
        <w:keepLines/>
        <w:spacing w:before="120"/>
        <w:ind w:right="46"/>
        <w:jc w:val="both"/>
        <w:rPr>
          <w:rFonts w:ascii="Arial" w:hAnsi="Arial" w:cs="Arial"/>
          <w:bCs/>
          <w:iCs/>
          <w:color w:val="000000"/>
          <w:sz w:val="20"/>
          <w:szCs w:val="20"/>
          <w:lang w:eastAsia="fr-FR"/>
        </w:rPr>
      </w:pPr>
      <w:r w:rsidRPr="00970766">
        <w:rPr>
          <w:rFonts w:ascii="Arial" w:hAnsi="Arial" w:cs="Arial"/>
          <w:bCs/>
          <w:iCs/>
          <w:color w:val="000000"/>
          <w:sz w:val="20"/>
          <w:szCs w:val="20"/>
          <w:lang w:eastAsia="fr-FR"/>
        </w:rPr>
        <w:t>D’autres méta-analyses ont été publiées et rapportent également des résultats suggérant un bénéfice chez les patients atteints de douleurs neuropathiques périphériques [11, 12, 13, 14, 15]. Il est souligné la nécessité de mener de plus larges études de haute qualité méthodologique pour confirmer le bénéfice.</w:t>
      </w:r>
    </w:p>
    <w:p w14:paraId="6073C3A6" w14:textId="77777777" w:rsidR="00B13B0C" w:rsidRPr="00970766" w:rsidRDefault="00B13B0C" w:rsidP="00B13B0C">
      <w:pPr>
        <w:keepLines/>
        <w:spacing w:before="120"/>
        <w:ind w:right="46"/>
        <w:jc w:val="both"/>
        <w:rPr>
          <w:rFonts w:ascii="Arial" w:hAnsi="Arial" w:cs="Arial"/>
          <w:bCs/>
          <w:iCs/>
          <w:color w:val="000000"/>
          <w:sz w:val="20"/>
          <w:szCs w:val="20"/>
          <w:highlight w:val="yellow"/>
          <w:lang w:eastAsia="fr-FR"/>
        </w:rPr>
      </w:pPr>
    </w:p>
    <w:p w14:paraId="54259EA1" w14:textId="77777777" w:rsidR="00B13B0C" w:rsidRPr="00970766" w:rsidRDefault="00B13B0C" w:rsidP="00B13B0C">
      <w:pPr>
        <w:jc w:val="both"/>
        <w:rPr>
          <w:rFonts w:ascii="Arial" w:hAnsi="Arial" w:cs="Arial"/>
          <w:sz w:val="20"/>
          <w:szCs w:val="20"/>
          <w:lang w:eastAsia="fr-FR"/>
        </w:rPr>
      </w:pPr>
      <w:r w:rsidRPr="00970766">
        <w:rPr>
          <w:rFonts w:ascii="Arial" w:hAnsi="Arial" w:cs="Arial"/>
          <w:sz w:val="20"/>
          <w:szCs w:val="20"/>
          <w:lang w:eastAsia="fr-FR"/>
        </w:rPr>
        <w:t>Malgré les incertitudes sur l’efficacité de la toxine et l’absence de données à long terme, les études publiées ont permis d’établir :</w:t>
      </w:r>
    </w:p>
    <w:p w14:paraId="424372D6" w14:textId="77777777" w:rsidR="00B13B0C" w:rsidRPr="00970766" w:rsidRDefault="00B13B0C" w:rsidP="00B13B0C">
      <w:pPr>
        <w:numPr>
          <w:ilvl w:val="0"/>
          <w:numId w:val="20"/>
        </w:numPr>
        <w:spacing w:after="0" w:line="240" w:lineRule="auto"/>
        <w:contextualSpacing/>
        <w:jc w:val="both"/>
        <w:rPr>
          <w:rFonts w:ascii="Arial" w:hAnsi="Arial" w:cs="Arial"/>
          <w:sz w:val="20"/>
          <w:szCs w:val="20"/>
          <w:lang w:eastAsia="fr-FR"/>
        </w:rPr>
      </w:pPr>
      <w:r w:rsidRPr="00970766">
        <w:rPr>
          <w:rFonts w:ascii="Arial" w:hAnsi="Arial" w:cs="Arial"/>
          <w:sz w:val="20"/>
          <w:szCs w:val="20"/>
          <w:lang w:eastAsia="fr-FR"/>
        </w:rPr>
        <w:t>un probable profil de répondeurs au traitement qui semblent caractérisés par une préservation relative de la sensibilité thermique et/ou une allodynie mécanique dans la zone douloureuse ;</w:t>
      </w:r>
    </w:p>
    <w:p w14:paraId="3099483F" w14:textId="77777777" w:rsidR="00B13B0C" w:rsidRPr="00970766" w:rsidRDefault="00B13B0C" w:rsidP="00B13B0C">
      <w:pPr>
        <w:numPr>
          <w:ilvl w:val="0"/>
          <w:numId w:val="20"/>
        </w:numPr>
        <w:spacing w:after="0" w:line="240" w:lineRule="auto"/>
        <w:contextualSpacing/>
        <w:jc w:val="both"/>
        <w:rPr>
          <w:rFonts w:ascii="Arial" w:hAnsi="Arial" w:cs="Arial"/>
          <w:sz w:val="20"/>
          <w:szCs w:val="20"/>
          <w:lang w:eastAsia="fr-FR"/>
        </w:rPr>
      </w:pPr>
      <w:r w:rsidRPr="00970766">
        <w:rPr>
          <w:rFonts w:ascii="Arial" w:hAnsi="Arial" w:cs="Arial"/>
          <w:sz w:val="20"/>
          <w:szCs w:val="20"/>
          <w:lang w:eastAsia="fr-FR"/>
        </w:rPr>
        <w:t>une probable réduction de la douleur après une deuxième administration (certains patients non répondeurs après une administration deviennent répondeurs suite à la deuxième administration) ;</w:t>
      </w:r>
    </w:p>
    <w:p w14:paraId="03755DD3" w14:textId="77777777" w:rsidR="00B13B0C" w:rsidRPr="00970766" w:rsidRDefault="00B13B0C" w:rsidP="00B13B0C">
      <w:pPr>
        <w:jc w:val="both"/>
        <w:rPr>
          <w:rFonts w:ascii="Arial" w:hAnsi="Arial" w:cs="Arial"/>
          <w:sz w:val="20"/>
          <w:szCs w:val="20"/>
          <w:lang w:eastAsia="fr-FR"/>
        </w:rPr>
      </w:pPr>
    </w:p>
    <w:p w14:paraId="489D1F53" w14:textId="77777777" w:rsidR="00B13B0C" w:rsidRPr="00970766" w:rsidRDefault="00B13B0C" w:rsidP="00B13B0C">
      <w:pPr>
        <w:jc w:val="both"/>
        <w:rPr>
          <w:rFonts w:ascii="Arial" w:hAnsi="Arial" w:cs="Arial"/>
          <w:sz w:val="20"/>
          <w:szCs w:val="20"/>
          <w:lang w:eastAsia="fr-FR"/>
        </w:rPr>
      </w:pPr>
      <w:r w:rsidRPr="00970766">
        <w:rPr>
          <w:rFonts w:ascii="Arial" w:hAnsi="Arial" w:cs="Arial"/>
          <w:sz w:val="20"/>
          <w:szCs w:val="20"/>
          <w:lang w:eastAsia="fr-FR"/>
        </w:rPr>
        <w:t>En résumé, les données issues des différentes publications convergent vers une présomption d’efficacité de la toxine botulinique de type A dans le traitement des douleurs neuropathiques périphériques chroniques, bien localisées (surface limitée), en tant que traitement adjuvant, chez des patients réfractaires aux autres traitements recommandés.</w:t>
      </w:r>
    </w:p>
    <w:p w14:paraId="4EC78B6B" w14:textId="77777777" w:rsidR="00B13B0C" w:rsidRPr="00970766" w:rsidRDefault="00B13B0C" w:rsidP="00B13B0C">
      <w:pPr>
        <w:jc w:val="both"/>
        <w:rPr>
          <w:rFonts w:ascii="Arial" w:hAnsi="Arial" w:cs="Arial"/>
          <w:sz w:val="20"/>
          <w:szCs w:val="20"/>
          <w:lang w:eastAsia="fr-FR"/>
        </w:rPr>
      </w:pPr>
    </w:p>
    <w:p w14:paraId="583C60A9" w14:textId="77777777" w:rsidR="00B13B0C" w:rsidRPr="00970766" w:rsidRDefault="00B13B0C" w:rsidP="00B13B0C">
      <w:pPr>
        <w:keepLines/>
        <w:spacing w:before="120"/>
        <w:ind w:right="46"/>
        <w:jc w:val="both"/>
        <w:rPr>
          <w:rFonts w:ascii="Arial" w:hAnsi="Arial" w:cs="Arial"/>
          <w:b/>
          <w:bCs/>
          <w:i/>
          <w:iCs/>
          <w:color w:val="000000"/>
          <w:sz w:val="20"/>
          <w:szCs w:val="20"/>
          <w:u w:val="single"/>
          <w:lang w:eastAsia="fr-FR"/>
        </w:rPr>
      </w:pPr>
      <w:r w:rsidRPr="00970766">
        <w:rPr>
          <w:rFonts w:ascii="Arial" w:hAnsi="Arial" w:cs="Arial"/>
          <w:b/>
          <w:bCs/>
          <w:i/>
          <w:iCs/>
          <w:color w:val="000000"/>
          <w:sz w:val="20"/>
          <w:szCs w:val="20"/>
          <w:u w:val="single"/>
          <w:lang w:eastAsia="fr-FR"/>
        </w:rPr>
        <w:t>Sur le plan de la sécurité :</w:t>
      </w:r>
    </w:p>
    <w:p w14:paraId="1F55169A" w14:textId="77777777" w:rsidR="00B13B0C" w:rsidRPr="00970766" w:rsidRDefault="00B13B0C" w:rsidP="00B13B0C">
      <w:pPr>
        <w:jc w:val="both"/>
        <w:rPr>
          <w:rFonts w:ascii="Arial" w:hAnsi="Arial" w:cs="Arial"/>
          <w:sz w:val="20"/>
          <w:szCs w:val="20"/>
          <w:lang w:eastAsia="fr-FR"/>
        </w:rPr>
      </w:pPr>
      <w:r w:rsidRPr="00970766">
        <w:rPr>
          <w:rFonts w:ascii="Arial" w:hAnsi="Arial" w:cs="Arial"/>
          <w:sz w:val="20"/>
          <w:szCs w:val="20"/>
          <w:lang w:eastAsia="fr-FR"/>
        </w:rPr>
        <w:t>Au plan de la sécurité, les données analysées sont issues de données du laboratoire et de publications scientifiques.</w:t>
      </w:r>
    </w:p>
    <w:p w14:paraId="1E50D84E" w14:textId="1B178C9F" w:rsidR="00B13B0C" w:rsidRPr="00970766" w:rsidRDefault="00B13B0C" w:rsidP="00B13B0C">
      <w:pPr>
        <w:contextualSpacing/>
        <w:jc w:val="both"/>
        <w:rPr>
          <w:rFonts w:ascii="Arial" w:hAnsi="Arial" w:cs="Arial"/>
          <w:sz w:val="20"/>
          <w:szCs w:val="20"/>
          <w:lang w:eastAsia="fr-FR"/>
        </w:rPr>
      </w:pPr>
      <w:r w:rsidRPr="00970766">
        <w:rPr>
          <w:rFonts w:ascii="Arial" w:hAnsi="Arial" w:cs="Arial"/>
          <w:sz w:val="20"/>
          <w:szCs w:val="20"/>
          <w:lang w:eastAsia="fr-FR"/>
        </w:rPr>
        <w:t>Concernant les données de sécurité du laboratoire, l’analyse est basée sur les données d’une étude multicentrique de phase II, en double-aveugle et contrôlée par placebo ayant pour objet l’évaluation du profil d’efficacité et de sécurité du BOTOX chez des patients atteints de névralgie post-herpétique suivis pendant 12 semaines et d’une revue cumulative, du 1</w:t>
      </w:r>
      <w:r w:rsidRPr="00970766">
        <w:rPr>
          <w:rFonts w:ascii="Arial" w:hAnsi="Arial" w:cs="Arial"/>
          <w:sz w:val="20"/>
          <w:szCs w:val="20"/>
          <w:vertAlign w:val="superscript"/>
          <w:lang w:eastAsia="fr-FR"/>
        </w:rPr>
        <w:t>er</w:t>
      </w:r>
      <w:r w:rsidRPr="00970766">
        <w:rPr>
          <w:rFonts w:ascii="Arial" w:hAnsi="Arial" w:cs="Arial"/>
          <w:sz w:val="20"/>
          <w:szCs w:val="20"/>
          <w:lang w:eastAsia="fr-FR"/>
        </w:rPr>
        <w:t xml:space="preserve"> janvier 1990 au 22 mars 2022, des données de sécurité post-commercialisation du BOTOX dans l’indication « douleur neuropathique »</w:t>
      </w:r>
    </w:p>
    <w:p w14:paraId="1E86F152" w14:textId="717A6FE6" w:rsidR="00B13B0C" w:rsidRPr="00970766" w:rsidRDefault="00B13B0C" w:rsidP="00B13B0C">
      <w:pPr>
        <w:pStyle w:val="Paragraphedeliste"/>
        <w:ind w:left="0"/>
        <w:rPr>
          <w:rFonts w:ascii="Arial" w:hAnsi="Arial" w:cs="Arial"/>
          <w:sz w:val="20"/>
          <w:szCs w:val="20"/>
          <w:lang w:eastAsia="fr-FR"/>
        </w:rPr>
      </w:pPr>
      <w:r w:rsidRPr="00970766">
        <w:rPr>
          <w:rFonts w:ascii="Arial" w:hAnsi="Arial" w:cs="Arial"/>
          <w:sz w:val="20"/>
          <w:szCs w:val="20"/>
          <w:lang w:eastAsia="fr-FR"/>
        </w:rPr>
        <w:t xml:space="preserve">Dans l’étude de phase II, les effets indésirables les plus fréquemment notifiés avec BOTOX ont été les faiblesses musculaires (6,4 %), les infections respiratoires supérieures, les infections urinaires, les dorsalgies et les céphalées (5 %). </w:t>
      </w:r>
    </w:p>
    <w:p w14:paraId="39E4871E" w14:textId="0123B6FB" w:rsidR="00B13B0C" w:rsidRPr="00970766" w:rsidRDefault="00B13B0C" w:rsidP="00B13B0C">
      <w:pPr>
        <w:pStyle w:val="Paragraphedeliste"/>
        <w:ind w:left="0"/>
        <w:rPr>
          <w:rFonts w:ascii="Arial" w:hAnsi="Arial" w:cs="Arial"/>
          <w:sz w:val="20"/>
          <w:szCs w:val="20"/>
          <w:lang w:eastAsia="fr-FR"/>
        </w:rPr>
      </w:pPr>
      <w:r w:rsidRPr="00970766">
        <w:rPr>
          <w:rFonts w:ascii="Arial" w:hAnsi="Arial" w:cs="Arial"/>
          <w:sz w:val="20"/>
          <w:szCs w:val="20"/>
          <w:lang w:eastAsia="fr-FR"/>
        </w:rPr>
        <w:t>Il n’est rapporté aucun effet indésirable évocateur d’une diffusion systémique de la toxine et aucune différence relevée entre le groupe BOTOX et le groupe placebo en ce qui concerne les résultats d’analyses biologiques.</w:t>
      </w:r>
    </w:p>
    <w:p w14:paraId="0F2069CF" w14:textId="77777777" w:rsidR="00B13B0C" w:rsidRPr="00970766" w:rsidRDefault="00B13B0C" w:rsidP="00B13B0C">
      <w:pPr>
        <w:contextualSpacing/>
        <w:jc w:val="both"/>
        <w:rPr>
          <w:rFonts w:ascii="Arial" w:hAnsi="Arial" w:cs="Arial"/>
          <w:sz w:val="20"/>
          <w:szCs w:val="20"/>
          <w:lang w:eastAsia="fr-FR"/>
        </w:rPr>
      </w:pPr>
      <w:r w:rsidRPr="00970766">
        <w:rPr>
          <w:rFonts w:ascii="Arial" w:hAnsi="Arial" w:cs="Arial"/>
          <w:sz w:val="20"/>
          <w:szCs w:val="20"/>
          <w:lang w:eastAsia="fr-FR"/>
        </w:rPr>
        <w:t>La revue cumulative fait ressortir que sur les 67 effets indésirables les plus fréquemment notifiés, 65 (97 %) étaient non graves. Les événements indésirables les plus fréquemment observés ont été les douleurs (31,3 %, n = 21), inefficacité du médicament et inefficacité du médicament dans les indications non autorisées [respectivement 16,4% (n= 11) et 11,9% (n= 8)],  les douleurs au site d’injection (22,4 %, n = 15),  les nausées (8,9 %, n = 6) et les céphalées (8,9 %, n = 6).</w:t>
      </w:r>
    </w:p>
    <w:p w14:paraId="6987F0DB" w14:textId="77777777" w:rsidR="00B13B0C" w:rsidRPr="00970766" w:rsidRDefault="00B13B0C" w:rsidP="00B13B0C">
      <w:pPr>
        <w:contextualSpacing/>
        <w:jc w:val="both"/>
        <w:rPr>
          <w:rFonts w:ascii="Arial" w:hAnsi="Arial" w:cs="Arial"/>
          <w:sz w:val="20"/>
          <w:szCs w:val="20"/>
          <w:lang w:eastAsia="fr-FR"/>
        </w:rPr>
      </w:pPr>
    </w:p>
    <w:p w14:paraId="1F2FE66A" w14:textId="77777777" w:rsidR="00B13B0C" w:rsidRPr="00970766" w:rsidRDefault="00B13B0C" w:rsidP="00B13B0C">
      <w:pPr>
        <w:contextualSpacing/>
        <w:jc w:val="both"/>
        <w:rPr>
          <w:rFonts w:ascii="Arial" w:hAnsi="Arial" w:cs="Arial"/>
          <w:sz w:val="20"/>
          <w:szCs w:val="20"/>
          <w:lang w:eastAsia="fr-FR"/>
        </w:rPr>
      </w:pPr>
      <w:r w:rsidRPr="00970766">
        <w:rPr>
          <w:rFonts w:ascii="Arial" w:hAnsi="Arial" w:cs="Arial"/>
          <w:sz w:val="20"/>
          <w:szCs w:val="20"/>
          <w:lang w:eastAsia="fr-FR"/>
        </w:rPr>
        <w:lastRenderedPageBreak/>
        <w:t xml:space="preserve">Les données de sécurité issues de la littérature sont très </w:t>
      </w:r>
      <w:r w:rsidR="00B20D56" w:rsidRPr="00970766">
        <w:rPr>
          <w:rFonts w:ascii="Arial" w:hAnsi="Arial" w:cs="Arial"/>
          <w:sz w:val="20"/>
          <w:szCs w:val="20"/>
          <w:lang w:eastAsia="fr-FR"/>
        </w:rPr>
        <w:t>succinctes</w:t>
      </w:r>
      <w:r w:rsidRPr="00970766">
        <w:rPr>
          <w:rFonts w:ascii="Arial" w:hAnsi="Arial" w:cs="Arial"/>
          <w:sz w:val="20"/>
          <w:szCs w:val="20"/>
          <w:lang w:eastAsia="fr-FR"/>
        </w:rPr>
        <w:t>. L’article de Ranoux</w:t>
      </w:r>
      <w:r w:rsidRPr="00970766">
        <w:rPr>
          <w:rFonts w:ascii="Arial" w:hAnsi="Arial" w:cs="Arial"/>
          <w:sz w:val="20"/>
          <w:szCs w:val="20"/>
          <w:vertAlign w:val="superscript"/>
          <w:lang w:eastAsia="fr-FR"/>
        </w:rPr>
        <w:t>3</w:t>
      </w:r>
      <w:r w:rsidRPr="00970766">
        <w:rPr>
          <w:rFonts w:ascii="Arial" w:hAnsi="Arial" w:cs="Arial"/>
          <w:sz w:val="20"/>
          <w:szCs w:val="20"/>
          <w:lang w:eastAsia="fr-FR"/>
        </w:rPr>
        <w:t xml:space="preserve"> et </w:t>
      </w:r>
      <w:r w:rsidRPr="00970766">
        <w:rPr>
          <w:rFonts w:ascii="Arial" w:hAnsi="Arial" w:cs="Arial"/>
          <w:i/>
          <w:sz w:val="20"/>
          <w:szCs w:val="20"/>
          <w:lang w:eastAsia="fr-FR"/>
        </w:rPr>
        <w:t>al.</w:t>
      </w:r>
      <w:r w:rsidRPr="00970766">
        <w:rPr>
          <w:rFonts w:ascii="Arial" w:hAnsi="Arial" w:cs="Arial"/>
          <w:sz w:val="20"/>
          <w:szCs w:val="20"/>
          <w:lang w:eastAsia="fr-FR"/>
        </w:rPr>
        <w:t xml:space="preserve"> et celui de Attal</w:t>
      </w:r>
      <w:r w:rsidRPr="00970766">
        <w:rPr>
          <w:rFonts w:ascii="Arial" w:hAnsi="Arial" w:cs="Arial"/>
          <w:sz w:val="20"/>
          <w:szCs w:val="20"/>
          <w:vertAlign w:val="superscript"/>
          <w:lang w:eastAsia="fr-FR"/>
        </w:rPr>
        <w:t>8</w:t>
      </w:r>
      <w:r w:rsidRPr="00970766">
        <w:rPr>
          <w:rFonts w:ascii="Arial" w:hAnsi="Arial" w:cs="Arial"/>
          <w:sz w:val="20"/>
          <w:szCs w:val="20"/>
          <w:lang w:eastAsia="fr-FR"/>
        </w:rPr>
        <w:t xml:space="preserve"> et </w:t>
      </w:r>
      <w:r w:rsidRPr="00970766">
        <w:rPr>
          <w:rFonts w:ascii="Arial" w:hAnsi="Arial" w:cs="Arial"/>
          <w:i/>
          <w:sz w:val="20"/>
          <w:szCs w:val="20"/>
          <w:lang w:eastAsia="fr-FR"/>
        </w:rPr>
        <w:t>al.</w:t>
      </w:r>
      <w:r w:rsidRPr="00970766">
        <w:rPr>
          <w:rFonts w:ascii="Arial" w:hAnsi="Arial" w:cs="Arial"/>
          <w:sz w:val="20"/>
          <w:szCs w:val="20"/>
          <w:lang w:eastAsia="fr-FR"/>
        </w:rPr>
        <w:t xml:space="preserve"> rapportent des effets indésirables de type de douleurs au site d’injection avec des proportions équivalentes entre les deux bras des études.</w:t>
      </w:r>
    </w:p>
    <w:p w14:paraId="0BA736B8" w14:textId="77777777" w:rsidR="00B13B0C" w:rsidRPr="00970766" w:rsidRDefault="00B13B0C" w:rsidP="00B13B0C">
      <w:pPr>
        <w:contextualSpacing/>
        <w:jc w:val="both"/>
        <w:rPr>
          <w:rFonts w:ascii="Arial" w:hAnsi="Arial" w:cs="Arial"/>
          <w:sz w:val="20"/>
          <w:szCs w:val="20"/>
          <w:lang w:eastAsia="fr-FR"/>
        </w:rPr>
      </w:pPr>
      <w:r w:rsidRPr="00970766">
        <w:rPr>
          <w:rFonts w:ascii="Arial" w:hAnsi="Arial" w:cs="Arial"/>
          <w:sz w:val="20"/>
          <w:szCs w:val="20"/>
          <w:lang w:eastAsia="fr-FR"/>
        </w:rPr>
        <w:t>Dans l’étude de Ranoux sur 29 participants, 25 ont eu des douleurs au site de l’injection ((n = 13 dans le groupe toxine botulinique A et n = 12 dans le groupe placebo).</w:t>
      </w:r>
    </w:p>
    <w:p w14:paraId="28EAEBE4" w14:textId="77777777" w:rsidR="00B13B0C" w:rsidRPr="00970766" w:rsidRDefault="00B13B0C" w:rsidP="00B13B0C">
      <w:pPr>
        <w:contextualSpacing/>
        <w:jc w:val="both"/>
        <w:rPr>
          <w:rFonts w:ascii="Arial" w:hAnsi="Arial" w:cs="Arial"/>
          <w:sz w:val="20"/>
          <w:szCs w:val="20"/>
          <w:lang w:eastAsia="fr-FR"/>
        </w:rPr>
      </w:pPr>
      <w:r w:rsidRPr="00970766">
        <w:rPr>
          <w:rFonts w:ascii="Arial" w:hAnsi="Arial" w:cs="Arial"/>
          <w:sz w:val="20"/>
          <w:szCs w:val="20"/>
          <w:lang w:eastAsia="fr-FR"/>
        </w:rPr>
        <w:t xml:space="preserve">Dans l’étude Attal et al, sur 66 participants inclus, 36 (55 %) ont signalé des douleurs à l’injection avec des proportions similaires entre les deux groupes [groupe toxine botulinique A (56 %) et groupe placebo (53 %)]. Des douleurs sévères à l’injection ont été signalées par respectivement 29 % et 34 % des sujets inclus dans le groupe toxine botulinique A et le groupe placebo (p = 0.8). </w:t>
      </w:r>
    </w:p>
    <w:p w14:paraId="57684266" w14:textId="77777777" w:rsidR="00B13B0C" w:rsidRPr="00970766" w:rsidRDefault="00B13B0C" w:rsidP="00B13B0C">
      <w:pPr>
        <w:contextualSpacing/>
        <w:jc w:val="both"/>
        <w:rPr>
          <w:rFonts w:ascii="Arial" w:hAnsi="Arial" w:cs="Arial"/>
          <w:sz w:val="20"/>
          <w:szCs w:val="20"/>
          <w:lang w:eastAsia="fr-FR"/>
        </w:rPr>
      </w:pPr>
    </w:p>
    <w:p w14:paraId="55C82236" w14:textId="77777777" w:rsidR="00B13B0C" w:rsidRPr="00970766" w:rsidRDefault="00B13B0C" w:rsidP="00B13B0C">
      <w:pPr>
        <w:jc w:val="both"/>
        <w:rPr>
          <w:rFonts w:ascii="Arial" w:hAnsi="Arial" w:cs="Arial"/>
          <w:sz w:val="20"/>
          <w:szCs w:val="20"/>
          <w:lang w:eastAsia="fr-FR"/>
        </w:rPr>
      </w:pPr>
      <w:r w:rsidRPr="00970766">
        <w:rPr>
          <w:rFonts w:ascii="Arial" w:hAnsi="Arial" w:cs="Arial"/>
          <w:sz w:val="20"/>
          <w:szCs w:val="20"/>
          <w:lang w:eastAsia="fr-FR"/>
        </w:rPr>
        <w:t>Bien que les données soient limitées, l’analyse du dernier PSUR (couvrant la période du 01 janvier 2019 au 31 décembre 2021) ne fait pas remonter de signaux de sécurité liés à l’utilisation hors AMM du produit.</w:t>
      </w:r>
    </w:p>
    <w:p w14:paraId="79D565AE" w14:textId="7C02521F" w:rsidR="00B13B0C" w:rsidRPr="00970766" w:rsidRDefault="00B13B0C" w:rsidP="00B13B0C">
      <w:pPr>
        <w:pStyle w:val="Default"/>
        <w:jc w:val="both"/>
        <w:rPr>
          <w:rFonts w:ascii="Arial" w:hAnsi="Arial" w:cs="Arial"/>
          <w:sz w:val="20"/>
          <w:szCs w:val="20"/>
        </w:rPr>
      </w:pPr>
      <w:r w:rsidRPr="00970766">
        <w:rPr>
          <w:rFonts w:ascii="Arial" w:hAnsi="Arial" w:cs="Arial"/>
          <w:sz w:val="20"/>
          <w:szCs w:val="20"/>
        </w:rPr>
        <w:t>D’une manière générale, les données notamment issues de la littérature scientifique sont limitées et peu détaillées pour l’évaluation de la sécurité de BOTOX dans les douleurs neuropathiques chroniques. Les effets indésirables rapportés sont connus pour cette spécialité. Il ressort principalement de ces données des douleurs au site d’injection pouvant être sévères; douleurs rapportées également dans le bras placebo.</w:t>
      </w:r>
    </w:p>
    <w:p w14:paraId="0AAAABEA" w14:textId="77777777" w:rsidR="00B13B0C" w:rsidRPr="00970766" w:rsidRDefault="00B13B0C" w:rsidP="00B13B0C">
      <w:pPr>
        <w:pStyle w:val="Default"/>
        <w:jc w:val="both"/>
        <w:rPr>
          <w:rFonts w:ascii="Arial" w:hAnsi="Arial" w:cs="Arial"/>
          <w:sz w:val="20"/>
          <w:szCs w:val="20"/>
        </w:rPr>
      </w:pPr>
    </w:p>
    <w:p w14:paraId="5091F278" w14:textId="77777777" w:rsidR="00B13B0C" w:rsidRPr="00970766" w:rsidRDefault="00B13B0C" w:rsidP="00B13B0C">
      <w:pPr>
        <w:pStyle w:val="Default"/>
        <w:jc w:val="both"/>
        <w:rPr>
          <w:rFonts w:ascii="Arial" w:hAnsi="Arial" w:cs="Arial"/>
          <w:sz w:val="20"/>
          <w:szCs w:val="20"/>
        </w:rPr>
      </w:pPr>
      <w:r w:rsidRPr="00970766">
        <w:rPr>
          <w:rFonts w:ascii="Arial" w:hAnsi="Arial" w:cs="Arial"/>
          <w:sz w:val="20"/>
          <w:szCs w:val="20"/>
        </w:rPr>
        <w:t xml:space="preserve">Il est à noter que les périodes d’évaluation des données de sécurité sont courtes soit après 2 injections : aucune donnée à long terme n’est disponible. </w:t>
      </w:r>
    </w:p>
    <w:p w14:paraId="0A0FC3DB" w14:textId="77777777" w:rsidR="00B13B0C" w:rsidRPr="00970766" w:rsidRDefault="00B13B0C" w:rsidP="00B13B0C">
      <w:pPr>
        <w:pStyle w:val="Default"/>
        <w:jc w:val="both"/>
        <w:rPr>
          <w:rFonts w:ascii="Arial" w:hAnsi="Arial" w:cs="Arial"/>
          <w:sz w:val="20"/>
          <w:szCs w:val="20"/>
        </w:rPr>
      </w:pPr>
    </w:p>
    <w:p w14:paraId="19D96F5E" w14:textId="77777777" w:rsidR="00B13B0C" w:rsidRPr="00970766" w:rsidRDefault="00B13B0C" w:rsidP="00B13B0C">
      <w:pPr>
        <w:pStyle w:val="Default"/>
        <w:jc w:val="both"/>
        <w:rPr>
          <w:rFonts w:ascii="Arial" w:hAnsi="Arial" w:cs="Arial"/>
          <w:sz w:val="20"/>
          <w:szCs w:val="20"/>
        </w:rPr>
      </w:pPr>
    </w:p>
    <w:p w14:paraId="45923593" w14:textId="77777777" w:rsidR="00B13B0C" w:rsidRPr="00970766" w:rsidRDefault="00B13B0C" w:rsidP="00B13B0C">
      <w:pPr>
        <w:pStyle w:val="Default"/>
        <w:jc w:val="both"/>
        <w:rPr>
          <w:rFonts w:ascii="Arial" w:hAnsi="Arial" w:cs="Arial"/>
          <w:bCs/>
          <w:i/>
          <w:iCs/>
          <w:sz w:val="20"/>
          <w:szCs w:val="20"/>
          <w:u w:val="single"/>
        </w:rPr>
      </w:pPr>
      <w:r w:rsidRPr="00970766">
        <w:rPr>
          <w:rFonts w:ascii="Arial" w:hAnsi="Arial" w:cs="Arial"/>
          <w:b/>
          <w:i/>
          <w:sz w:val="20"/>
          <w:szCs w:val="20"/>
          <w:u w:val="single"/>
        </w:rPr>
        <w:t>Conclusion :</w:t>
      </w:r>
      <w:r w:rsidRPr="00970766">
        <w:rPr>
          <w:rFonts w:ascii="Arial" w:hAnsi="Arial" w:cs="Arial"/>
          <w:bCs/>
          <w:i/>
          <w:iCs/>
          <w:sz w:val="20"/>
          <w:szCs w:val="20"/>
          <w:u w:val="single"/>
        </w:rPr>
        <w:t xml:space="preserve"> </w:t>
      </w:r>
    </w:p>
    <w:p w14:paraId="151E2CBC" w14:textId="77777777" w:rsidR="00B13B0C" w:rsidRPr="00970766" w:rsidRDefault="00B13B0C" w:rsidP="00B13B0C">
      <w:pPr>
        <w:pStyle w:val="Default"/>
        <w:jc w:val="both"/>
        <w:rPr>
          <w:rFonts w:ascii="Arial" w:hAnsi="Arial" w:cs="Arial"/>
          <w:bCs/>
          <w:i/>
          <w:iCs/>
          <w:sz w:val="20"/>
          <w:szCs w:val="20"/>
          <w:u w:val="single"/>
        </w:rPr>
      </w:pPr>
    </w:p>
    <w:p w14:paraId="41A6E417" w14:textId="77777777" w:rsidR="00B13B0C" w:rsidRPr="00970766" w:rsidRDefault="00B13B0C" w:rsidP="00B13B0C">
      <w:pPr>
        <w:adjustRightInd w:val="0"/>
        <w:jc w:val="both"/>
        <w:rPr>
          <w:rFonts w:ascii="Arial" w:hAnsi="Arial" w:cs="Arial"/>
          <w:bCs/>
          <w:iCs/>
          <w:color w:val="000000"/>
          <w:sz w:val="20"/>
          <w:szCs w:val="20"/>
          <w:lang w:eastAsia="fr-FR"/>
        </w:rPr>
      </w:pPr>
      <w:r w:rsidRPr="00970766">
        <w:rPr>
          <w:rFonts w:ascii="Arial" w:hAnsi="Arial" w:cs="Arial"/>
          <w:bCs/>
          <w:iCs/>
          <w:color w:val="000000"/>
          <w:sz w:val="20"/>
          <w:szCs w:val="20"/>
          <w:lang w:eastAsia="fr-FR"/>
        </w:rPr>
        <w:t>Les données disponibles sur l’utilisation de la toxine botulinique (BoNT/A) dans le traitement de la douleur neuropathique périphérique chronique sont bibliographiques et comprennent notamment des essais cliniques contrôlés randomisés et des méta-analyses. Ces publications issues de la littérature scientifique rapportent globalement un bénéfice pour les patients et suggèrent donc une certaine efficacité de la BoNT/A dans le traitement de la douleur neuropathique périphérique.</w:t>
      </w:r>
    </w:p>
    <w:p w14:paraId="3A891E3F" w14:textId="77777777" w:rsidR="00B13B0C" w:rsidRPr="00970766" w:rsidRDefault="00B13B0C" w:rsidP="00B13B0C">
      <w:pPr>
        <w:adjustRightInd w:val="0"/>
        <w:jc w:val="both"/>
        <w:rPr>
          <w:rFonts w:ascii="Arial" w:hAnsi="Arial" w:cs="Arial"/>
          <w:bCs/>
          <w:iCs/>
          <w:color w:val="000000"/>
          <w:sz w:val="20"/>
          <w:szCs w:val="20"/>
          <w:lang w:eastAsia="fr-FR"/>
        </w:rPr>
      </w:pPr>
      <w:r w:rsidRPr="00970766">
        <w:rPr>
          <w:rFonts w:ascii="Arial" w:hAnsi="Arial" w:cs="Arial"/>
          <w:bCs/>
          <w:iCs/>
          <w:color w:val="000000"/>
          <w:sz w:val="20"/>
          <w:szCs w:val="20"/>
          <w:lang w:eastAsia="fr-FR"/>
        </w:rPr>
        <w:t>Les essais contrôlés randomisés relatant de cette utilisation ont été menés sur des petits effectifs de patients présentant des douleurs neuropathiques périphériques chroniques insuffisamment contrôlées par les autres traitements. Les étiologies de la douleur neuropathique étaient diverses et la BoNT/A a été évaluée en tant que traitement adjuvant, les patients maintenant leurs traitements habituels. Deux techniques d’injection ont été testées (</w:t>
      </w:r>
      <w:r w:rsidR="00B20D56" w:rsidRPr="00970766">
        <w:rPr>
          <w:rFonts w:ascii="Arial" w:hAnsi="Arial" w:cs="Arial"/>
          <w:bCs/>
          <w:iCs/>
          <w:color w:val="000000"/>
          <w:sz w:val="20"/>
          <w:szCs w:val="20"/>
          <w:lang w:eastAsia="fr-FR"/>
        </w:rPr>
        <w:t>intradermique</w:t>
      </w:r>
      <w:r w:rsidRPr="00970766">
        <w:rPr>
          <w:rFonts w:ascii="Arial" w:hAnsi="Arial" w:cs="Arial"/>
          <w:bCs/>
          <w:iCs/>
          <w:color w:val="000000"/>
          <w:sz w:val="20"/>
          <w:szCs w:val="20"/>
          <w:lang w:eastAsia="fr-FR"/>
        </w:rPr>
        <w:t xml:space="preserve"> et sous-cutanée) sur des surfaces limitées (maximum 240 cm²) avec des doses variables (maximum 200 voire 300 unités de BoNT/A). L’efficacité de la toxine a été évaluée sur des études utilisant une dose unique ou deux doses avec une durée de traitement maximale de 24 semaines.</w:t>
      </w:r>
    </w:p>
    <w:p w14:paraId="395A3333" w14:textId="77777777" w:rsidR="00B13B0C" w:rsidRPr="00970766" w:rsidRDefault="00B13B0C" w:rsidP="00B13B0C">
      <w:pPr>
        <w:adjustRightInd w:val="0"/>
        <w:jc w:val="both"/>
        <w:rPr>
          <w:rFonts w:ascii="Arial" w:hAnsi="Arial" w:cs="Arial"/>
          <w:bCs/>
          <w:iCs/>
          <w:color w:val="000000"/>
          <w:sz w:val="20"/>
          <w:szCs w:val="20"/>
          <w:lang w:eastAsia="fr-FR"/>
        </w:rPr>
      </w:pPr>
      <w:r w:rsidRPr="00970766">
        <w:rPr>
          <w:rFonts w:ascii="Arial" w:hAnsi="Arial" w:cs="Arial"/>
          <w:bCs/>
          <w:iCs/>
          <w:color w:val="000000"/>
          <w:sz w:val="20"/>
          <w:szCs w:val="20"/>
          <w:lang w:eastAsia="fr-FR"/>
        </w:rPr>
        <w:t>Les résultats rapportés sont une diminution globale du niveau de douleur chez les patients traités par rapport à ceux traités avec placebo. Néanmoins, compte tenu des faibles effectifs de ces études, la qualité de preuve reste au mieux modérée et la taille de l’effet obtenu reste modeste.</w:t>
      </w:r>
    </w:p>
    <w:p w14:paraId="546AFCF9" w14:textId="77777777" w:rsidR="00B13B0C" w:rsidRPr="00970766" w:rsidRDefault="00B13B0C" w:rsidP="00B13B0C">
      <w:pPr>
        <w:adjustRightInd w:val="0"/>
        <w:jc w:val="both"/>
        <w:rPr>
          <w:rFonts w:ascii="Arial" w:hAnsi="Arial" w:cs="Arial"/>
          <w:bCs/>
          <w:iCs/>
          <w:color w:val="000000"/>
          <w:sz w:val="20"/>
          <w:szCs w:val="20"/>
          <w:lang w:eastAsia="fr-FR"/>
        </w:rPr>
      </w:pPr>
    </w:p>
    <w:p w14:paraId="2777C74E" w14:textId="77777777" w:rsidR="00B13B0C" w:rsidRPr="00970766" w:rsidRDefault="00B13B0C" w:rsidP="00B13B0C">
      <w:pPr>
        <w:jc w:val="both"/>
        <w:rPr>
          <w:rFonts w:ascii="Arial" w:hAnsi="Arial" w:cs="Arial"/>
          <w:sz w:val="20"/>
          <w:szCs w:val="20"/>
          <w:lang w:eastAsia="fr-FR"/>
        </w:rPr>
      </w:pPr>
      <w:r w:rsidRPr="00970766">
        <w:rPr>
          <w:rFonts w:ascii="Arial" w:hAnsi="Arial" w:cs="Arial"/>
          <w:sz w:val="20"/>
          <w:szCs w:val="20"/>
          <w:lang w:eastAsia="fr-FR"/>
        </w:rPr>
        <w:t>Malgré les incertitudes sur l’efficacité de la toxine et l’absence de données à long terme, les études publiées ont permis d’établir :</w:t>
      </w:r>
    </w:p>
    <w:p w14:paraId="3925D5ED" w14:textId="77777777" w:rsidR="00B13B0C" w:rsidRPr="00970766" w:rsidRDefault="00B13B0C" w:rsidP="00B13B0C">
      <w:pPr>
        <w:numPr>
          <w:ilvl w:val="0"/>
          <w:numId w:val="20"/>
        </w:numPr>
        <w:spacing w:after="0" w:line="240" w:lineRule="auto"/>
        <w:contextualSpacing/>
        <w:jc w:val="both"/>
        <w:rPr>
          <w:rFonts w:ascii="Arial" w:hAnsi="Arial" w:cs="Arial"/>
          <w:sz w:val="20"/>
          <w:szCs w:val="20"/>
          <w:lang w:eastAsia="fr-FR"/>
        </w:rPr>
      </w:pPr>
      <w:r w:rsidRPr="00970766">
        <w:rPr>
          <w:rFonts w:ascii="Arial" w:hAnsi="Arial" w:cs="Arial"/>
          <w:sz w:val="20"/>
          <w:szCs w:val="20"/>
          <w:lang w:eastAsia="fr-FR"/>
        </w:rPr>
        <w:t>un probable profil de répondeurs au traitement qui semblent caractérisés par une préservation relative de la sensibilité thermique et/ou une allodynie mécanique dans la zone douloureuse ;</w:t>
      </w:r>
    </w:p>
    <w:p w14:paraId="7B8CAFB9" w14:textId="77777777" w:rsidR="00B13B0C" w:rsidRPr="00970766" w:rsidRDefault="00B13B0C" w:rsidP="00B13B0C">
      <w:pPr>
        <w:numPr>
          <w:ilvl w:val="0"/>
          <w:numId w:val="20"/>
        </w:numPr>
        <w:spacing w:after="0" w:line="240" w:lineRule="auto"/>
        <w:contextualSpacing/>
        <w:jc w:val="both"/>
        <w:rPr>
          <w:rFonts w:ascii="Arial" w:hAnsi="Arial" w:cs="Arial"/>
          <w:sz w:val="20"/>
          <w:szCs w:val="20"/>
          <w:lang w:eastAsia="fr-FR"/>
        </w:rPr>
      </w:pPr>
      <w:r w:rsidRPr="00970766">
        <w:rPr>
          <w:rFonts w:ascii="Arial" w:hAnsi="Arial" w:cs="Arial"/>
          <w:sz w:val="20"/>
          <w:szCs w:val="20"/>
          <w:lang w:eastAsia="fr-FR"/>
        </w:rPr>
        <w:t>une probable réduction de la douleur après une deuxième administration (certains patients non répondeurs après une administration deviennent répondeurs suite à la deuxième administration) ;</w:t>
      </w:r>
    </w:p>
    <w:p w14:paraId="5F3E491C" w14:textId="77777777" w:rsidR="00B13B0C" w:rsidRPr="00970766" w:rsidRDefault="00B13B0C" w:rsidP="00B13B0C">
      <w:pPr>
        <w:jc w:val="both"/>
        <w:rPr>
          <w:rFonts w:ascii="Arial" w:hAnsi="Arial" w:cs="Arial"/>
          <w:sz w:val="20"/>
          <w:szCs w:val="20"/>
          <w:lang w:eastAsia="fr-FR"/>
        </w:rPr>
      </w:pPr>
    </w:p>
    <w:p w14:paraId="7387AF94" w14:textId="77777777" w:rsidR="00B13B0C" w:rsidRPr="00970766" w:rsidRDefault="00B13B0C" w:rsidP="00B13B0C">
      <w:pPr>
        <w:jc w:val="both"/>
        <w:rPr>
          <w:rFonts w:ascii="Arial" w:hAnsi="Arial" w:cs="Arial"/>
          <w:sz w:val="20"/>
          <w:szCs w:val="20"/>
          <w:lang w:eastAsia="fr-FR"/>
        </w:rPr>
      </w:pPr>
      <w:r w:rsidRPr="00970766">
        <w:rPr>
          <w:rFonts w:ascii="Arial" w:hAnsi="Arial" w:cs="Arial"/>
          <w:sz w:val="20"/>
          <w:szCs w:val="20"/>
          <w:lang w:eastAsia="fr-FR"/>
        </w:rPr>
        <w:t xml:space="preserve">En résumé, les données issues des différentes publications convergent vers une présomption d’efficacité de la toxine botulinique de type A dans le traitement des douleurs neuropathiques </w:t>
      </w:r>
      <w:r w:rsidRPr="00970766">
        <w:rPr>
          <w:rFonts w:ascii="Arial" w:hAnsi="Arial" w:cs="Arial"/>
          <w:sz w:val="20"/>
          <w:szCs w:val="20"/>
          <w:lang w:eastAsia="fr-FR"/>
        </w:rPr>
        <w:lastRenderedPageBreak/>
        <w:t>périphériques chroniques, bien localisées (surface limitée), en tant que traitement adjuvant, chez des patients réfractaires aux autres traitements recommandé.</w:t>
      </w:r>
    </w:p>
    <w:p w14:paraId="3767BCFF" w14:textId="77777777" w:rsidR="00B13B0C" w:rsidRPr="00970766" w:rsidRDefault="00B13B0C" w:rsidP="00B13B0C">
      <w:pPr>
        <w:jc w:val="both"/>
        <w:rPr>
          <w:rFonts w:ascii="Arial" w:hAnsi="Arial" w:cs="Arial"/>
          <w:sz w:val="20"/>
          <w:szCs w:val="20"/>
          <w:lang w:eastAsia="fr-FR"/>
        </w:rPr>
      </w:pPr>
      <w:r w:rsidRPr="00970766">
        <w:rPr>
          <w:rFonts w:ascii="Arial" w:hAnsi="Arial" w:cs="Arial"/>
          <w:sz w:val="20"/>
          <w:szCs w:val="20"/>
          <w:lang w:eastAsia="fr-FR"/>
        </w:rPr>
        <w:t>Concernant les données de sécurité, bien que les données soient limitées, les effets indésirables rapportés sont connus pour la spécialité, généralement peu graves sauf pour la douleur au site injection.</w:t>
      </w:r>
    </w:p>
    <w:p w14:paraId="21CA62C6" w14:textId="001571A4" w:rsidR="00B13B0C" w:rsidRPr="00970766" w:rsidRDefault="00B13B0C" w:rsidP="00B13B0C">
      <w:pPr>
        <w:jc w:val="both"/>
        <w:rPr>
          <w:rFonts w:ascii="Arial" w:hAnsi="Arial" w:cs="Arial"/>
          <w:sz w:val="20"/>
          <w:szCs w:val="20"/>
          <w:lang w:eastAsia="fr-FR"/>
        </w:rPr>
      </w:pPr>
      <w:r w:rsidRPr="00970766">
        <w:rPr>
          <w:rFonts w:ascii="Arial" w:hAnsi="Arial" w:cs="Arial"/>
          <w:sz w:val="20"/>
          <w:szCs w:val="20"/>
          <w:lang w:eastAsia="fr-FR"/>
        </w:rPr>
        <w:t>A ce stade, il n’existe pas de données à long terme de BOTOX dans l’indication du CPC</w:t>
      </w:r>
    </w:p>
    <w:p w14:paraId="6C3BFB20" w14:textId="77777777" w:rsidR="00B13B0C" w:rsidRPr="00970766" w:rsidRDefault="00B13B0C" w:rsidP="00B13B0C">
      <w:pPr>
        <w:jc w:val="both"/>
        <w:rPr>
          <w:rFonts w:ascii="Arial" w:hAnsi="Arial" w:cs="Arial"/>
          <w:sz w:val="20"/>
          <w:szCs w:val="20"/>
          <w:lang w:eastAsia="fr-FR"/>
        </w:rPr>
      </w:pPr>
      <w:r w:rsidRPr="00970766">
        <w:rPr>
          <w:rFonts w:ascii="Arial" w:hAnsi="Arial" w:cs="Arial"/>
          <w:sz w:val="20"/>
          <w:szCs w:val="20"/>
          <w:lang w:eastAsia="fr-FR"/>
        </w:rPr>
        <w:t>Les indications et conditions suivantes du CPC sont ainsi proposées :</w:t>
      </w:r>
    </w:p>
    <w:p w14:paraId="541DF97A" w14:textId="77777777" w:rsidR="00B13B0C" w:rsidRPr="00970766" w:rsidRDefault="00B13B0C" w:rsidP="00B13B0C">
      <w:pPr>
        <w:jc w:val="both"/>
        <w:rPr>
          <w:rFonts w:ascii="Arial" w:hAnsi="Arial" w:cs="Arial"/>
          <w:sz w:val="20"/>
          <w:szCs w:val="20"/>
          <w:lang w:eastAsia="fr-FR"/>
        </w:rPr>
      </w:pPr>
      <w:r w:rsidRPr="00970766">
        <w:rPr>
          <w:rFonts w:ascii="Arial" w:hAnsi="Arial" w:cs="Arial"/>
          <w:sz w:val="20"/>
          <w:szCs w:val="20"/>
          <w:lang w:eastAsia="fr-FR"/>
        </w:rPr>
        <w:t>Traitement de la douleur neuropathique périphérique chronique (depuis au moins 6 mois) bien localisée (surface ≤ 240 cm²) en tant que traitement adjuvant chez les patients adultes insuffisamment soulagés ou réfractaires aux autres traitements.</w:t>
      </w:r>
    </w:p>
    <w:p w14:paraId="1CF8AB18" w14:textId="77777777" w:rsidR="00B13B0C" w:rsidRPr="00970766" w:rsidRDefault="00B13B0C" w:rsidP="00B13B0C">
      <w:pPr>
        <w:jc w:val="both"/>
        <w:rPr>
          <w:rFonts w:ascii="Arial" w:hAnsi="Arial" w:cs="Arial"/>
          <w:sz w:val="20"/>
          <w:szCs w:val="20"/>
          <w:lang w:eastAsia="fr-FR"/>
        </w:rPr>
      </w:pPr>
      <w:r w:rsidRPr="00970766">
        <w:rPr>
          <w:rFonts w:ascii="Arial" w:hAnsi="Arial" w:cs="Arial"/>
          <w:sz w:val="20"/>
          <w:szCs w:val="20"/>
          <w:lang w:eastAsia="fr-FR"/>
        </w:rPr>
        <w:t xml:space="preserve">Les patients doivent présenter les 3 conditions suivantes </w:t>
      </w:r>
    </w:p>
    <w:p w14:paraId="0AC86F2B" w14:textId="77777777" w:rsidR="00B13B0C" w:rsidRPr="00970766" w:rsidRDefault="00B13B0C" w:rsidP="00B13B0C">
      <w:pPr>
        <w:jc w:val="both"/>
        <w:rPr>
          <w:rFonts w:ascii="Arial" w:hAnsi="Arial" w:cs="Arial"/>
          <w:sz w:val="20"/>
          <w:szCs w:val="20"/>
          <w:lang w:eastAsia="fr-FR"/>
        </w:rPr>
      </w:pPr>
      <w:r w:rsidRPr="00970766">
        <w:rPr>
          <w:rFonts w:ascii="Arial" w:hAnsi="Arial" w:cs="Arial"/>
          <w:sz w:val="20"/>
          <w:szCs w:val="20"/>
          <w:lang w:eastAsia="fr-FR"/>
        </w:rPr>
        <w:t>-</w:t>
      </w:r>
      <w:r w:rsidRPr="00970766">
        <w:rPr>
          <w:rFonts w:ascii="Arial" w:hAnsi="Arial" w:cs="Arial"/>
          <w:sz w:val="20"/>
          <w:szCs w:val="20"/>
          <w:lang w:eastAsia="fr-FR"/>
        </w:rPr>
        <w:tab/>
        <w:t>des douleurs attribuées à une lésion nerveuse périphérique depuis au moins 6 mois</w:t>
      </w:r>
    </w:p>
    <w:p w14:paraId="465D87FB" w14:textId="77777777" w:rsidR="00B13B0C" w:rsidRPr="00970766" w:rsidRDefault="00B13B0C" w:rsidP="00B13B0C">
      <w:pPr>
        <w:jc w:val="both"/>
        <w:rPr>
          <w:rFonts w:ascii="Arial" w:hAnsi="Arial" w:cs="Arial"/>
          <w:sz w:val="20"/>
          <w:szCs w:val="20"/>
          <w:lang w:eastAsia="fr-FR"/>
        </w:rPr>
      </w:pPr>
      <w:r w:rsidRPr="00970766">
        <w:rPr>
          <w:rFonts w:ascii="Arial" w:hAnsi="Arial" w:cs="Arial"/>
          <w:sz w:val="20"/>
          <w:szCs w:val="20"/>
          <w:lang w:eastAsia="fr-FR"/>
        </w:rPr>
        <w:t>-</w:t>
      </w:r>
      <w:r w:rsidRPr="00970766">
        <w:rPr>
          <w:rFonts w:ascii="Arial" w:hAnsi="Arial" w:cs="Arial"/>
          <w:sz w:val="20"/>
          <w:szCs w:val="20"/>
          <w:lang w:eastAsia="fr-FR"/>
        </w:rPr>
        <w:tab/>
        <w:t>des douleurs quotidiennes avec un score d’au moins 4/10 sur l’échelle numérique</w:t>
      </w:r>
    </w:p>
    <w:p w14:paraId="0D368D57" w14:textId="77777777" w:rsidR="00B13B0C" w:rsidRPr="00970766" w:rsidRDefault="00B13B0C" w:rsidP="00B13B0C">
      <w:pPr>
        <w:jc w:val="both"/>
        <w:rPr>
          <w:rFonts w:ascii="Arial" w:hAnsi="Arial" w:cs="Arial"/>
          <w:sz w:val="20"/>
          <w:szCs w:val="20"/>
          <w:lang w:eastAsia="fr-FR"/>
        </w:rPr>
      </w:pPr>
      <w:r w:rsidRPr="00970766">
        <w:rPr>
          <w:rFonts w:ascii="Arial" w:hAnsi="Arial" w:cs="Arial"/>
          <w:sz w:val="20"/>
          <w:szCs w:val="20"/>
          <w:lang w:eastAsia="fr-FR"/>
        </w:rPr>
        <w:t>-</w:t>
      </w:r>
      <w:r w:rsidRPr="00970766">
        <w:rPr>
          <w:rFonts w:ascii="Arial" w:hAnsi="Arial" w:cs="Arial"/>
          <w:sz w:val="20"/>
          <w:szCs w:val="20"/>
          <w:lang w:eastAsia="fr-FR"/>
        </w:rPr>
        <w:tab/>
        <w:t xml:space="preserve">un score d’au moins 4/10 sur le DN4 </w:t>
      </w:r>
    </w:p>
    <w:p w14:paraId="00D8FE54" w14:textId="77777777" w:rsidR="00B13B0C" w:rsidRPr="00970766" w:rsidRDefault="00B13B0C" w:rsidP="00B13B0C">
      <w:pPr>
        <w:jc w:val="both"/>
        <w:rPr>
          <w:rFonts w:ascii="Arial" w:hAnsi="Arial" w:cs="Arial"/>
          <w:sz w:val="20"/>
          <w:szCs w:val="20"/>
          <w:lang w:eastAsia="fr-FR"/>
        </w:rPr>
      </w:pPr>
      <w:r w:rsidRPr="00970766">
        <w:rPr>
          <w:rFonts w:ascii="Arial" w:hAnsi="Arial" w:cs="Arial"/>
          <w:sz w:val="20"/>
          <w:szCs w:val="20"/>
          <w:lang w:eastAsia="fr-FR"/>
        </w:rPr>
        <w:t xml:space="preserve">Après instauration, le suivi du traitement comprendra une réévaluation de l’état clinique entre le premier et le deuxième mois suivant l’initiation puis entre chaque nouvelle séance d’injections. </w:t>
      </w:r>
      <w:r w:rsidRPr="00970766">
        <w:rPr>
          <w:rFonts w:ascii="Arial" w:hAnsi="Arial" w:cs="Arial"/>
          <w:sz w:val="20"/>
          <w:szCs w:val="20"/>
          <w:u w:val="single"/>
          <w:lang w:eastAsia="fr-FR"/>
        </w:rPr>
        <w:t>La poursuite du traitement n’est pas justifiée et celui-ci doit être interrompu</w:t>
      </w:r>
      <w:r w:rsidRPr="00970766">
        <w:rPr>
          <w:rFonts w:ascii="Arial" w:hAnsi="Arial" w:cs="Arial"/>
          <w:sz w:val="20"/>
          <w:szCs w:val="20"/>
          <w:lang w:eastAsia="fr-FR"/>
        </w:rPr>
        <w:t xml:space="preserve"> si après la deuxième administration de toxine botulinique soit 24 semaines de traitement, il n’est pas constaté l’obtention d’une amélioration d’au moins 30% du score de l’intensité de la douleur par rapport à l’évaluation initiale avant l’instauration du traitement.</w:t>
      </w:r>
    </w:p>
    <w:p w14:paraId="1FA18714" w14:textId="68678470" w:rsidR="00B13B0C" w:rsidRPr="00970766" w:rsidRDefault="00B13B0C" w:rsidP="00B13B0C">
      <w:pPr>
        <w:jc w:val="both"/>
        <w:rPr>
          <w:rFonts w:ascii="Arial" w:hAnsi="Arial" w:cs="Arial"/>
          <w:sz w:val="20"/>
          <w:szCs w:val="20"/>
          <w:lang w:eastAsia="fr-FR"/>
        </w:rPr>
      </w:pPr>
      <w:r w:rsidRPr="00970766">
        <w:rPr>
          <w:rFonts w:ascii="Arial" w:hAnsi="Arial" w:cs="Arial"/>
          <w:sz w:val="20"/>
          <w:szCs w:val="20"/>
          <w:lang w:eastAsia="fr-FR"/>
        </w:rPr>
        <w:t>Le protocole d’utilisation de BOTOX 50/100/200 UNITÉS ALLERGAN, poudre pour solution injectable dans les indications du présent CPC est complémentaire</w:t>
      </w:r>
      <w:r w:rsidRPr="00970766">
        <w:t xml:space="preserve"> </w:t>
      </w:r>
      <w:r w:rsidRPr="00970766">
        <w:rPr>
          <w:rFonts w:ascii="Arial" w:hAnsi="Arial" w:cs="Arial"/>
          <w:sz w:val="20"/>
          <w:szCs w:val="20"/>
          <w:lang w:eastAsia="fr-FR"/>
        </w:rPr>
        <w:t>aux résumés des caractéristiques du produit des AMM en vigueur. Il conviendra donc de respecter l’ensemble des contre-indications, précautions d’emploi, mises en garde pour la sécurité des patients qui sont mentionnés dans les résumés des caractéristiques du produit des AMM.</w:t>
      </w:r>
      <w:r w:rsidRPr="00970766">
        <w:t xml:space="preserve"> </w:t>
      </w:r>
      <w:r w:rsidRPr="00970766">
        <w:rPr>
          <w:rFonts w:ascii="Arial" w:hAnsi="Arial" w:cs="Arial"/>
          <w:sz w:val="20"/>
          <w:szCs w:val="20"/>
          <w:lang w:eastAsia="fr-FR"/>
        </w:rPr>
        <w:t xml:space="preserve">Il est rappelé que BOTOX ne doit être administré que dans le cadre d’une prise en charge globale multidisciplinaire par des médecins spécialistes ayant déjà une bonne expérience de l’utilisation de la toxine dans ses indications et </w:t>
      </w:r>
      <w:r w:rsidR="002554F3">
        <w:rPr>
          <w:rFonts w:ascii="Arial" w:hAnsi="Arial" w:cs="Arial"/>
          <w:sz w:val="20"/>
          <w:szCs w:val="20"/>
          <w:lang w:eastAsia="fr-FR"/>
        </w:rPr>
        <w:t>disposant d’</w:t>
      </w:r>
      <w:r w:rsidRPr="00970766">
        <w:rPr>
          <w:rFonts w:ascii="Arial" w:hAnsi="Arial" w:cs="Arial"/>
          <w:sz w:val="20"/>
          <w:szCs w:val="20"/>
          <w:lang w:eastAsia="fr-FR"/>
        </w:rPr>
        <w:t>un plateau technique adapté. Dans le cadre du CPC, la prescription des spécialités BOTOX dans la prise en charge de la douleur neuropathique périphérique chronique est réservée aux médecins spécialistes</w:t>
      </w:r>
      <w:r w:rsidR="004E5F85" w:rsidRPr="00970766">
        <w:rPr>
          <w:rFonts w:ascii="Arial" w:hAnsi="Arial" w:cs="Arial"/>
          <w:sz w:val="20"/>
          <w:szCs w:val="20"/>
          <w:lang w:eastAsia="fr-FR"/>
        </w:rPr>
        <w:t xml:space="preserve"> </w:t>
      </w:r>
      <w:r w:rsidRPr="00970766">
        <w:rPr>
          <w:rFonts w:ascii="Arial" w:hAnsi="Arial" w:cs="Arial"/>
          <w:sz w:val="20"/>
          <w:szCs w:val="20"/>
          <w:lang w:eastAsia="fr-FR"/>
        </w:rPr>
        <w:t>expérimentés dans le traitement de la douleur.</w:t>
      </w:r>
    </w:p>
    <w:p w14:paraId="12C7C457" w14:textId="77777777" w:rsidR="00B13B0C" w:rsidRPr="00970766" w:rsidRDefault="00B13B0C" w:rsidP="00B13B0C">
      <w:pPr>
        <w:adjustRightInd w:val="0"/>
        <w:jc w:val="both"/>
        <w:rPr>
          <w:rFonts w:cstheme="minorHAnsi"/>
        </w:rPr>
      </w:pPr>
    </w:p>
    <w:p w14:paraId="14C3F3D2" w14:textId="77777777" w:rsidR="00B13B0C" w:rsidRPr="00970766" w:rsidRDefault="00B13B0C" w:rsidP="00B13B0C">
      <w:pPr>
        <w:keepLines/>
        <w:spacing w:after="120"/>
        <w:ind w:left="-567"/>
        <w:jc w:val="both"/>
        <w:rPr>
          <w:rFonts w:ascii="Arial" w:hAnsi="Arial" w:cs="Arial"/>
          <w:b/>
          <w:sz w:val="20"/>
          <w:szCs w:val="20"/>
        </w:rPr>
      </w:pPr>
      <w:r w:rsidRPr="00970766">
        <w:rPr>
          <w:rFonts w:ascii="Arial" w:hAnsi="Arial" w:cs="Arial"/>
          <w:b/>
          <w:sz w:val="20"/>
          <w:szCs w:val="20"/>
        </w:rPr>
        <w:t>Références</w:t>
      </w:r>
      <w:r w:rsidR="00F4410A" w:rsidRPr="00970766">
        <w:rPr>
          <w:rFonts w:ascii="Arial" w:hAnsi="Arial" w:cs="Arial"/>
          <w:b/>
          <w:sz w:val="20"/>
          <w:szCs w:val="20"/>
        </w:rPr>
        <w:t xml:space="preserve"> </w:t>
      </w:r>
      <w:r w:rsidRPr="00970766">
        <w:rPr>
          <w:rFonts w:ascii="Arial" w:hAnsi="Arial" w:cs="Arial"/>
          <w:b/>
          <w:sz w:val="20"/>
          <w:szCs w:val="20"/>
        </w:rPr>
        <w:t>:</w:t>
      </w:r>
    </w:p>
    <w:p w14:paraId="3C6D6F95" w14:textId="77777777" w:rsidR="00B13B0C" w:rsidRPr="00970766" w:rsidRDefault="00B13B0C" w:rsidP="00B13B0C">
      <w:pPr>
        <w:pStyle w:val="Paragraphedeliste"/>
        <w:numPr>
          <w:ilvl w:val="0"/>
          <w:numId w:val="21"/>
        </w:numPr>
        <w:autoSpaceDE w:val="0"/>
        <w:autoSpaceDN w:val="0"/>
        <w:adjustRightInd w:val="0"/>
        <w:spacing w:after="0" w:line="240" w:lineRule="auto"/>
        <w:contextualSpacing w:val="0"/>
        <w:jc w:val="both"/>
        <w:rPr>
          <w:rFonts w:ascii="Arial" w:eastAsia="Calibri" w:hAnsi="Arial" w:cs="Arial"/>
          <w:iCs/>
          <w:sz w:val="20"/>
          <w:szCs w:val="20"/>
        </w:rPr>
      </w:pPr>
      <w:r w:rsidRPr="00F85008">
        <w:rPr>
          <w:rFonts w:ascii="Arial" w:eastAsia="Calibri" w:hAnsi="Arial" w:cs="Arial"/>
          <w:iCs/>
          <w:sz w:val="20"/>
          <w:szCs w:val="20"/>
          <w:lang w:val="en-GB"/>
        </w:rPr>
        <w:t xml:space="preserve">Bouhassira D, Lantéri-Minet M, Attal N, Laurent B, Touboul C. Prevalence of chronic pain with neuropathic characteristics in the general population. </w:t>
      </w:r>
      <w:r w:rsidRPr="00970766">
        <w:rPr>
          <w:rFonts w:ascii="Arial" w:eastAsia="Calibri" w:hAnsi="Arial" w:cs="Arial"/>
          <w:iCs/>
          <w:sz w:val="20"/>
          <w:szCs w:val="20"/>
        </w:rPr>
        <w:t>Pain 2008;136:380—7</w:t>
      </w:r>
    </w:p>
    <w:p w14:paraId="4D5E705F" w14:textId="77777777" w:rsidR="00B13B0C" w:rsidRPr="00970766" w:rsidRDefault="00B13B0C" w:rsidP="00B13B0C">
      <w:pPr>
        <w:pStyle w:val="Paragraphedeliste"/>
        <w:numPr>
          <w:ilvl w:val="0"/>
          <w:numId w:val="21"/>
        </w:numPr>
        <w:autoSpaceDE w:val="0"/>
        <w:autoSpaceDN w:val="0"/>
        <w:adjustRightInd w:val="0"/>
        <w:spacing w:after="0" w:line="240" w:lineRule="auto"/>
        <w:contextualSpacing w:val="0"/>
        <w:jc w:val="both"/>
        <w:rPr>
          <w:rStyle w:val="mixed-citation"/>
          <w:rFonts w:ascii="Arial" w:eastAsia="Calibri" w:hAnsi="Arial" w:cs="Arial"/>
          <w:iCs/>
          <w:sz w:val="20"/>
          <w:szCs w:val="20"/>
        </w:rPr>
      </w:pPr>
      <w:r w:rsidRPr="00970766">
        <w:rPr>
          <w:rStyle w:val="mixed-citation"/>
          <w:rFonts w:ascii="Arial" w:eastAsia="Calibri" w:hAnsi="Arial" w:cs="Arial"/>
          <w:iCs/>
          <w:sz w:val="20"/>
          <w:szCs w:val="20"/>
        </w:rPr>
        <w:t xml:space="preserve">Moisset, X., D. Bouhassira, J. Avez Couturier, H. Alchaar, S. Conradi, M. H. Delmotte, M. Lanteri-Minet, et al. </w:t>
      </w:r>
      <w:r w:rsidRPr="00F85008">
        <w:rPr>
          <w:rStyle w:val="mixed-citation"/>
          <w:rFonts w:ascii="Arial" w:eastAsia="Calibri" w:hAnsi="Arial" w:cs="Arial"/>
          <w:iCs/>
          <w:sz w:val="20"/>
          <w:szCs w:val="20"/>
          <w:lang w:val="en-GB"/>
        </w:rPr>
        <w:t xml:space="preserve">« Pharmacological and Non-Pharmacological Treatments for Neuropathic Pain: Systematic Review and French Recommendations ». </w:t>
      </w:r>
      <w:r w:rsidRPr="00970766">
        <w:rPr>
          <w:rStyle w:val="mixed-citation"/>
          <w:rFonts w:ascii="Arial" w:eastAsia="Calibri" w:hAnsi="Arial" w:cs="Arial"/>
          <w:iCs/>
          <w:sz w:val="20"/>
          <w:szCs w:val="20"/>
        </w:rPr>
        <w:t>Revue Neurologique 176, no 5 (mai 2020): 325</w:t>
      </w:r>
      <w:r w:rsidRPr="00970766">
        <w:rPr>
          <w:rStyle w:val="mixed-citation"/>
          <w:rFonts w:ascii="Cambria Math" w:eastAsia="Calibri" w:hAnsi="Cambria Math" w:cs="Cambria Math"/>
          <w:iCs/>
          <w:sz w:val="20"/>
          <w:szCs w:val="20"/>
        </w:rPr>
        <w:t>‑</w:t>
      </w:r>
      <w:r w:rsidRPr="00970766">
        <w:rPr>
          <w:rStyle w:val="mixed-citation"/>
          <w:rFonts w:ascii="Arial" w:eastAsia="Calibri" w:hAnsi="Arial" w:cs="Arial"/>
          <w:iCs/>
          <w:sz w:val="20"/>
          <w:szCs w:val="20"/>
        </w:rPr>
        <w:t xml:space="preserve">52. </w:t>
      </w:r>
    </w:p>
    <w:p w14:paraId="3B09C860" w14:textId="77777777" w:rsidR="00B13B0C" w:rsidRPr="00970766" w:rsidRDefault="00B13B0C" w:rsidP="00B13B0C">
      <w:pPr>
        <w:pStyle w:val="Paragraphedeliste"/>
        <w:numPr>
          <w:ilvl w:val="0"/>
          <w:numId w:val="21"/>
        </w:numPr>
        <w:autoSpaceDE w:val="0"/>
        <w:autoSpaceDN w:val="0"/>
        <w:adjustRightInd w:val="0"/>
        <w:spacing w:after="0" w:line="240" w:lineRule="auto"/>
        <w:contextualSpacing w:val="0"/>
        <w:jc w:val="both"/>
        <w:rPr>
          <w:rStyle w:val="mixed-citation"/>
          <w:rFonts w:ascii="Arial" w:eastAsia="Calibri" w:hAnsi="Arial" w:cs="Arial"/>
          <w:iCs/>
          <w:sz w:val="20"/>
          <w:szCs w:val="20"/>
        </w:rPr>
      </w:pPr>
      <w:r w:rsidRPr="00970766">
        <w:rPr>
          <w:rStyle w:val="mixed-citation"/>
          <w:rFonts w:ascii="Arial" w:eastAsia="Calibri" w:hAnsi="Arial" w:cs="Arial"/>
          <w:iCs/>
          <w:sz w:val="20"/>
          <w:szCs w:val="20"/>
        </w:rPr>
        <w:t xml:space="preserve">Ranoux, D., Attal, N., Morain, F., &amp; Bouhassira, D. (2008). </w:t>
      </w:r>
      <w:r w:rsidRPr="00F85008">
        <w:rPr>
          <w:rStyle w:val="mixed-citation"/>
          <w:rFonts w:ascii="Arial" w:eastAsia="Calibri" w:hAnsi="Arial" w:cs="Arial"/>
          <w:iCs/>
          <w:sz w:val="20"/>
          <w:szCs w:val="20"/>
          <w:lang w:val="en-GB"/>
        </w:rPr>
        <w:t xml:space="preserve">Botulinum toxin type A induces direct analgesic effects in chronic neuropathic pain. </w:t>
      </w:r>
      <w:r w:rsidRPr="00970766">
        <w:rPr>
          <w:rStyle w:val="mixed-citation"/>
          <w:rFonts w:ascii="Arial" w:eastAsia="Calibri" w:hAnsi="Arial" w:cs="Arial"/>
          <w:iCs/>
          <w:sz w:val="20"/>
          <w:szCs w:val="20"/>
        </w:rPr>
        <w:t xml:space="preserve">Annals of Neurology, 64, 274–283. </w:t>
      </w:r>
    </w:p>
    <w:p w14:paraId="0158D8E1" w14:textId="77777777" w:rsidR="00B13B0C" w:rsidRPr="00F85008" w:rsidRDefault="00B13B0C" w:rsidP="00B13B0C">
      <w:pPr>
        <w:pStyle w:val="Paragraphedeliste"/>
        <w:numPr>
          <w:ilvl w:val="0"/>
          <w:numId w:val="21"/>
        </w:numPr>
        <w:autoSpaceDE w:val="0"/>
        <w:autoSpaceDN w:val="0"/>
        <w:adjustRightInd w:val="0"/>
        <w:spacing w:after="0" w:line="240" w:lineRule="auto"/>
        <w:contextualSpacing w:val="0"/>
        <w:jc w:val="both"/>
        <w:rPr>
          <w:rStyle w:val="mixed-citation"/>
          <w:rFonts w:ascii="Arial" w:eastAsia="Calibri" w:hAnsi="Arial" w:cs="Arial"/>
          <w:iCs/>
          <w:sz w:val="20"/>
          <w:szCs w:val="20"/>
          <w:lang w:val="en-GB"/>
        </w:rPr>
      </w:pPr>
      <w:r w:rsidRPr="00970766">
        <w:rPr>
          <w:rStyle w:val="mixed-citation"/>
          <w:rFonts w:ascii="Arial" w:eastAsia="Calibri" w:hAnsi="Arial" w:cs="Arial"/>
          <w:iCs/>
          <w:sz w:val="20"/>
          <w:szCs w:val="20"/>
        </w:rPr>
        <w:t xml:space="preserve">Yuan RY, Sheu JJ, Yu JM, et al. </w:t>
      </w:r>
      <w:r w:rsidRPr="00F85008">
        <w:rPr>
          <w:rStyle w:val="mixed-citation"/>
          <w:rFonts w:ascii="Arial" w:eastAsia="Calibri" w:hAnsi="Arial" w:cs="Arial"/>
          <w:iCs/>
          <w:sz w:val="20"/>
          <w:szCs w:val="20"/>
          <w:lang w:val="en-GB"/>
        </w:rPr>
        <w:t xml:space="preserve">Botulinum toxin for diabeticneuropathic pain: a randomized double-blind crossover trial.Neurology 2009;72:1473—8.[30] </w:t>
      </w:r>
    </w:p>
    <w:p w14:paraId="4884E696" w14:textId="77777777" w:rsidR="00B13B0C" w:rsidRPr="00970766" w:rsidRDefault="00B13B0C" w:rsidP="00B13B0C">
      <w:pPr>
        <w:pStyle w:val="Paragraphedeliste"/>
        <w:numPr>
          <w:ilvl w:val="0"/>
          <w:numId w:val="21"/>
        </w:numPr>
        <w:autoSpaceDE w:val="0"/>
        <w:autoSpaceDN w:val="0"/>
        <w:adjustRightInd w:val="0"/>
        <w:spacing w:after="0" w:line="240" w:lineRule="auto"/>
        <w:contextualSpacing w:val="0"/>
        <w:jc w:val="both"/>
        <w:rPr>
          <w:rStyle w:val="mixed-citation"/>
          <w:rFonts w:ascii="Arial" w:eastAsia="Calibri" w:hAnsi="Arial" w:cs="Arial"/>
          <w:iCs/>
          <w:sz w:val="20"/>
          <w:szCs w:val="20"/>
        </w:rPr>
      </w:pPr>
      <w:r w:rsidRPr="00F85008">
        <w:rPr>
          <w:rStyle w:val="mixed-citation"/>
          <w:rFonts w:ascii="Arial" w:eastAsia="Calibri" w:hAnsi="Arial" w:cs="Arial"/>
          <w:iCs/>
          <w:sz w:val="20"/>
          <w:szCs w:val="20"/>
          <w:lang w:val="en-GB"/>
        </w:rPr>
        <w:t xml:space="preserve">Xiao L, Mackey S, Hui H, Xong D, Zhang Q, Zhang D. Sub-cutaneous injection of botulinum toxin A is beneficial in postherpetic neuralgia. </w:t>
      </w:r>
      <w:r w:rsidRPr="00970766">
        <w:rPr>
          <w:rStyle w:val="mixed-citation"/>
          <w:rFonts w:ascii="Arial" w:eastAsia="Calibri" w:hAnsi="Arial" w:cs="Arial"/>
          <w:iCs/>
          <w:sz w:val="20"/>
          <w:szCs w:val="20"/>
        </w:rPr>
        <w:t xml:space="preserve">Pain Med 2010;11:1827—33.[31] </w:t>
      </w:r>
    </w:p>
    <w:p w14:paraId="2D8EE0D6" w14:textId="77777777" w:rsidR="00B13B0C" w:rsidRPr="00970766" w:rsidRDefault="00B13B0C" w:rsidP="00B13B0C">
      <w:pPr>
        <w:pStyle w:val="Paragraphedeliste"/>
        <w:numPr>
          <w:ilvl w:val="0"/>
          <w:numId w:val="21"/>
        </w:numPr>
        <w:autoSpaceDE w:val="0"/>
        <w:autoSpaceDN w:val="0"/>
        <w:adjustRightInd w:val="0"/>
        <w:spacing w:after="0" w:line="240" w:lineRule="auto"/>
        <w:contextualSpacing w:val="0"/>
        <w:jc w:val="both"/>
        <w:rPr>
          <w:rStyle w:val="mixed-citation"/>
          <w:rFonts w:ascii="Arial" w:eastAsia="Calibri" w:hAnsi="Arial" w:cs="Arial"/>
          <w:iCs/>
          <w:sz w:val="20"/>
          <w:szCs w:val="20"/>
        </w:rPr>
      </w:pPr>
      <w:r w:rsidRPr="00F85008">
        <w:rPr>
          <w:rStyle w:val="mixed-citation"/>
          <w:rFonts w:ascii="Arial" w:eastAsia="Calibri" w:hAnsi="Arial" w:cs="Arial"/>
          <w:iCs/>
          <w:sz w:val="20"/>
          <w:szCs w:val="20"/>
          <w:lang w:val="en-GB"/>
        </w:rPr>
        <w:t xml:space="preserve">Apalla Z, Sotiriou E, Lallas A, Lazaridou E, Ioannides D. Botuli-num toxin A in postherpetic neuralgia: a parallel, randomized,double-blind, single-dose, placebo-controlled trial. </w:t>
      </w:r>
      <w:r w:rsidRPr="00970766">
        <w:rPr>
          <w:rStyle w:val="mixed-citation"/>
          <w:rFonts w:ascii="Arial" w:eastAsia="Calibri" w:hAnsi="Arial" w:cs="Arial"/>
          <w:iCs/>
          <w:sz w:val="20"/>
          <w:szCs w:val="20"/>
        </w:rPr>
        <w:t>Clin J Pain2013;29:857—64.</w:t>
      </w:r>
    </w:p>
    <w:p w14:paraId="5D54369A" w14:textId="77777777" w:rsidR="00B13B0C" w:rsidRPr="00970766" w:rsidRDefault="00B13B0C" w:rsidP="00B13B0C">
      <w:pPr>
        <w:pStyle w:val="Paragraphedeliste"/>
        <w:numPr>
          <w:ilvl w:val="0"/>
          <w:numId w:val="21"/>
        </w:numPr>
        <w:autoSpaceDE w:val="0"/>
        <w:autoSpaceDN w:val="0"/>
        <w:adjustRightInd w:val="0"/>
        <w:spacing w:after="0" w:line="240" w:lineRule="auto"/>
        <w:contextualSpacing w:val="0"/>
        <w:jc w:val="both"/>
        <w:rPr>
          <w:rStyle w:val="mixed-citation"/>
          <w:rFonts w:ascii="Arial" w:eastAsia="Calibri" w:hAnsi="Arial" w:cs="Arial"/>
          <w:iCs/>
          <w:sz w:val="20"/>
          <w:szCs w:val="20"/>
        </w:rPr>
      </w:pPr>
      <w:r w:rsidRPr="00F85008">
        <w:rPr>
          <w:rStyle w:val="mixed-citation"/>
          <w:rFonts w:ascii="Arial" w:eastAsia="Calibri" w:hAnsi="Arial" w:cs="Arial"/>
          <w:iCs/>
          <w:sz w:val="20"/>
          <w:szCs w:val="20"/>
          <w:lang w:val="en-GB"/>
        </w:rPr>
        <w:t>N. Attal.</w:t>
      </w:r>
      <w:r w:rsidRPr="00F85008">
        <w:rPr>
          <w:lang w:val="en-GB"/>
        </w:rPr>
        <w:t xml:space="preserve"> </w:t>
      </w:r>
      <w:r w:rsidRPr="00F85008">
        <w:rPr>
          <w:rStyle w:val="mixed-citation"/>
          <w:rFonts w:ascii="Arial" w:eastAsia="Calibri" w:hAnsi="Arial" w:cs="Arial"/>
          <w:iCs/>
          <w:sz w:val="20"/>
          <w:szCs w:val="20"/>
          <w:lang w:val="en-GB"/>
        </w:rPr>
        <w:t>Botulinum toxin A and neuropathic pain.</w:t>
      </w:r>
      <w:r w:rsidRPr="00F85008">
        <w:rPr>
          <w:lang w:val="en-GB"/>
        </w:rPr>
        <w:t xml:space="preserve"> </w:t>
      </w:r>
      <w:r w:rsidRPr="00970766">
        <w:rPr>
          <w:rStyle w:val="mixed-citation"/>
          <w:rFonts w:ascii="Arial" w:eastAsia="Calibri" w:hAnsi="Arial" w:cs="Arial"/>
          <w:iCs/>
          <w:sz w:val="20"/>
          <w:szCs w:val="20"/>
        </w:rPr>
        <w:t>Bull Acad Natl Med (2020) 204, 379—385.</w:t>
      </w:r>
    </w:p>
    <w:p w14:paraId="02BF8904" w14:textId="77777777" w:rsidR="00B13B0C" w:rsidRPr="00970766" w:rsidRDefault="00B13B0C" w:rsidP="00B13B0C">
      <w:pPr>
        <w:pStyle w:val="Paragraphedeliste"/>
        <w:numPr>
          <w:ilvl w:val="0"/>
          <w:numId w:val="21"/>
        </w:numPr>
        <w:autoSpaceDE w:val="0"/>
        <w:autoSpaceDN w:val="0"/>
        <w:adjustRightInd w:val="0"/>
        <w:spacing w:after="0" w:line="240" w:lineRule="auto"/>
        <w:contextualSpacing w:val="0"/>
        <w:jc w:val="both"/>
        <w:rPr>
          <w:rStyle w:val="mixed-citation"/>
          <w:rFonts w:ascii="Arial" w:eastAsia="Calibri" w:hAnsi="Arial" w:cs="Arial"/>
          <w:iCs/>
          <w:sz w:val="20"/>
          <w:szCs w:val="20"/>
        </w:rPr>
      </w:pPr>
      <w:r w:rsidRPr="00970766">
        <w:rPr>
          <w:rStyle w:val="mixed-citation"/>
          <w:rFonts w:ascii="Arial" w:eastAsia="Calibri" w:hAnsi="Arial" w:cs="Arial"/>
          <w:iCs/>
          <w:sz w:val="20"/>
          <w:szCs w:val="20"/>
        </w:rPr>
        <w:t xml:space="preserve">Attal, N., de Andrade, D. C., Adam, F., Ranoux, D., Teixeira, M. J., Galhardoni, R., Raicher, I., Üçeyler, N., Sommer, C., &amp; Bouhassira, D. (2016). </w:t>
      </w:r>
      <w:r w:rsidRPr="00F85008">
        <w:rPr>
          <w:rStyle w:val="mixed-citation"/>
          <w:rFonts w:ascii="Arial" w:eastAsia="Calibri" w:hAnsi="Arial" w:cs="Arial"/>
          <w:iCs/>
          <w:sz w:val="20"/>
          <w:szCs w:val="20"/>
          <w:lang w:val="en-GB"/>
        </w:rPr>
        <w:t xml:space="preserve">Safety and efficacy of repeated injections of </w:t>
      </w:r>
      <w:r w:rsidRPr="00F85008">
        <w:rPr>
          <w:rStyle w:val="mixed-citation"/>
          <w:rFonts w:ascii="Arial" w:eastAsia="Calibri" w:hAnsi="Arial" w:cs="Arial"/>
          <w:iCs/>
          <w:sz w:val="20"/>
          <w:szCs w:val="20"/>
          <w:lang w:val="en-GB"/>
        </w:rPr>
        <w:lastRenderedPageBreak/>
        <w:t xml:space="preserve">botulinum toxin A in peripheral neuropathic pain (BOTNEP): A randomised, double-blind, placebo-controlled trial. </w:t>
      </w:r>
      <w:r w:rsidRPr="00970766">
        <w:rPr>
          <w:rStyle w:val="mixed-citation"/>
          <w:rFonts w:ascii="Arial" w:eastAsia="Calibri" w:hAnsi="Arial" w:cs="Arial"/>
          <w:iCs/>
          <w:sz w:val="20"/>
          <w:szCs w:val="20"/>
        </w:rPr>
        <w:t>The Lancet Neurology, 15, 555–565.</w:t>
      </w:r>
    </w:p>
    <w:p w14:paraId="08F8147B" w14:textId="77777777" w:rsidR="00B13B0C" w:rsidRPr="00F85008" w:rsidRDefault="00B13B0C" w:rsidP="00B13B0C">
      <w:pPr>
        <w:pStyle w:val="Paragraphedeliste"/>
        <w:numPr>
          <w:ilvl w:val="0"/>
          <w:numId w:val="21"/>
        </w:numPr>
        <w:autoSpaceDE w:val="0"/>
        <w:autoSpaceDN w:val="0"/>
        <w:adjustRightInd w:val="0"/>
        <w:spacing w:after="0" w:line="240" w:lineRule="auto"/>
        <w:contextualSpacing w:val="0"/>
        <w:jc w:val="both"/>
        <w:rPr>
          <w:rStyle w:val="mixed-citation"/>
          <w:rFonts w:ascii="Arial" w:eastAsia="Calibri" w:hAnsi="Arial" w:cs="Arial"/>
          <w:iCs/>
          <w:sz w:val="20"/>
          <w:szCs w:val="20"/>
          <w:lang w:val="en-GB"/>
        </w:rPr>
      </w:pPr>
      <w:r w:rsidRPr="00F85008">
        <w:rPr>
          <w:rStyle w:val="mixed-citation"/>
          <w:rFonts w:ascii="Arial" w:eastAsia="Calibri" w:hAnsi="Arial" w:cs="Arial"/>
          <w:iCs/>
          <w:sz w:val="20"/>
          <w:szCs w:val="20"/>
          <w:lang w:val="en-GB"/>
        </w:rPr>
        <w:t>Allergan 191622-066 Study in Post-Herpetic Neuralgia (PHN) – 2006</w:t>
      </w:r>
    </w:p>
    <w:p w14:paraId="303664BD" w14:textId="77777777" w:rsidR="00B13B0C" w:rsidRPr="00970766" w:rsidRDefault="00B13B0C" w:rsidP="00B13B0C">
      <w:pPr>
        <w:pStyle w:val="Paragraphedeliste"/>
        <w:numPr>
          <w:ilvl w:val="0"/>
          <w:numId w:val="21"/>
        </w:numPr>
        <w:autoSpaceDE w:val="0"/>
        <w:autoSpaceDN w:val="0"/>
        <w:adjustRightInd w:val="0"/>
        <w:spacing w:after="0" w:line="240" w:lineRule="auto"/>
        <w:contextualSpacing w:val="0"/>
        <w:jc w:val="both"/>
        <w:rPr>
          <w:rStyle w:val="mixed-citation"/>
          <w:rFonts w:ascii="Arial" w:eastAsia="Calibri" w:hAnsi="Arial" w:cs="Arial"/>
          <w:iCs/>
          <w:sz w:val="20"/>
          <w:szCs w:val="20"/>
        </w:rPr>
      </w:pPr>
      <w:r w:rsidRPr="00F85008">
        <w:rPr>
          <w:rStyle w:val="mixed-citation"/>
          <w:rFonts w:ascii="Arial" w:eastAsia="Calibri" w:hAnsi="Arial" w:cs="Arial"/>
          <w:iCs/>
          <w:sz w:val="20"/>
          <w:szCs w:val="20"/>
          <w:lang w:val="en-GB"/>
        </w:rPr>
        <w:t xml:space="preserve">Vincent Hary, Sebastien Schitter, Valeria Martinez. Efficacy and safety of botulinum A toxin for the treatment of chronic peripheral neuropathic pain: A systematic review of randomized controlled trials and meta-analysis. </w:t>
      </w:r>
      <w:r w:rsidRPr="00970766">
        <w:rPr>
          <w:rStyle w:val="mixed-citation"/>
          <w:rFonts w:ascii="Arial" w:eastAsia="Calibri" w:hAnsi="Arial" w:cs="Arial"/>
          <w:iCs/>
          <w:sz w:val="20"/>
          <w:szCs w:val="20"/>
        </w:rPr>
        <w:t>Eur J Pain. 2022 May;26(5):980-990.</w:t>
      </w:r>
    </w:p>
    <w:p w14:paraId="31C37E05" w14:textId="77777777" w:rsidR="00B13B0C" w:rsidRPr="00970766" w:rsidRDefault="00B13B0C" w:rsidP="00B13B0C">
      <w:pPr>
        <w:pStyle w:val="Paragraphedeliste"/>
        <w:numPr>
          <w:ilvl w:val="0"/>
          <w:numId w:val="21"/>
        </w:numPr>
        <w:autoSpaceDE w:val="0"/>
        <w:autoSpaceDN w:val="0"/>
        <w:adjustRightInd w:val="0"/>
        <w:spacing w:after="0" w:line="240" w:lineRule="auto"/>
        <w:contextualSpacing w:val="0"/>
        <w:jc w:val="both"/>
        <w:rPr>
          <w:rStyle w:val="mixed-citation"/>
          <w:rFonts w:ascii="Arial" w:eastAsia="Calibri" w:hAnsi="Arial" w:cs="Arial"/>
          <w:iCs/>
          <w:sz w:val="20"/>
          <w:szCs w:val="20"/>
        </w:rPr>
      </w:pPr>
      <w:r w:rsidRPr="006843F0">
        <w:rPr>
          <w:rStyle w:val="mixed-citation"/>
          <w:rFonts w:ascii="Arial" w:eastAsia="Calibri" w:hAnsi="Arial" w:cs="Arial"/>
          <w:iCs/>
          <w:sz w:val="20"/>
          <w:szCs w:val="20"/>
        </w:rPr>
        <w:t>Anupam Datta Gupta, Suzanne Edwards, Jessica Smith, John Snow, Renuka Visvanathan, Graeme Tucker, David Wilson.</w:t>
      </w:r>
      <w:r w:rsidRPr="006843F0">
        <w:t xml:space="preserve"> </w:t>
      </w:r>
      <w:r w:rsidRPr="00F85008">
        <w:rPr>
          <w:rStyle w:val="mixed-citation"/>
          <w:rFonts w:ascii="Arial" w:eastAsia="Calibri" w:hAnsi="Arial" w:cs="Arial"/>
          <w:iCs/>
          <w:sz w:val="20"/>
          <w:szCs w:val="20"/>
          <w:lang w:val="en-GB"/>
        </w:rPr>
        <w:t xml:space="preserve">A Systematic Review and Meta-Analysis of Efficacy of Botulinum Toxin A for Neuropathic Pain. </w:t>
      </w:r>
      <w:r w:rsidRPr="00970766">
        <w:rPr>
          <w:rStyle w:val="mixed-citation"/>
          <w:rFonts w:ascii="Arial" w:eastAsia="Calibri" w:hAnsi="Arial" w:cs="Arial"/>
          <w:iCs/>
          <w:sz w:val="20"/>
          <w:szCs w:val="20"/>
        </w:rPr>
        <w:t>Toxins (Basel). 2022 Jan 3;14(1):36.</w:t>
      </w:r>
    </w:p>
    <w:p w14:paraId="33C64877" w14:textId="77777777" w:rsidR="00B13B0C" w:rsidRPr="00970766" w:rsidRDefault="00B13B0C" w:rsidP="00B13B0C">
      <w:pPr>
        <w:pStyle w:val="Paragraphedeliste"/>
        <w:numPr>
          <w:ilvl w:val="0"/>
          <w:numId w:val="21"/>
        </w:numPr>
        <w:autoSpaceDE w:val="0"/>
        <w:autoSpaceDN w:val="0"/>
        <w:adjustRightInd w:val="0"/>
        <w:spacing w:after="0" w:line="240" w:lineRule="auto"/>
        <w:contextualSpacing w:val="0"/>
        <w:jc w:val="both"/>
        <w:rPr>
          <w:rStyle w:val="mixed-citation"/>
          <w:rFonts w:ascii="Arial" w:eastAsia="Calibri" w:hAnsi="Arial" w:cs="Arial"/>
          <w:iCs/>
          <w:sz w:val="20"/>
          <w:szCs w:val="20"/>
        </w:rPr>
      </w:pPr>
      <w:r w:rsidRPr="00F85008">
        <w:rPr>
          <w:rStyle w:val="mixed-citation"/>
          <w:rFonts w:ascii="Arial" w:eastAsia="Calibri" w:hAnsi="Arial" w:cs="Arial"/>
          <w:iCs/>
          <w:sz w:val="20"/>
          <w:szCs w:val="20"/>
          <w:lang w:val="de-DE"/>
        </w:rPr>
        <w:t xml:space="preserve">Wang, Chengbing; Zhang, Qian; Wang, Renjie; Xu, Lei. </w:t>
      </w:r>
      <w:r w:rsidRPr="00F85008">
        <w:rPr>
          <w:rStyle w:val="mixed-citation"/>
          <w:rFonts w:ascii="Arial" w:eastAsia="Calibri" w:hAnsi="Arial" w:cs="Arial"/>
          <w:iCs/>
          <w:sz w:val="20"/>
          <w:szCs w:val="20"/>
          <w:lang w:val="en-GB"/>
        </w:rPr>
        <w:t>Botulinum Toxin Type A for Diabetic Peripheral Neuropathy Pain: A Systematic Review and Meta-Analysis.</w:t>
      </w:r>
      <w:r w:rsidRPr="00F85008">
        <w:rPr>
          <w:lang w:val="en-GB"/>
        </w:rPr>
        <w:t xml:space="preserve"> </w:t>
      </w:r>
      <w:r w:rsidRPr="00970766">
        <w:rPr>
          <w:rStyle w:val="mixed-citation"/>
          <w:rFonts w:ascii="Arial" w:eastAsia="Calibri" w:hAnsi="Arial" w:cs="Arial"/>
          <w:iCs/>
          <w:sz w:val="20"/>
          <w:szCs w:val="20"/>
        </w:rPr>
        <w:t>J Pain Res. 2021 Dec 16;14:3855-3863.</w:t>
      </w:r>
    </w:p>
    <w:p w14:paraId="58D6D9BA" w14:textId="77777777" w:rsidR="00B13B0C" w:rsidRPr="00970766" w:rsidRDefault="00B13B0C" w:rsidP="00B13B0C">
      <w:pPr>
        <w:pStyle w:val="Paragraphedeliste"/>
        <w:numPr>
          <w:ilvl w:val="0"/>
          <w:numId w:val="21"/>
        </w:numPr>
        <w:autoSpaceDE w:val="0"/>
        <w:autoSpaceDN w:val="0"/>
        <w:adjustRightInd w:val="0"/>
        <w:spacing w:after="0" w:line="240" w:lineRule="auto"/>
        <w:contextualSpacing w:val="0"/>
        <w:jc w:val="both"/>
        <w:rPr>
          <w:rStyle w:val="mixed-citation"/>
          <w:rFonts w:ascii="Arial" w:eastAsia="Calibri" w:hAnsi="Arial" w:cs="Arial"/>
          <w:iCs/>
          <w:sz w:val="20"/>
          <w:szCs w:val="20"/>
        </w:rPr>
      </w:pPr>
      <w:r w:rsidRPr="00970766">
        <w:rPr>
          <w:rStyle w:val="mixed-citation"/>
          <w:rFonts w:ascii="Arial" w:eastAsia="Calibri" w:hAnsi="Arial" w:cs="Arial"/>
          <w:iCs/>
          <w:sz w:val="20"/>
          <w:szCs w:val="20"/>
        </w:rPr>
        <w:t>Siongco, Paula Ruth L ; Rosales, Raymond L ; Moore, Austen Peter ; Freynhagen, Rainer ; Arimura, Kimiyoshi ; Kanovsky, Petr ; Kaji, Ryuji ; Fernandez, Hubert H ; Dressler, Dirk.</w:t>
      </w:r>
      <w:r w:rsidRPr="00970766">
        <w:t xml:space="preserve"> </w:t>
      </w:r>
      <w:r w:rsidRPr="00F85008">
        <w:rPr>
          <w:rStyle w:val="mixed-citation"/>
          <w:rFonts w:ascii="Arial" w:eastAsia="Calibri" w:hAnsi="Arial" w:cs="Arial"/>
          <w:iCs/>
          <w:sz w:val="20"/>
          <w:szCs w:val="20"/>
          <w:lang w:val="en-GB"/>
        </w:rPr>
        <w:t xml:space="preserve">Botulinum neurotoxin injections for muscle-based (dystonia and spasticity) and nonmuscle-based (neuropathic pain) pain disorders: a meta-analytic study. </w:t>
      </w:r>
      <w:r w:rsidRPr="00970766">
        <w:rPr>
          <w:rStyle w:val="mixed-citation"/>
          <w:rFonts w:ascii="Arial" w:eastAsia="Calibri" w:hAnsi="Arial" w:cs="Arial"/>
          <w:iCs/>
          <w:sz w:val="20"/>
          <w:szCs w:val="20"/>
        </w:rPr>
        <w:t>J Neural Transm (Vienna). 2020 Jun;127(6):935-951.</w:t>
      </w:r>
    </w:p>
    <w:p w14:paraId="456BAA9F" w14:textId="77777777" w:rsidR="00B13B0C" w:rsidRPr="00970766" w:rsidRDefault="00B13B0C" w:rsidP="00B13B0C">
      <w:pPr>
        <w:pStyle w:val="Paragraphedeliste"/>
        <w:numPr>
          <w:ilvl w:val="0"/>
          <w:numId w:val="21"/>
        </w:numPr>
        <w:autoSpaceDE w:val="0"/>
        <w:autoSpaceDN w:val="0"/>
        <w:adjustRightInd w:val="0"/>
        <w:spacing w:after="0" w:line="240" w:lineRule="auto"/>
        <w:contextualSpacing w:val="0"/>
        <w:jc w:val="both"/>
        <w:rPr>
          <w:rStyle w:val="mixed-citation"/>
          <w:rFonts w:ascii="Arial" w:eastAsia="Calibri" w:hAnsi="Arial" w:cs="Arial"/>
          <w:iCs/>
          <w:sz w:val="20"/>
          <w:szCs w:val="20"/>
        </w:rPr>
      </w:pPr>
      <w:r w:rsidRPr="00970766">
        <w:rPr>
          <w:rStyle w:val="mixed-citation"/>
          <w:rFonts w:ascii="Arial" w:eastAsia="Calibri" w:hAnsi="Arial" w:cs="Arial"/>
          <w:iCs/>
          <w:sz w:val="20"/>
          <w:szCs w:val="20"/>
        </w:rPr>
        <w:t>Wei, Jiangshan ; Zhu, Xiangyu ; Yang, Guang ; Shen, Jun ; Xie, Peng ; Zuo, Xiaohua ; Xia, Lei ; Han, Qiu ; Zhao, Ying.</w:t>
      </w:r>
      <w:r w:rsidRPr="00970766">
        <w:t xml:space="preserve"> </w:t>
      </w:r>
      <w:r w:rsidRPr="00F85008">
        <w:rPr>
          <w:rStyle w:val="mixed-citation"/>
          <w:rFonts w:ascii="Arial" w:eastAsia="Calibri" w:hAnsi="Arial" w:cs="Arial"/>
          <w:iCs/>
          <w:sz w:val="20"/>
          <w:szCs w:val="20"/>
          <w:lang w:val="en-GB"/>
        </w:rPr>
        <w:t>The efficacy and safety of botulinum toxin type A in treatment of trigeminal neuralgia and peripheral neuropathic pain: A meta-analysis of randomized controlled trials.</w:t>
      </w:r>
      <w:r w:rsidRPr="00F85008">
        <w:rPr>
          <w:lang w:val="en-GB"/>
        </w:rPr>
        <w:t xml:space="preserve"> </w:t>
      </w:r>
      <w:r w:rsidRPr="00970766">
        <w:rPr>
          <w:rStyle w:val="mixed-citation"/>
          <w:rFonts w:ascii="Arial" w:eastAsia="Calibri" w:hAnsi="Arial" w:cs="Arial"/>
          <w:iCs/>
          <w:sz w:val="20"/>
          <w:szCs w:val="20"/>
        </w:rPr>
        <w:t>Brain Behav. 2019 Oct;9(10):e01409.</w:t>
      </w:r>
    </w:p>
    <w:p w14:paraId="4E7D6316" w14:textId="77777777" w:rsidR="00B13B0C" w:rsidRPr="00970766" w:rsidRDefault="00B13B0C" w:rsidP="00B13B0C">
      <w:pPr>
        <w:pStyle w:val="Paragraphedeliste"/>
        <w:numPr>
          <w:ilvl w:val="0"/>
          <w:numId w:val="21"/>
        </w:numPr>
        <w:autoSpaceDE w:val="0"/>
        <w:autoSpaceDN w:val="0"/>
        <w:adjustRightInd w:val="0"/>
        <w:spacing w:after="0" w:line="240" w:lineRule="auto"/>
        <w:contextualSpacing w:val="0"/>
        <w:jc w:val="both"/>
        <w:rPr>
          <w:rStyle w:val="mixed-citation"/>
          <w:rFonts w:ascii="Arial" w:eastAsia="Calibri" w:hAnsi="Arial" w:cs="Arial"/>
          <w:iCs/>
          <w:sz w:val="20"/>
          <w:szCs w:val="20"/>
        </w:rPr>
      </w:pPr>
      <w:r w:rsidRPr="00F85008">
        <w:rPr>
          <w:rStyle w:val="mixed-citation"/>
          <w:rFonts w:ascii="Arial" w:eastAsia="Calibri" w:hAnsi="Arial" w:cs="Arial"/>
          <w:iCs/>
          <w:sz w:val="20"/>
          <w:szCs w:val="20"/>
          <w:lang w:val="en-GB"/>
        </w:rPr>
        <w:t xml:space="preserve">Fan, Meng; Peng, Ke; Yang, Jian-Ping; Fu-Hai, Ji; Fan, Xia; Xiao-Wen, Meng. Botulinum toxin-A for the treatment of neuralgia: a systematic review and meta-analysis. </w:t>
      </w:r>
      <w:r w:rsidRPr="00970766">
        <w:rPr>
          <w:rStyle w:val="mixed-citation"/>
          <w:rFonts w:ascii="Arial" w:eastAsia="Calibri" w:hAnsi="Arial" w:cs="Arial"/>
          <w:iCs/>
          <w:sz w:val="20"/>
          <w:szCs w:val="20"/>
        </w:rPr>
        <w:t>J Pain Res. 2018 Oct 12;11:2343-2351.</w:t>
      </w:r>
    </w:p>
    <w:p w14:paraId="3B4F2E37" w14:textId="77777777" w:rsidR="00597676" w:rsidRPr="00970766" w:rsidRDefault="00597676">
      <w:pPr>
        <w:rPr>
          <w:rFonts w:ascii="ArialMT" w:hAnsi="ArialMT" w:cs="ArialMT"/>
          <w:sz w:val="21"/>
          <w:szCs w:val="21"/>
        </w:rPr>
      </w:pPr>
      <w:r w:rsidRPr="00970766">
        <w:rPr>
          <w:rFonts w:ascii="ArialMT" w:hAnsi="ArialMT" w:cs="ArialMT"/>
          <w:sz w:val="21"/>
          <w:szCs w:val="21"/>
        </w:rPr>
        <w:br w:type="page"/>
      </w:r>
    </w:p>
    <w:p w14:paraId="67ACCB0C" w14:textId="77777777" w:rsidR="00F65B11" w:rsidRDefault="00597676" w:rsidP="005841E9">
      <w:pPr>
        <w:pStyle w:val="Titre2"/>
        <w:rPr>
          <w:rStyle w:val="lev"/>
          <w:rFonts w:ascii="Arial Narrow" w:hAnsi="Arial Narrow"/>
          <w:b w:val="0"/>
          <w:bCs w:val="0"/>
          <w:sz w:val="28"/>
          <w:szCs w:val="28"/>
        </w:rPr>
      </w:pPr>
      <w:bookmarkStart w:id="16" w:name="_Toc158900883"/>
      <w:r w:rsidRPr="00970766">
        <w:rPr>
          <w:rStyle w:val="lev"/>
          <w:rFonts w:ascii="Arial Narrow" w:hAnsi="Arial Narrow"/>
          <w:b w:val="0"/>
          <w:bCs w:val="0"/>
          <w:sz w:val="28"/>
          <w:szCs w:val="28"/>
        </w:rPr>
        <w:lastRenderedPageBreak/>
        <w:t xml:space="preserve">ANNEXE </w:t>
      </w:r>
      <w:r w:rsidR="00693E0C" w:rsidRPr="00970766">
        <w:rPr>
          <w:rStyle w:val="lev"/>
          <w:rFonts w:ascii="Arial Narrow" w:hAnsi="Arial Narrow"/>
          <w:b w:val="0"/>
          <w:bCs w:val="0"/>
          <w:sz w:val="28"/>
          <w:szCs w:val="28"/>
        </w:rPr>
        <w:t>3 </w:t>
      </w:r>
      <w:r w:rsidR="005B3210" w:rsidRPr="00970766">
        <w:rPr>
          <w:rStyle w:val="lev"/>
          <w:rFonts w:ascii="Arial Narrow" w:hAnsi="Arial Narrow"/>
          <w:b w:val="0"/>
          <w:bCs w:val="0"/>
          <w:sz w:val="28"/>
          <w:szCs w:val="28"/>
        </w:rPr>
        <w:t>:</w:t>
      </w:r>
      <w:r w:rsidR="00F65B11" w:rsidRPr="00970766">
        <w:rPr>
          <w:rStyle w:val="lev"/>
          <w:rFonts w:ascii="Arial Narrow" w:hAnsi="Arial Narrow"/>
          <w:bCs w:val="0"/>
          <w:sz w:val="28"/>
          <w:szCs w:val="28"/>
        </w:rPr>
        <w:t xml:space="preserve"> </w:t>
      </w:r>
      <w:r w:rsidRPr="00970766">
        <w:rPr>
          <w:rStyle w:val="lev"/>
          <w:rFonts w:ascii="Arial Narrow" w:hAnsi="Arial Narrow"/>
          <w:b w:val="0"/>
          <w:bCs w:val="0"/>
          <w:sz w:val="28"/>
          <w:szCs w:val="28"/>
        </w:rPr>
        <w:t xml:space="preserve">Note d’information destinée aux patients </w:t>
      </w:r>
      <w:r w:rsidR="004F1EAF" w:rsidRPr="00970766">
        <w:rPr>
          <w:rStyle w:val="lev"/>
          <w:rFonts w:ascii="Arial Narrow" w:hAnsi="Arial Narrow"/>
          <w:b w:val="0"/>
          <w:bCs w:val="0"/>
          <w:sz w:val="28"/>
          <w:szCs w:val="28"/>
        </w:rPr>
        <w:t xml:space="preserve">bénéficiant </w:t>
      </w:r>
      <w:r w:rsidR="0024719A" w:rsidRPr="00970766">
        <w:rPr>
          <w:rStyle w:val="lev"/>
          <w:rFonts w:ascii="Arial Narrow" w:hAnsi="Arial Narrow"/>
          <w:b w:val="0"/>
          <w:bCs w:val="0"/>
          <w:sz w:val="28"/>
          <w:szCs w:val="28"/>
        </w:rPr>
        <w:t xml:space="preserve">d’un médicament </w:t>
      </w:r>
      <w:r w:rsidRPr="00970766">
        <w:rPr>
          <w:rStyle w:val="lev"/>
          <w:rFonts w:ascii="Arial Narrow" w:hAnsi="Arial Narrow"/>
          <w:b w:val="0"/>
          <w:bCs w:val="0"/>
          <w:sz w:val="28"/>
          <w:szCs w:val="28"/>
        </w:rPr>
        <w:t xml:space="preserve">dans </w:t>
      </w:r>
      <w:r w:rsidR="00B2745D" w:rsidRPr="00970766">
        <w:rPr>
          <w:rStyle w:val="lev"/>
          <w:rFonts w:ascii="Arial Narrow" w:hAnsi="Arial Narrow"/>
          <w:b w:val="0"/>
          <w:bCs w:val="0"/>
          <w:sz w:val="28"/>
          <w:szCs w:val="28"/>
        </w:rPr>
        <w:t xml:space="preserve">un </w:t>
      </w:r>
      <w:r w:rsidR="004F1EAF" w:rsidRPr="00970766">
        <w:rPr>
          <w:rStyle w:val="lev"/>
          <w:rFonts w:ascii="Arial Narrow" w:hAnsi="Arial Narrow"/>
          <w:b w:val="0"/>
          <w:bCs w:val="0"/>
          <w:sz w:val="28"/>
          <w:szCs w:val="28"/>
        </w:rPr>
        <w:t>cadre</w:t>
      </w:r>
      <w:r w:rsidR="0024719A" w:rsidRPr="00970766">
        <w:rPr>
          <w:rStyle w:val="lev"/>
          <w:rFonts w:ascii="Arial Narrow" w:hAnsi="Arial Narrow"/>
          <w:b w:val="0"/>
          <w:bCs w:val="0"/>
          <w:sz w:val="28"/>
          <w:szCs w:val="28"/>
        </w:rPr>
        <w:t xml:space="preserve"> de prescription compassionnelle</w:t>
      </w:r>
      <w:bookmarkEnd w:id="16"/>
      <w:r w:rsidRPr="00970766">
        <w:rPr>
          <w:rStyle w:val="lev"/>
          <w:rFonts w:ascii="Arial Narrow" w:hAnsi="Arial Narrow"/>
          <w:b w:val="0"/>
          <w:bCs w:val="0"/>
          <w:sz w:val="28"/>
          <w:szCs w:val="28"/>
        </w:rPr>
        <w:t xml:space="preserve"> </w:t>
      </w:r>
    </w:p>
    <w:p w14:paraId="6AF667BE" w14:textId="77777777" w:rsidR="005841E9" w:rsidRPr="005841E9" w:rsidRDefault="005841E9" w:rsidP="005841E9"/>
    <w:p w14:paraId="09F6E2CE" w14:textId="540495F8" w:rsidR="00144D48" w:rsidRPr="00970766" w:rsidRDefault="00144D48" w:rsidP="00144D48">
      <w:pPr>
        <w:pBdr>
          <w:top w:val="single" w:sz="4" w:space="1" w:color="auto"/>
          <w:left w:val="single" w:sz="4" w:space="4" w:color="auto"/>
          <w:bottom w:val="single" w:sz="4" w:space="1" w:color="auto"/>
          <w:right w:val="single" w:sz="4" w:space="4" w:color="auto"/>
        </w:pBdr>
        <w:tabs>
          <w:tab w:val="left" w:pos="567"/>
        </w:tabs>
        <w:spacing w:after="120"/>
        <w:ind w:right="306"/>
        <w:jc w:val="center"/>
        <w:rPr>
          <w:rFonts w:ascii="Arial" w:eastAsia="Calibri" w:hAnsi="Arial" w:cs="Arial"/>
          <w:b/>
          <w:i/>
          <w:sz w:val="20"/>
        </w:rPr>
      </w:pPr>
      <w:r w:rsidRPr="00970766">
        <w:rPr>
          <w:rFonts w:ascii="Arial" w:eastAsia="Calibri" w:hAnsi="Arial" w:cs="Arial"/>
          <w:b/>
          <w:i/>
          <w:sz w:val="20"/>
        </w:rPr>
        <w:t xml:space="preserve">A remettre au patient avant toute prescription </w:t>
      </w:r>
      <w:r w:rsidR="008D4899" w:rsidRPr="00970766">
        <w:rPr>
          <w:rFonts w:ascii="Arial" w:eastAsia="Calibri" w:hAnsi="Arial" w:cs="Arial"/>
          <w:b/>
          <w:sz w:val="20"/>
          <w:szCs w:val="20"/>
        </w:rPr>
        <w:t xml:space="preserve">de </w:t>
      </w:r>
      <w:r w:rsidR="00E321F7">
        <w:rPr>
          <w:rFonts w:ascii="Arial" w:eastAsia="Calibri" w:hAnsi="Arial" w:cs="Arial"/>
          <w:b/>
          <w:sz w:val="20"/>
          <w:szCs w:val="20"/>
        </w:rPr>
        <w:t>BOTOX</w:t>
      </w:r>
      <w:r w:rsidR="008D4899" w:rsidRPr="00970766">
        <w:rPr>
          <w:rFonts w:ascii="Arial" w:eastAsia="Calibri" w:hAnsi="Arial" w:cs="Arial"/>
          <w:b/>
          <w:i/>
          <w:sz w:val="20"/>
        </w:rPr>
        <w:t xml:space="preserve"> </w:t>
      </w:r>
    </w:p>
    <w:p w14:paraId="5F67B933" w14:textId="77777777" w:rsidR="00144D48" w:rsidRPr="00970766" w:rsidRDefault="000A23A2" w:rsidP="00144D48">
      <w:pPr>
        <w:pBdr>
          <w:top w:val="single" w:sz="4" w:space="1" w:color="auto"/>
          <w:left w:val="single" w:sz="4" w:space="4" w:color="auto"/>
          <w:bottom w:val="single" w:sz="4" w:space="1" w:color="auto"/>
          <w:right w:val="single" w:sz="4" w:space="4" w:color="auto"/>
        </w:pBdr>
        <w:tabs>
          <w:tab w:val="left" w:pos="567"/>
        </w:tabs>
        <w:spacing w:after="120"/>
        <w:ind w:right="306"/>
        <w:jc w:val="center"/>
        <w:rPr>
          <w:rFonts w:ascii="Arial" w:eastAsia="Calibri" w:hAnsi="Arial" w:cs="Arial"/>
          <w:b/>
          <w:szCs w:val="24"/>
        </w:rPr>
      </w:pPr>
      <w:r w:rsidRPr="00970766">
        <w:rPr>
          <w:rFonts w:ascii="Arial" w:eastAsia="Calibri" w:hAnsi="Arial" w:cs="Arial"/>
          <w:b/>
          <w:sz w:val="20"/>
        </w:rPr>
        <w:t xml:space="preserve">Faisant l’objet d’un </w:t>
      </w:r>
      <w:r w:rsidR="00144D48" w:rsidRPr="00970766">
        <w:rPr>
          <w:rFonts w:ascii="Arial" w:eastAsia="Calibri" w:hAnsi="Arial" w:cs="Arial"/>
          <w:b/>
          <w:sz w:val="20"/>
        </w:rPr>
        <w:t>CADRE D</w:t>
      </w:r>
      <w:r w:rsidRPr="00970766">
        <w:rPr>
          <w:rFonts w:ascii="Arial" w:eastAsia="Calibri" w:hAnsi="Arial" w:cs="Arial"/>
          <w:b/>
          <w:sz w:val="20"/>
        </w:rPr>
        <w:t>E</w:t>
      </w:r>
      <w:r w:rsidR="00144D48" w:rsidRPr="00970766">
        <w:rPr>
          <w:rFonts w:ascii="Arial" w:eastAsia="Calibri" w:hAnsi="Arial" w:cs="Arial"/>
          <w:b/>
          <w:sz w:val="20"/>
        </w:rPr>
        <w:t xml:space="preserve"> PRESCRIPTION COMPASSIONNELLE</w:t>
      </w:r>
      <w:r w:rsidR="00144D48" w:rsidRPr="00970766">
        <w:rPr>
          <w:rFonts w:ascii="Arial" w:eastAsia="Calibri" w:hAnsi="Arial" w:cs="Arial"/>
          <w:b/>
          <w:szCs w:val="24"/>
        </w:rPr>
        <w:t xml:space="preserve"> </w:t>
      </w:r>
    </w:p>
    <w:p w14:paraId="2938B47E" w14:textId="77777777" w:rsidR="00144D48" w:rsidRPr="00970766" w:rsidRDefault="00144D48" w:rsidP="00144D48">
      <w:pPr>
        <w:pBdr>
          <w:top w:val="single" w:sz="4" w:space="1" w:color="auto"/>
          <w:left w:val="single" w:sz="4" w:space="4" w:color="auto"/>
          <w:bottom w:val="single" w:sz="4" w:space="1" w:color="auto"/>
          <w:right w:val="single" w:sz="4" w:space="4" w:color="auto"/>
        </w:pBdr>
        <w:tabs>
          <w:tab w:val="left" w:pos="567"/>
        </w:tabs>
        <w:spacing w:after="200"/>
        <w:ind w:right="306"/>
        <w:jc w:val="both"/>
        <w:rPr>
          <w:rFonts w:ascii="Arial" w:eastAsia="Calibri" w:hAnsi="Arial" w:cs="Arial"/>
          <w:i/>
          <w:sz w:val="20"/>
        </w:rPr>
      </w:pPr>
      <w:r w:rsidRPr="00970766">
        <w:rPr>
          <w:rFonts w:ascii="Arial" w:eastAsia="Calibri" w:hAnsi="Arial" w:cs="Arial"/>
          <w:i/>
          <w:sz w:val="20"/>
        </w:rPr>
        <w:t>Dans le cas où le patient serait dans l'incapacité de prendre connaissance de cette information, celle-ci sera remise à son représentant légal ou, le cas échéant, à la personne de confiance qu’il a désignée.</w:t>
      </w:r>
    </w:p>
    <w:p w14:paraId="7F710CE0" w14:textId="6650BE03" w:rsidR="000252B1" w:rsidRPr="00970766" w:rsidRDefault="000252B1" w:rsidP="00661FC0">
      <w:pPr>
        <w:pStyle w:val="Corpsdetexte"/>
        <w:spacing w:before="90"/>
        <w:jc w:val="both"/>
        <w:rPr>
          <w:rFonts w:ascii="Arial" w:hAnsi="Arial" w:cs="Arial"/>
          <w:sz w:val="20"/>
          <w:szCs w:val="20"/>
        </w:rPr>
      </w:pPr>
      <w:r w:rsidRPr="00970766">
        <w:rPr>
          <w:rFonts w:ascii="Arial" w:hAnsi="Arial" w:cs="Arial"/>
          <w:sz w:val="20"/>
          <w:szCs w:val="20"/>
        </w:rPr>
        <w:t>Votre</w:t>
      </w:r>
      <w:r w:rsidRPr="00970766">
        <w:rPr>
          <w:rFonts w:ascii="Arial" w:hAnsi="Arial" w:cs="Arial"/>
          <w:spacing w:val="-3"/>
          <w:sz w:val="20"/>
          <w:szCs w:val="20"/>
        </w:rPr>
        <w:t xml:space="preserve"> </w:t>
      </w:r>
      <w:r w:rsidRPr="00970766">
        <w:rPr>
          <w:rFonts w:ascii="Arial" w:hAnsi="Arial" w:cs="Arial"/>
          <w:sz w:val="20"/>
          <w:szCs w:val="20"/>
        </w:rPr>
        <w:t>médecin</w:t>
      </w:r>
      <w:r w:rsidRPr="00970766">
        <w:rPr>
          <w:rFonts w:ascii="Arial" w:hAnsi="Arial" w:cs="Arial"/>
          <w:spacing w:val="-1"/>
          <w:sz w:val="20"/>
          <w:szCs w:val="20"/>
        </w:rPr>
        <w:t xml:space="preserve"> </w:t>
      </w:r>
      <w:r w:rsidRPr="00970766">
        <w:rPr>
          <w:rFonts w:ascii="Arial" w:hAnsi="Arial" w:cs="Arial"/>
          <w:sz w:val="20"/>
          <w:szCs w:val="20"/>
        </w:rPr>
        <w:t>vous</w:t>
      </w:r>
      <w:r w:rsidRPr="00970766">
        <w:rPr>
          <w:rFonts w:ascii="Arial" w:hAnsi="Arial" w:cs="Arial"/>
          <w:spacing w:val="-1"/>
          <w:sz w:val="20"/>
          <w:szCs w:val="20"/>
        </w:rPr>
        <w:t xml:space="preserve"> </w:t>
      </w:r>
      <w:r w:rsidRPr="00970766">
        <w:rPr>
          <w:rFonts w:ascii="Arial" w:hAnsi="Arial" w:cs="Arial"/>
          <w:sz w:val="20"/>
          <w:szCs w:val="20"/>
        </w:rPr>
        <w:t>a</w:t>
      </w:r>
      <w:r w:rsidRPr="00970766">
        <w:rPr>
          <w:rFonts w:ascii="Arial" w:hAnsi="Arial" w:cs="Arial"/>
          <w:spacing w:val="-3"/>
          <w:sz w:val="20"/>
          <w:szCs w:val="20"/>
        </w:rPr>
        <w:t xml:space="preserve"> </w:t>
      </w:r>
      <w:r w:rsidRPr="00970766">
        <w:rPr>
          <w:rFonts w:ascii="Arial" w:hAnsi="Arial" w:cs="Arial"/>
          <w:sz w:val="20"/>
          <w:szCs w:val="20"/>
        </w:rPr>
        <w:t>proposé</w:t>
      </w:r>
      <w:r w:rsidRPr="00970766">
        <w:rPr>
          <w:rFonts w:ascii="Arial" w:hAnsi="Arial" w:cs="Arial"/>
          <w:spacing w:val="-2"/>
          <w:sz w:val="20"/>
          <w:szCs w:val="20"/>
        </w:rPr>
        <w:t xml:space="preserve"> </w:t>
      </w:r>
      <w:r w:rsidRPr="00970766">
        <w:rPr>
          <w:rFonts w:ascii="Arial" w:hAnsi="Arial" w:cs="Arial"/>
          <w:sz w:val="20"/>
          <w:szCs w:val="20"/>
        </w:rPr>
        <w:t>un</w:t>
      </w:r>
      <w:r w:rsidRPr="00970766">
        <w:rPr>
          <w:rFonts w:ascii="Arial" w:hAnsi="Arial" w:cs="Arial"/>
          <w:spacing w:val="-1"/>
          <w:sz w:val="20"/>
          <w:szCs w:val="20"/>
        </w:rPr>
        <w:t xml:space="preserve"> </w:t>
      </w:r>
      <w:r w:rsidRPr="00970766">
        <w:rPr>
          <w:rFonts w:ascii="Arial" w:hAnsi="Arial" w:cs="Arial"/>
          <w:sz w:val="20"/>
          <w:szCs w:val="20"/>
        </w:rPr>
        <w:t>traitement</w:t>
      </w:r>
      <w:r w:rsidRPr="00970766">
        <w:rPr>
          <w:rFonts w:ascii="Arial" w:hAnsi="Arial" w:cs="Arial"/>
          <w:spacing w:val="-2"/>
          <w:sz w:val="20"/>
          <w:szCs w:val="20"/>
        </w:rPr>
        <w:t xml:space="preserve"> </w:t>
      </w:r>
      <w:r w:rsidRPr="00970766">
        <w:rPr>
          <w:rFonts w:ascii="Arial" w:hAnsi="Arial" w:cs="Arial"/>
          <w:sz w:val="20"/>
          <w:szCs w:val="20"/>
        </w:rPr>
        <w:t xml:space="preserve">par </w:t>
      </w:r>
      <w:r w:rsidR="00570EDE" w:rsidRPr="00970766">
        <w:rPr>
          <w:rFonts w:ascii="Arial" w:hAnsi="Arial" w:cs="Arial"/>
          <w:sz w:val="20"/>
          <w:szCs w:val="20"/>
        </w:rPr>
        <w:t>BOTOX</w:t>
      </w:r>
      <w:r w:rsidRPr="00970766">
        <w:rPr>
          <w:rFonts w:ascii="Arial" w:hAnsi="Arial" w:cs="Arial"/>
          <w:sz w:val="20"/>
          <w:szCs w:val="20"/>
        </w:rPr>
        <w:t xml:space="preserve"> </w:t>
      </w:r>
      <w:r w:rsidR="000A23A2" w:rsidRPr="00970766">
        <w:rPr>
          <w:rFonts w:ascii="Arial" w:hAnsi="Arial" w:cs="Arial"/>
          <w:sz w:val="20"/>
          <w:szCs w:val="20"/>
        </w:rPr>
        <w:t>qui fait l’objet d’</w:t>
      </w:r>
      <w:r w:rsidRPr="00970766">
        <w:rPr>
          <w:rFonts w:ascii="Arial" w:hAnsi="Arial" w:cs="Arial"/>
          <w:sz w:val="20"/>
          <w:szCs w:val="20"/>
        </w:rPr>
        <w:t>un</w:t>
      </w:r>
      <w:r w:rsidRPr="00970766">
        <w:rPr>
          <w:rFonts w:ascii="Arial" w:hAnsi="Arial" w:cs="Arial"/>
          <w:spacing w:val="-1"/>
          <w:sz w:val="20"/>
          <w:szCs w:val="20"/>
        </w:rPr>
        <w:t xml:space="preserve"> </w:t>
      </w:r>
      <w:r w:rsidRPr="00970766">
        <w:rPr>
          <w:rFonts w:ascii="Arial" w:hAnsi="Arial" w:cs="Arial"/>
          <w:sz w:val="20"/>
          <w:szCs w:val="20"/>
        </w:rPr>
        <w:t>cadre</w:t>
      </w:r>
      <w:r w:rsidRPr="00970766">
        <w:rPr>
          <w:rFonts w:ascii="Arial" w:hAnsi="Arial" w:cs="Arial"/>
          <w:spacing w:val="-2"/>
          <w:sz w:val="20"/>
          <w:szCs w:val="20"/>
        </w:rPr>
        <w:t xml:space="preserve"> </w:t>
      </w:r>
      <w:r w:rsidRPr="00970766">
        <w:rPr>
          <w:rFonts w:ascii="Arial" w:hAnsi="Arial" w:cs="Arial"/>
          <w:sz w:val="20"/>
          <w:szCs w:val="20"/>
        </w:rPr>
        <w:t>de prescription compassionnelle (CPC).</w:t>
      </w:r>
    </w:p>
    <w:p w14:paraId="2F07FC0A" w14:textId="77777777" w:rsidR="000252B1" w:rsidRPr="00970766" w:rsidRDefault="000252B1" w:rsidP="00661FC0">
      <w:pPr>
        <w:pStyle w:val="Corpsdetexte"/>
        <w:jc w:val="both"/>
        <w:rPr>
          <w:rFonts w:ascii="Arial" w:hAnsi="Arial" w:cs="Arial"/>
          <w:sz w:val="20"/>
          <w:szCs w:val="20"/>
        </w:rPr>
      </w:pPr>
    </w:p>
    <w:p w14:paraId="605CDF7A" w14:textId="77777777" w:rsidR="000252B1" w:rsidRPr="00970766" w:rsidRDefault="000252B1" w:rsidP="00661FC0">
      <w:pPr>
        <w:pStyle w:val="Corpsdetexte"/>
        <w:spacing w:before="1"/>
        <w:jc w:val="both"/>
        <w:rPr>
          <w:rFonts w:ascii="Arial" w:hAnsi="Arial" w:cs="Arial"/>
          <w:sz w:val="20"/>
          <w:szCs w:val="20"/>
        </w:rPr>
      </w:pPr>
      <w:r w:rsidRPr="00970766">
        <w:rPr>
          <w:rFonts w:ascii="Arial" w:hAnsi="Arial" w:cs="Arial"/>
          <w:sz w:val="20"/>
          <w:szCs w:val="20"/>
        </w:rPr>
        <w:t>Cette</w:t>
      </w:r>
      <w:r w:rsidRPr="00970766">
        <w:rPr>
          <w:rFonts w:ascii="Arial" w:hAnsi="Arial" w:cs="Arial"/>
          <w:spacing w:val="28"/>
          <w:sz w:val="20"/>
          <w:szCs w:val="20"/>
        </w:rPr>
        <w:t xml:space="preserve"> </w:t>
      </w:r>
      <w:r w:rsidRPr="00970766">
        <w:rPr>
          <w:rFonts w:ascii="Arial" w:hAnsi="Arial" w:cs="Arial"/>
          <w:sz w:val="20"/>
          <w:szCs w:val="20"/>
        </w:rPr>
        <w:t>note</w:t>
      </w:r>
      <w:r w:rsidRPr="00970766">
        <w:rPr>
          <w:rFonts w:ascii="Arial" w:hAnsi="Arial" w:cs="Arial"/>
          <w:spacing w:val="29"/>
          <w:sz w:val="20"/>
          <w:szCs w:val="20"/>
        </w:rPr>
        <w:t xml:space="preserve"> </w:t>
      </w:r>
      <w:r w:rsidRPr="00970766">
        <w:rPr>
          <w:rFonts w:ascii="Arial" w:hAnsi="Arial" w:cs="Arial"/>
          <w:sz w:val="20"/>
          <w:szCs w:val="20"/>
        </w:rPr>
        <w:t>a</w:t>
      </w:r>
      <w:r w:rsidRPr="00970766">
        <w:rPr>
          <w:rFonts w:ascii="Arial" w:hAnsi="Arial" w:cs="Arial"/>
          <w:spacing w:val="28"/>
          <w:sz w:val="20"/>
          <w:szCs w:val="20"/>
        </w:rPr>
        <w:t xml:space="preserve"> </w:t>
      </w:r>
      <w:r w:rsidRPr="00970766">
        <w:rPr>
          <w:rFonts w:ascii="Arial" w:hAnsi="Arial" w:cs="Arial"/>
          <w:sz w:val="20"/>
          <w:szCs w:val="20"/>
        </w:rPr>
        <w:t>pour</w:t>
      </w:r>
      <w:r w:rsidRPr="00970766">
        <w:rPr>
          <w:rFonts w:ascii="Arial" w:hAnsi="Arial" w:cs="Arial"/>
          <w:spacing w:val="29"/>
          <w:sz w:val="20"/>
          <w:szCs w:val="20"/>
        </w:rPr>
        <w:t xml:space="preserve"> </w:t>
      </w:r>
      <w:r w:rsidRPr="00970766">
        <w:rPr>
          <w:rFonts w:ascii="Arial" w:hAnsi="Arial" w:cs="Arial"/>
          <w:sz w:val="20"/>
          <w:szCs w:val="20"/>
        </w:rPr>
        <w:t>but</w:t>
      </w:r>
      <w:r w:rsidRPr="00970766">
        <w:rPr>
          <w:rFonts w:ascii="Arial" w:hAnsi="Arial" w:cs="Arial"/>
          <w:spacing w:val="30"/>
          <w:sz w:val="20"/>
          <w:szCs w:val="20"/>
        </w:rPr>
        <w:t xml:space="preserve"> </w:t>
      </w:r>
      <w:r w:rsidRPr="00970766">
        <w:rPr>
          <w:rFonts w:ascii="Arial" w:hAnsi="Arial" w:cs="Arial"/>
          <w:sz w:val="20"/>
          <w:szCs w:val="20"/>
        </w:rPr>
        <w:t>de</w:t>
      </w:r>
      <w:r w:rsidRPr="00970766">
        <w:rPr>
          <w:rFonts w:ascii="Arial" w:hAnsi="Arial" w:cs="Arial"/>
          <w:spacing w:val="25"/>
          <w:sz w:val="20"/>
          <w:szCs w:val="20"/>
        </w:rPr>
        <w:t xml:space="preserve"> </w:t>
      </w:r>
      <w:r w:rsidRPr="00970766">
        <w:rPr>
          <w:rFonts w:ascii="Arial" w:hAnsi="Arial" w:cs="Arial"/>
          <w:sz w:val="20"/>
          <w:szCs w:val="20"/>
        </w:rPr>
        <w:t>vous</w:t>
      </w:r>
      <w:r w:rsidRPr="00970766">
        <w:rPr>
          <w:rFonts w:ascii="Arial" w:hAnsi="Arial" w:cs="Arial"/>
          <w:spacing w:val="30"/>
          <w:sz w:val="20"/>
          <w:szCs w:val="20"/>
        </w:rPr>
        <w:t xml:space="preserve"> </w:t>
      </w:r>
      <w:r w:rsidRPr="00970766">
        <w:rPr>
          <w:rFonts w:ascii="Arial" w:hAnsi="Arial" w:cs="Arial"/>
          <w:sz w:val="20"/>
          <w:szCs w:val="20"/>
        </w:rPr>
        <w:t>informer</w:t>
      </w:r>
      <w:r w:rsidRPr="00970766">
        <w:rPr>
          <w:rFonts w:ascii="Arial" w:hAnsi="Arial" w:cs="Arial"/>
          <w:spacing w:val="29"/>
          <w:sz w:val="20"/>
          <w:szCs w:val="20"/>
        </w:rPr>
        <w:t xml:space="preserve"> </w:t>
      </w:r>
      <w:r w:rsidRPr="00970766">
        <w:rPr>
          <w:rFonts w:ascii="Arial" w:hAnsi="Arial" w:cs="Arial"/>
          <w:sz w:val="20"/>
          <w:szCs w:val="20"/>
        </w:rPr>
        <w:t>afin</w:t>
      </w:r>
      <w:r w:rsidRPr="00970766">
        <w:rPr>
          <w:rFonts w:ascii="Arial" w:hAnsi="Arial" w:cs="Arial"/>
          <w:spacing w:val="29"/>
          <w:sz w:val="20"/>
          <w:szCs w:val="20"/>
        </w:rPr>
        <w:t xml:space="preserve"> </w:t>
      </w:r>
      <w:r w:rsidRPr="00970766">
        <w:rPr>
          <w:rFonts w:ascii="Arial" w:hAnsi="Arial" w:cs="Arial"/>
          <w:sz w:val="20"/>
          <w:szCs w:val="20"/>
        </w:rPr>
        <w:t>de</w:t>
      </w:r>
      <w:r w:rsidRPr="00970766">
        <w:rPr>
          <w:rFonts w:ascii="Arial" w:hAnsi="Arial" w:cs="Arial"/>
          <w:spacing w:val="29"/>
          <w:sz w:val="20"/>
          <w:szCs w:val="20"/>
        </w:rPr>
        <w:t xml:space="preserve"> </w:t>
      </w:r>
      <w:r w:rsidRPr="00970766">
        <w:rPr>
          <w:rFonts w:ascii="Arial" w:hAnsi="Arial" w:cs="Arial"/>
          <w:sz w:val="20"/>
          <w:szCs w:val="20"/>
        </w:rPr>
        <w:t>vous</w:t>
      </w:r>
      <w:r w:rsidRPr="00970766">
        <w:rPr>
          <w:rFonts w:ascii="Arial" w:hAnsi="Arial" w:cs="Arial"/>
          <w:spacing w:val="30"/>
          <w:sz w:val="20"/>
          <w:szCs w:val="20"/>
        </w:rPr>
        <w:t xml:space="preserve"> </w:t>
      </w:r>
      <w:r w:rsidRPr="00970766">
        <w:rPr>
          <w:rFonts w:ascii="Arial" w:hAnsi="Arial" w:cs="Arial"/>
          <w:sz w:val="20"/>
          <w:szCs w:val="20"/>
        </w:rPr>
        <w:t>permettre</w:t>
      </w:r>
      <w:r w:rsidRPr="00970766">
        <w:rPr>
          <w:rFonts w:ascii="Arial" w:hAnsi="Arial" w:cs="Arial"/>
          <w:spacing w:val="28"/>
          <w:sz w:val="20"/>
          <w:szCs w:val="20"/>
        </w:rPr>
        <w:t xml:space="preserve"> </w:t>
      </w:r>
      <w:r w:rsidRPr="00970766">
        <w:rPr>
          <w:rFonts w:ascii="Arial" w:hAnsi="Arial" w:cs="Arial"/>
          <w:sz w:val="20"/>
          <w:szCs w:val="20"/>
        </w:rPr>
        <w:t>d’accepter</w:t>
      </w:r>
      <w:r w:rsidR="00F83068" w:rsidRPr="00970766">
        <w:rPr>
          <w:rFonts w:ascii="Arial" w:hAnsi="Arial" w:cs="Arial"/>
          <w:sz w:val="20"/>
          <w:szCs w:val="20"/>
        </w:rPr>
        <w:t xml:space="preserve"> </w:t>
      </w:r>
      <w:r w:rsidRPr="00970766">
        <w:rPr>
          <w:rFonts w:ascii="Arial" w:hAnsi="Arial" w:cs="Arial"/>
          <w:sz w:val="20"/>
          <w:szCs w:val="20"/>
        </w:rPr>
        <w:t>le</w:t>
      </w:r>
      <w:r w:rsidRPr="00970766">
        <w:rPr>
          <w:rFonts w:ascii="Arial" w:hAnsi="Arial" w:cs="Arial"/>
          <w:spacing w:val="29"/>
          <w:sz w:val="20"/>
          <w:szCs w:val="20"/>
        </w:rPr>
        <w:t xml:space="preserve"> </w:t>
      </w:r>
      <w:r w:rsidRPr="00970766">
        <w:rPr>
          <w:rFonts w:ascii="Arial" w:hAnsi="Arial" w:cs="Arial"/>
          <w:sz w:val="20"/>
          <w:szCs w:val="20"/>
        </w:rPr>
        <w:t>traitement</w:t>
      </w:r>
      <w:r w:rsidRPr="00970766">
        <w:rPr>
          <w:rFonts w:ascii="Arial" w:hAnsi="Arial" w:cs="Arial"/>
          <w:spacing w:val="29"/>
          <w:sz w:val="20"/>
          <w:szCs w:val="20"/>
        </w:rPr>
        <w:t xml:space="preserve"> </w:t>
      </w:r>
      <w:r w:rsidRPr="00970766">
        <w:rPr>
          <w:rFonts w:ascii="Arial" w:hAnsi="Arial" w:cs="Arial"/>
          <w:sz w:val="20"/>
          <w:szCs w:val="20"/>
        </w:rPr>
        <w:t xml:space="preserve">qui </w:t>
      </w:r>
      <w:r w:rsidRPr="00970766">
        <w:rPr>
          <w:rFonts w:ascii="Arial" w:hAnsi="Arial" w:cs="Arial"/>
          <w:spacing w:val="-57"/>
          <w:sz w:val="20"/>
          <w:szCs w:val="20"/>
        </w:rPr>
        <w:t xml:space="preserve">    </w:t>
      </w:r>
      <w:r w:rsidRPr="00970766">
        <w:rPr>
          <w:rFonts w:ascii="Arial" w:hAnsi="Arial" w:cs="Arial"/>
          <w:sz w:val="20"/>
          <w:szCs w:val="20"/>
        </w:rPr>
        <w:t>vous</w:t>
      </w:r>
      <w:r w:rsidRPr="00970766">
        <w:rPr>
          <w:rFonts w:ascii="Arial" w:hAnsi="Arial" w:cs="Arial"/>
          <w:spacing w:val="-1"/>
          <w:sz w:val="20"/>
          <w:szCs w:val="20"/>
        </w:rPr>
        <w:t xml:space="preserve"> </w:t>
      </w:r>
      <w:r w:rsidRPr="00970766">
        <w:rPr>
          <w:rFonts w:ascii="Arial" w:hAnsi="Arial" w:cs="Arial"/>
          <w:sz w:val="20"/>
          <w:szCs w:val="20"/>
        </w:rPr>
        <w:t>est proposé</w:t>
      </w:r>
      <w:r w:rsidR="00263961" w:rsidRPr="00970766">
        <w:rPr>
          <w:rFonts w:ascii="Arial" w:hAnsi="Arial" w:cs="Arial"/>
          <w:sz w:val="20"/>
          <w:szCs w:val="20"/>
        </w:rPr>
        <w:t xml:space="preserve"> en toute connaissance</w:t>
      </w:r>
      <w:r w:rsidR="00263961" w:rsidRPr="00970766">
        <w:rPr>
          <w:rFonts w:ascii="Arial" w:hAnsi="Arial" w:cs="Arial"/>
          <w:spacing w:val="-1"/>
          <w:sz w:val="20"/>
          <w:szCs w:val="20"/>
        </w:rPr>
        <w:t xml:space="preserve"> </w:t>
      </w:r>
      <w:r w:rsidR="00263961" w:rsidRPr="00970766">
        <w:rPr>
          <w:rFonts w:ascii="Arial" w:hAnsi="Arial" w:cs="Arial"/>
          <w:sz w:val="20"/>
          <w:szCs w:val="20"/>
        </w:rPr>
        <w:t>de</w:t>
      </w:r>
      <w:r w:rsidR="00263961" w:rsidRPr="00970766">
        <w:rPr>
          <w:rFonts w:ascii="Arial" w:hAnsi="Arial" w:cs="Arial"/>
          <w:spacing w:val="-1"/>
          <w:sz w:val="20"/>
          <w:szCs w:val="20"/>
        </w:rPr>
        <w:t xml:space="preserve"> </w:t>
      </w:r>
      <w:r w:rsidR="00263961" w:rsidRPr="00970766">
        <w:rPr>
          <w:rFonts w:ascii="Arial" w:hAnsi="Arial" w:cs="Arial"/>
          <w:sz w:val="20"/>
          <w:szCs w:val="20"/>
        </w:rPr>
        <w:t>cause</w:t>
      </w:r>
      <w:r w:rsidRPr="00970766">
        <w:rPr>
          <w:rFonts w:ascii="Arial" w:hAnsi="Arial" w:cs="Arial"/>
          <w:sz w:val="20"/>
          <w:szCs w:val="20"/>
        </w:rPr>
        <w:t>.</w:t>
      </w:r>
      <w:r w:rsidRPr="00970766">
        <w:rPr>
          <w:rFonts w:ascii="Arial" w:hAnsi="Arial" w:cs="Arial"/>
          <w:spacing w:val="2"/>
          <w:sz w:val="20"/>
          <w:szCs w:val="20"/>
        </w:rPr>
        <w:t xml:space="preserve"> </w:t>
      </w:r>
      <w:r w:rsidRPr="00970766">
        <w:rPr>
          <w:rFonts w:ascii="Arial" w:hAnsi="Arial" w:cs="Arial"/>
          <w:sz w:val="20"/>
          <w:szCs w:val="20"/>
        </w:rPr>
        <w:t>Elle</w:t>
      </w:r>
      <w:r w:rsidRPr="00970766">
        <w:rPr>
          <w:rFonts w:ascii="Arial" w:hAnsi="Arial" w:cs="Arial"/>
          <w:spacing w:val="-1"/>
          <w:sz w:val="20"/>
          <w:szCs w:val="20"/>
        </w:rPr>
        <w:t xml:space="preserve"> </w:t>
      </w:r>
      <w:r w:rsidRPr="00970766">
        <w:rPr>
          <w:rFonts w:ascii="Arial" w:hAnsi="Arial" w:cs="Arial"/>
          <w:sz w:val="20"/>
          <w:szCs w:val="20"/>
        </w:rPr>
        <w:t>comprend</w:t>
      </w:r>
      <w:r w:rsidRPr="00970766">
        <w:rPr>
          <w:rFonts w:ascii="Arial" w:hAnsi="Arial" w:cs="Arial"/>
          <w:spacing w:val="-1"/>
          <w:sz w:val="20"/>
          <w:szCs w:val="20"/>
        </w:rPr>
        <w:t xml:space="preserve"> </w:t>
      </w:r>
      <w:r w:rsidRPr="00970766">
        <w:rPr>
          <w:rFonts w:ascii="Arial" w:hAnsi="Arial" w:cs="Arial"/>
          <w:sz w:val="20"/>
          <w:szCs w:val="20"/>
        </w:rPr>
        <w:t>:</w:t>
      </w:r>
    </w:p>
    <w:p w14:paraId="65F62EF9" w14:textId="77777777" w:rsidR="000252B1" w:rsidRPr="00970766" w:rsidRDefault="000252B1" w:rsidP="00661FC0">
      <w:pPr>
        <w:pStyle w:val="Paragraphedeliste"/>
        <w:widowControl w:val="0"/>
        <w:numPr>
          <w:ilvl w:val="1"/>
          <w:numId w:val="3"/>
        </w:numPr>
        <w:tabs>
          <w:tab w:val="left" w:pos="805"/>
        </w:tabs>
        <w:autoSpaceDE w:val="0"/>
        <w:autoSpaceDN w:val="0"/>
        <w:spacing w:before="122" w:after="0" w:line="293" w:lineRule="exact"/>
        <w:contextualSpacing w:val="0"/>
        <w:jc w:val="both"/>
        <w:rPr>
          <w:rFonts w:ascii="Arial" w:hAnsi="Arial" w:cs="Arial"/>
          <w:sz w:val="20"/>
          <w:szCs w:val="20"/>
        </w:rPr>
      </w:pPr>
      <w:r w:rsidRPr="00970766">
        <w:rPr>
          <w:rFonts w:ascii="Arial" w:hAnsi="Arial" w:cs="Arial"/>
          <w:sz w:val="20"/>
          <w:szCs w:val="20"/>
        </w:rPr>
        <w:t>des</w:t>
      </w:r>
      <w:r w:rsidRPr="00970766">
        <w:rPr>
          <w:rFonts w:ascii="Arial" w:hAnsi="Arial" w:cs="Arial"/>
          <w:spacing w:val="-2"/>
          <w:sz w:val="20"/>
          <w:szCs w:val="20"/>
        </w:rPr>
        <w:t xml:space="preserve"> </w:t>
      </w:r>
      <w:r w:rsidRPr="00970766">
        <w:rPr>
          <w:rFonts w:ascii="Arial" w:hAnsi="Arial" w:cs="Arial"/>
          <w:sz w:val="20"/>
          <w:szCs w:val="20"/>
        </w:rPr>
        <w:t>informations</w:t>
      </w:r>
      <w:r w:rsidRPr="00970766">
        <w:rPr>
          <w:rFonts w:ascii="Arial" w:hAnsi="Arial" w:cs="Arial"/>
          <w:spacing w:val="-1"/>
          <w:sz w:val="20"/>
          <w:szCs w:val="20"/>
        </w:rPr>
        <w:t xml:space="preserve"> </w:t>
      </w:r>
      <w:r w:rsidRPr="00970766">
        <w:rPr>
          <w:rFonts w:ascii="Arial" w:hAnsi="Arial" w:cs="Arial"/>
          <w:sz w:val="20"/>
          <w:szCs w:val="20"/>
        </w:rPr>
        <w:t>générales</w:t>
      </w:r>
      <w:r w:rsidRPr="00970766">
        <w:rPr>
          <w:rFonts w:ascii="Arial" w:hAnsi="Arial" w:cs="Arial"/>
          <w:spacing w:val="-1"/>
          <w:sz w:val="20"/>
          <w:szCs w:val="20"/>
        </w:rPr>
        <w:t xml:space="preserve"> </w:t>
      </w:r>
      <w:r w:rsidRPr="00970766">
        <w:rPr>
          <w:rFonts w:ascii="Arial" w:hAnsi="Arial" w:cs="Arial"/>
          <w:sz w:val="20"/>
          <w:szCs w:val="20"/>
        </w:rPr>
        <w:t>sur</w:t>
      </w:r>
      <w:r w:rsidRPr="00970766">
        <w:rPr>
          <w:rFonts w:ascii="Arial" w:hAnsi="Arial" w:cs="Arial"/>
          <w:spacing w:val="-3"/>
          <w:sz w:val="20"/>
          <w:szCs w:val="20"/>
        </w:rPr>
        <w:t xml:space="preserve"> </w:t>
      </w:r>
      <w:r w:rsidRPr="00970766">
        <w:rPr>
          <w:rFonts w:ascii="Arial" w:hAnsi="Arial" w:cs="Arial"/>
          <w:sz w:val="20"/>
          <w:szCs w:val="20"/>
        </w:rPr>
        <w:t>les</w:t>
      </w:r>
      <w:r w:rsidRPr="00970766">
        <w:rPr>
          <w:rFonts w:ascii="Arial" w:hAnsi="Arial" w:cs="Arial"/>
          <w:spacing w:val="-1"/>
          <w:sz w:val="20"/>
          <w:szCs w:val="20"/>
        </w:rPr>
        <w:t xml:space="preserve"> </w:t>
      </w:r>
      <w:r w:rsidR="00BB379E" w:rsidRPr="00970766">
        <w:rPr>
          <w:rFonts w:ascii="Arial" w:hAnsi="Arial" w:cs="Arial"/>
          <w:sz w:val="20"/>
          <w:szCs w:val="20"/>
        </w:rPr>
        <w:t>CPC</w:t>
      </w:r>
      <w:r w:rsidRPr="00970766">
        <w:rPr>
          <w:rFonts w:ascii="Arial" w:hAnsi="Arial" w:cs="Arial"/>
          <w:sz w:val="20"/>
          <w:szCs w:val="20"/>
        </w:rPr>
        <w:t>,</w:t>
      </w:r>
    </w:p>
    <w:p w14:paraId="3074F6A0" w14:textId="77777777" w:rsidR="000252B1" w:rsidRPr="00970766" w:rsidRDefault="000252B1" w:rsidP="00661FC0">
      <w:pPr>
        <w:pStyle w:val="Paragraphedeliste"/>
        <w:widowControl w:val="0"/>
        <w:numPr>
          <w:ilvl w:val="1"/>
          <w:numId w:val="3"/>
        </w:numPr>
        <w:tabs>
          <w:tab w:val="left" w:pos="805"/>
        </w:tabs>
        <w:autoSpaceDE w:val="0"/>
        <w:autoSpaceDN w:val="0"/>
        <w:spacing w:after="0" w:line="293" w:lineRule="exact"/>
        <w:contextualSpacing w:val="0"/>
        <w:jc w:val="both"/>
        <w:rPr>
          <w:rFonts w:ascii="Arial" w:hAnsi="Arial" w:cs="Arial"/>
          <w:sz w:val="20"/>
          <w:szCs w:val="20"/>
        </w:rPr>
      </w:pPr>
      <w:r w:rsidRPr="00970766">
        <w:rPr>
          <w:rFonts w:ascii="Arial" w:hAnsi="Arial" w:cs="Arial"/>
          <w:sz w:val="20"/>
          <w:szCs w:val="20"/>
        </w:rPr>
        <w:t>des</w:t>
      </w:r>
      <w:r w:rsidRPr="00970766">
        <w:rPr>
          <w:rFonts w:ascii="Arial" w:hAnsi="Arial" w:cs="Arial"/>
          <w:spacing w:val="-2"/>
          <w:sz w:val="20"/>
          <w:szCs w:val="20"/>
        </w:rPr>
        <w:t xml:space="preserve"> </w:t>
      </w:r>
      <w:r w:rsidRPr="00970766">
        <w:rPr>
          <w:rFonts w:ascii="Arial" w:hAnsi="Arial" w:cs="Arial"/>
          <w:sz w:val="20"/>
          <w:szCs w:val="20"/>
        </w:rPr>
        <w:t>informations</w:t>
      </w:r>
      <w:r w:rsidRPr="00970766">
        <w:rPr>
          <w:rFonts w:ascii="Arial" w:hAnsi="Arial" w:cs="Arial"/>
          <w:spacing w:val="-2"/>
          <w:sz w:val="20"/>
          <w:szCs w:val="20"/>
        </w:rPr>
        <w:t xml:space="preserve"> </w:t>
      </w:r>
      <w:r w:rsidRPr="00970766">
        <w:rPr>
          <w:rFonts w:ascii="Arial" w:hAnsi="Arial" w:cs="Arial"/>
          <w:sz w:val="20"/>
          <w:szCs w:val="20"/>
        </w:rPr>
        <w:t>sur</w:t>
      </w:r>
      <w:r w:rsidRPr="00970766">
        <w:rPr>
          <w:rFonts w:ascii="Arial" w:hAnsi="Arial" w:cs="Arial"/>
          <w:spacing w:val="-2"/>
          <w:sz w:val="20"/>
          <w:szCs w:val="20"/>
        </w:rPr>
        <w:t xml:space="preserve"> </w:t>
      </w:r>
      <w:r w:rsidRPr="00970766">
        <w:rPr>
          <w:rFonts w:ascii="Arial" w:hAnsi="Arial" w:cs="Arial"/>
          <w:sz w:val="20"/>
          <w:szCs w:val="20"/>
        </w:rPr>
        <w:t>le</w:t>
      </w:r>
      <w:r w:rsidRPr="00970766">
        <w:rPr>
          <w:rFonts w:ascii="Arial" w:hAnsi="Arial" w:cs="Arial"/>
          <w:spacing w:val="-3"/>
          <w:sz w:val="20"/>
          <w:szCs w:val="20"/>
        </w:rPr>
        <w:t xml:space="preserve"> </w:t>
      </w:r>
      <w:r w:rsidRPr="00970766">
        <w:rPr>
          <w:rFonts w:ascii="Arial" w:hAnsi="Arial" w:cs="Arial"/>
          <w:sz w:val="20"/>
          <w:szCs w:val="20"/>
        </w:rPr>
        <w:t>médicament,</w:t>
      </w:r>
      <w:r w:rsidRPr="00970766">
        <w:rPr>
          <w:rFonts w:ascii="Arial" w:hAnsi="Arial" w:cs="Arial"/>
          <w:spacing w:val="-1"/>
          <w:sz w:val="20"/>
          <w:szCs w:val="20"/>
        </w:rPr>
        <w:t xml:space="preserve"> </w:t>
      </w:r>
      <w:r w:rsidRPr="00970766">
        <w:rPr>
          <w:rFonts w:ascii="Arial" w:hAnsi="Arial" w:cs="Arial"/>
          <w:sz w:val="20"/>
          <w:szCs w:val="20"/>
        </w:rPr>
        <w:t>notamment</w:t>
      </w:r>
      <w:r w:rsidRPr="00970766">
        <w:rPr>
          <w:rFonts w:ascii="Arial" w:hAnsi="Arial" w:cs="Arial"/>
          <w:spacing w:val="-2"/>
          <w:sz w:val="20"/>
          <w:szCs w:val="20"/>
        </w:rPr>
        <w:t xml:space="preserve"> </w:t>
      </w:r>
      <w:r w:rsidRPr="00970766">
        <w:rPr>
          <w:rFonts w:ascii="Arial" w:hAnsi="Arial" w:cs="Arial"/>
          <w:sz w:val="20"/>
          <w:szCs w:val="20"/>
        </w:rPr>
        <w:t>sur</w:t>
      </w:r>
      <w:r w:rsidRPr="00970766">
        <w:rPr>
          <w:rFonts w:ascii="Arial" w:hAnsi="Arial" w:cs="Arial"/>
          <w:spacing w:val="-2"/>
          <w:sz w:val="20"/>
          <w:szCs w:val="20"/>
        </w:rPr>
        <w:t xml:space="preserve"> </w:t>
      </w:r>
      <w:r w:rsidRPr="00970766">
        <w:rPr>
          <w:rFonts w:ascii="Arial" w:hAnsi="Arial" w:cs="Arial"/>
          <w:sz w:val="20"/>
          <w:szCs w:val="20"/>
        </w:rPr>
        <w:t>ses</w:t>
      </w:r>
      <w:r w:rsidRPr="00970766">
        <w:rPr>
          <w:rFonts w:ascii="Arial" w:hAnsi="Arial" w:cs="Arial"/>
          <w:spacing w:val="-2"/>
          <w:sz w:val="20"/>
          <w:szCs w:val="20"/>
        </w:rPr>
        <w:t xml:space="preserve"> </w:t>
      </w:r>
      <w:r w:rsidRPr="00970766">
        <w:rPr>
          <w:rFonts w:ascii="Arial" w:hAnsi="Arial" w:cs="Arial"/>
          <w:sz w:val="20"/>
          <w:szCs w:val="20"/>
        </w:rPr>
        <w:t>effets</w:t>
      </w:r>
      <w:r w:rsidRPr="00970766">
        <w:rPr>
          <w:rFonts w:ascii="Arial" w:hAnsi="Arial" w:cs="Arial"/>
          <w:spacing w:val="-1"/>
          <w:sz w:val="20"/>
          <w:szCs w:val="20"/>
        </w:rPr>
        <w:t xml:space="preserve"> </w:t>
      </w:r>
      <w:r w:rsidRPr="00970766">
        <w:rPr>
          <w:rFonts w:ascii="Arial" w:hAnsi="Arial" w:cs="Arial"/>
          <w:sz w:val="20"/>
          <w:szCs w:val="20"/>
        </w:rPr>
        <w:t>indésirables,</w:t>
      </w:r>
    </w:p>
    <w:p w14:paraId="12262EBF" w14:textId="77777777" w:rsidR="000252B1" w:rsidRPr="00970766" w:rsidRDefault="000252B1" w:rsidP="00661FC0">
      <w:pPr>
        <w:pStyle w:val="Paragraphedeliste"/>
        <w:widowControl w:val="0"/>
        <w:numPr>
          <w:ilvl w:val="1"/>
          <w:numId w:val="3"/>
        </w:numPr>
        <w:tabs>
          <w:tab w:val="left" w:pos="805"/>
        </w:tabs>
        <w:autoSpaceDE w:val="0"/>
        <w:autoSpaceDN w:val="0"/>
        <w:spacing w:after="0" w:line="293" w:lineRule="exact"/>
        <w:contextualSpacing w:val="0"/>
        <w:jc w:val="both"/>
        <w:rPr>
          <w:rFonts w:ascii="Arial" w:hAnsi="Arial" w:cs="Arial"/>
          <w:sz w:val="20"/>
          <w:szCs w:val="20"/>
        </w:rPr>
      </w:pPr>
      <w:r w:rsidRPr="00970766">
        <w:rPr>
          <w:rFonts w:ascii="Arial" w:hAnsi="Arial" w:cs="Arial"/>
          <w:sz w:val="20"/>
          <w:szCs w:val="20"/>
        </w:rPr>
        <w:t>les</w:t>
      </w:r>
      <w:r w:rsidRPr="00970766">
        <w:rPr>
          <w:rFonts w:ascii="Arial" w:hAnsi="Arial" w:cs="Arial"/>
          <w:spacing w:val="-2"/>
          <w:sz w:val="20"/>
          <w:szCs w:val="20"/>
        </w:rPr>
        <w:t xml:space="preserve"> </w:t>
      </w:r>
      <w:r w:rsidRPr="00970766">
        <w:rPr>
          <w:rFonts w:ascii="Arial" w:hAnsi="Arial" w:cs="Arial"/>
          <w:sz w:val="20"/>
          <w:szCs w:val="20"/>
        </w:rPr>
        <w:t>modalités</w:t>
      </w:r>
      <w:r w:rsidRPr="00970766">
        <w:rPr>
          <w:rFonts w:ascii="Arial" w:hAnsi="Arial" w:cs="Arial"/>
          <w:spacing w:val="-2"/>
          <w:sz w:val="20"/>
          <w:szCs w:val="20"/>
        </w:rPr>
        <w:t xml:space="preserve"> </w:t>
      </w:r>
      <w:r w:rsidRPr="00970766">
        <w:rPr>
          <w:rFonts w:ascii="Arial" w:hAnsi="Arial" w:cs="Arial"/>
          <w:sz w:val="20"/>
          <w:szCs w:val="20"/>
        </w:rPr>
        <w:t>de</w:t>
      </w:r>
      <w:r w:rsidRPr="00970766">
        <w:rPr>
          <w:rFonts w:ascii="Arial" w:hAnsi="Arial" w:cs="Arial"/>
          <w:spacing w:val="-2"/>
          <w:sz w:val="20"/>
          <w:szCs w:val="20"/>
        </w:rPr>
        <w:t xml:space="preserve"> </w:t>
      </w:r>
      <w:r w:rsidRPr="00970766">
        <w:rPr>
          <w:rFonts w:ascii="Arial" w:hAnsi="Arial" w:cs="Arial"/>
          <w:sz w:val="20"/>
          <w:szCs w:val="20"/>
        </w:rPr>
        <w:t>signalement</w:t>
      </w:r>
      <w:r w:rsidRPr="00970766">
        <w:rPr>
          <w:rFonts w:ascii="Arial" w:hAnsi="Arial" w:cs="Arial"/>
          <w:spacing w:val="-2"/>
          <w:sz w:val="20"/>
          <w:szCs w:val="20"/>
        </w:rPr>
        <w:t xml:space="preserve"> </w:t>
      </w:r>
      <w:r w:rsidRPr="00970766">
        <w:rPr>
          <w:rFonts w:ascii="Arial" w:hAnsi="Arial" w:cs="Arial"/>
          <w:sz w:val="20"/>
          <w:szCs w:val="20"/>
        </w:rPr>
        <w:t>des</w:t>
      </w:r>
      <w:r w:rsidRPr="00970766">
        <w:rPr>
          <w:rFonts w:ascii="Arial" w:hAnsi="Arial" w:cs="Arial"/>
          <w:spacing w:val="-1"/>
          <w:sz w:val="20"/>
          <w:szCs w:val="20"/>
        </w:rPr>
        <w:t xml:space="preserve"> </w:t>
      </w:r>
      <w:r w:rsidRPr="00970766">
        <w:rPr>
          <w:rFonts w:ascii="Arial" w:hAnsi="Arial" w:cs="Arial"/>
          <w:sz w:val="20"/>
          <w:szCs w:val="20"/>
        </w:rPr>
        <w:t>effets</w:t>
      </w:r>
      <w:r w:rsidRPr="00970766">
        <w:rPr>
          <w:rFonts w:ascii="Arial" w:hAnsi="Arial" w:cs="Arial"/>
          <w:spacing w:val="-2"/>
          <w:sz w:val="20"/>
          <w:szCs w:val="20"/>
        </w:rPr>
        <w:t xml:space="preserve"> </w:t>
      </w:r>
      <w:r w:rsidRPr="00970766">
        <w:rPr>
          <w:rFonts w:ascii="Arial" w:hAnsi="Arial" w:cs="Arial"/>
          <w:sz w:val="20"/>
          <w:szCs w:val="20"/>
        </w:rPr>
        <w:t>indésirables</w:t>
      </w:r>
      <w:r w:rsidRPr="00970766">
        <w:rPr>
          <w:rFonts w:ascii="Arial" w:hAnsi="Arial" w:cs="Arial"/>
          <w:spacing w:val="-2"/>
          <w:sz w:val="20"/>
          <w:szCs w:val="20"/>
        </w:rPr>
        <w:t xml:space="preserve"> </w:t>
      </w:r>
      <w:r w:rsidRPr="00970766">
        <w:rPr>
          <w:rFonts w:ascii="Arial" w:hAnsi="Arial" w:cs="Arial"/>
          <w:sz w:val="20"/>
          <w:szCs w:val="20"/>
        </w:rPr>
        <w:t>par</w:t>
      </w:r>
      <w:r w:rsidRPr="00970766">
        <w:rPr>
          <w:rFonts w:ascii="Arial" w:hAnsi="Arial" w:cs="Arial"/>
          <w:spacing w:val="-2"/>
          <w:sz w:val="20"/>
          <w:szCs w:val="20"/>
        </w:rPr>
        <w:t xml:space="preserve"> </w:t>
      </w:r>
      <w:r w:rsidRPr="00970766">
        <w:rPr>
          <w:rFonts w:ascii="Arial" w:hAnsi="Arial" w:cs="Arial"/>
          <w:sz w:val="20"/>
          <w:szCs w:val="20"/>
        </w:rPr>
        <w:t>le</w:t>
      </w:r>
      <w:r w:rsidRPr="00970766">
        <w:rPr>
          <w:rFonts w:ascii="Arial" w:hAnsi="Arial" w:cs="Arial"/>
          <w:spacing w:val="-3"/>
          <w:sz w:val="20"/>
          <w:szCs w:val="20"/>
        </w:rPr>
        <w:t xml:space="preserve"> </w:t>
      </w:r>
      <w:r w:rsidRPr="00970766">
        <w:rPr>
          <w:rFonts w:ascii="Arial" w:hAnsi="Arial" w:cs="Arial"/>
          <w:sz w:val="20"/>
          <w:szCs w:val="20"/>
        </w:rPr>
        <w:t>patient,</w:t>
      </w:r>
    </w:p>
    <w:p w14:paraId="5DDC07F6" w14:textId="738E2AA9" w:rsidR="000252B1" w:rsidRPr="00970766" w:rsidRDefault="000252B1" w:rsidP="00661FC0">
      <w:pPr>
        <w:pStyle w:val="Paragraphedeliste"/>
        <w:widowControl w:val="0"/>
        <w:numPr>
          <w:ilvl w:val="1"/>
          <w:numId w:val="3"/>
        </w:numPr>
        <w:tabs>
          <w:tab w:val="left" w:pos="805"/>
        </w:tabs>
        <w:autoSpaceDE w:val="0"/>
        <w:autoSpaceDN w:val="0"/>
        <w:spacing w:after="0" w:line="240" w:lineRule="auto"/>
        <w:contextualSpacing w:val="0"/>
        <w:jc w:val="both"/>
        <w:rPr>
          <w:rFonts w:ascii="Arial" w:hAnsi="Arial" w:cs="Arial"/>
          <w:sz w:val="20"/>
          <w:szCs w:val="20"/>
        </w:rPr>
      </w:pPr>
      <w:r w:rsidRPr="00970766">
        <w:rPr>
          <w:rFonts w:ascii="Arial" w:hAnsi="Arial" w:cs="Arial"/>
          <w:sz w:val="20"/>
          <w:szCs w:val="20"/>
        </w:rPr>
        <w:t>une</w:t>
      </w:r>
      <w:r w:rsidRPr="00970766">
        <w:rPr>
          <w:rFonts w:ascii="Arial" w:hAnsi="Arial" w:cs="Arial"/>
          <w:spacing w:val="2"/>
          <w:sz w:val="20"/>
          <w:szCs w:val="20"/>
        </w:rPr>
        <w:t xml:space="preserve"> </w:t>
      </w:r>
      <w:r w:rsidRPr="00970766">
        <w:rPr>
          <w:rFonts w:ascii="Arial" w:hAnsi="Arial" w:cs="Arial"/>
          <w:sz w:val="20"/>
          <w:szCs w:val="20"/>
        </w:rPr>
        <w:t>information</w:t>
      </w:r>
      <w:r w:rsidRPr="00970766">
        <w:rPr>
          <w:rFonts w:ascii="Arial" w:hAnsi="Arial" w:cs="Arial"/>
          <w:spacing w:val="3"/>
          <w:sz w:val="20"/>
          <w:szCs w:val="20"/>
        </w:rPr>
        <w:t xml:space="preserve"> </w:t>
      </w:r>
      <w:r w:rsidRPr="00970766">
        <w:rPr>
          <w:rFonts w:ascii="Arial" w:hAnsi="Arial" w:cs="Arial"/>
          <w:sz w:val="20"/>
          <w:szCs w:val="20"/>
        </w:rPr>
        <w:t>relative</w:t>
      </w:r>
      <w:r w:rsidRPr="00970766">
        <w:rPr>
          <w:rFonts w:ascii="Arial" w:hAnsi="Arial" w:cs="Arial"/>
          <w:spacing w:val="2"/>
          <w:sz w:val="20"/>
          <w:szCs w:val="20"/>
        </w:rPr>
        <w:t xml:space="preserve"> </w:t>
      </w:r>
      <w:r w:rsidRPr="00970766">
        <w:rPr>
          <w:rFonts w:ascii="Arial" w:hAnsi="Arial" w:cs="Arial"/>
          <w:sz w:val="20"/>
          <w:szCs w:val="20"/>
        </w:rPr>
        <w:t>au</w:t>
      </w:r>
      <w:r w:rsidRPr="00970766">
        <w:rPr>
          <w:rFonts w:ascii="Arial" w:hAnsi="Arial" w:cs="Arial"/>
          <w:spacing w:val="3"/>
          <w:sz w:val="20"/>
          <w:szCs w:val="20"/>
        </w:rPr>
        <w:t xml:space="preserve"> </w:t>
      </w:r>
      <w:r w:rsidRPr="00970766">
        <w:rPr>
          <w:rFonts w:ascii="Arial" w:hAnsi="Arial" w:cs="Arial"/>
          <w:sz w:val="20"/>
          <w:szCs w:val="20"/>
        </w:rPr>
        <w:t>traitement</w:t>
      </w:r>
      <w:r w:rsidRPr="00970766">
        <w:rPr>
          <w:rFonts w:ascii="Arial" w:hAnsi="Arial" w:cs="Arial"/>
          <w:spacing w:val="4"/>
          <w:sz w:val="20"/>
          <w:szCs w:val="20"/>
        </w:rPr>
        <w:t xml:space="preserve"> </w:t>
      </w:r>
      <w:r w:rsidRPr="00970766">
        <w:rPr>
          <w:rFonts w:ascii="Arial" w:hAnsi="Arial" w:cs="Arial"/>
          <w:sz w:val="20"/>
          <w:szCs w:val="20"/>
        </w:rPr>
        <w:t>de</w:t>
      </w:r>
      <w:r w:rsidRPr="00970766">
        <w:rPr>
          <w:rFonts w:ascii="Arial" w:hAnsi="Arial" w:cs="Arial"/>
          <w:spacing w:val="7"/>
          <w:sz w:val="20"/>
          <w:szCs w:val="20"/>
        </w:rPr>
        <w:t xml:space="preserve"> </w:t>
      </w:r>
      <w:r w:rsidRPr="00970766">
        <w:rPr>
          <w:rFonts w:ascii="Arial" w:hAnsi="Arial" w:cs="Arial"/>
          <w:sz w:val="20"/>
          <w:szCs w:val="20"/>
        </w:rPr>
        <w:t>vos</w:t>
      </w:r>
      <w:r w:rsidRPr="00970766">
        <w:rPr>
          <w:rFonts w:ascii="Arial" w:hAnsi="Arial" w:cs="Arial"/>
          <w:spacing w:val="4"/>
          <w:sz w:val="20"/>
          <w:szCs w:val="20"/>
        </w:rPr>
        <w:t xml:space="preserve"> </w:t>
      </w:r>
      <w:r w:rsidRPr="00970766">
        <w:rPr>
          <w:rFonts w:ascii="Arial" w:hAnsi="Arial" w:cs="Arial"/>
          <w:sz w:val="20"/>
          <w:szCs w:val="20"/>
        </w:rPr>
        <w:t>données</w:t>
      </w:r>
      <w:r w:rsidRPr="00970766">
        <w:rPr>
          <w:rFonts w:ascii="Arial" w:hAnsi="Arial" w:cs="Arial"/>
          <w:spacing w:val="6"/>
          <w:sz w:val="20"/>
          <w:szCs w:val="20"/>
        </w:rPr>
        <w:t xml:space="preserve"> </w:t>
      </w:r>
      <w:r w:rsidRPr="00970766">
        <w:rPr>
          <w:rFonts w:ascii="Arial" w:hAnsi="Arial" w:cs="Arial"/>
          <w:sz w:val="20"/>
          <w:szCs w:val="20"/>
        </w:rPr>
        <w:t>à</w:t>
      </w:r>
      <w:r w:rsidRPr="00970766">
        <w:rPr>
          <w:rFonts w:ascii="Arial" w:hAnsi="Arial" w:cs="Arial"/>
          <w:spacing w:val="2"/>
          <w:sz w:val="20"/>
          <w:szCs w:val="20"/>
        </w:rPr>
        <w:t xml:space="preserve"> </w:t>
      </w:r>
      <w:r w:rsidRPr="00970766">
        <w:rPr>
          <w:rFonts w:ascii="Arial" w:hAnsi="Arial" w:cs="Arial"/>
          <w:sz w:val="20"/>
          <w:szCs w:val="20"/>
        </w:rPr>
        <w:t>caractère</w:t>
      </w:r>
      <w:r w:rsidRPr="00970766">
        <w:rPr>
          <w:rFonts w:ascii="Arial" w:hAnsi="Arial" w:cs="Arial"/>
          <w:spacing w:val="62"/>
          <w:sz w:val="20"/>
          <w:szCs w:val="20"/>
        </w:rPr>
        <w:t xml:space="preserve"> </w:t>
      </w:r>
      <w:r w:rsidRPr="00970766">
        <w:rPr>
          <w:rFonts w:ascii="Arial" w:hAnsi="Arial" w:cs="Arial"/>
          <w:sz w:val="20"/>
          <w:szCs w:val="20"/>
        </w:rPr>
        <w:t>personnel</w:t>
      </w:r>
      <w:r w:rsidR="00DF42B9" w:rsidRPr="00970766">
        <w:rPr>
          <w:rFonts w:ascii="Arial" w:hAnsi="Arial" w:cs="Arial"/>
          <w:sz w:val="20"/>
          <w:szCs w:val="20"/>
        </w:rPr>
        <w:t xml:space="preserve"> (c</w:t>
      </w:r>
      <w:r w:rsidR="00C424E6" w:rsidRPr="00970766">
        <w:rPr>
          <w:rFonts w:ascii="Arial" w:hAnsi="Arial" w:cs="Arial"/>
          <w:sz w:val="20"/>
          <w:szCs w:val="20"/>
        </w:rPr>
        <w:t>f</w:t>
      </w:r>
      <w:r w:rsidR="00DF42B9" w:rsidRPr="00970766">
        <w:rPr>
          <w:rFonts w:ascii="Arial" w:hAnsi="Arial" w:cs="Arial"/>
          <w:sz w:val="20"/>
          <w:szCs w:val="20"/>
        </w:rPr>
        <w:t>.</w:t>
      </w:r>
      <w:r w:rsidR="009E4593" w:rsidRPr="00970766">
        <w:rPr>
          <w:rFonts w:ascii="Arial" w:hAnsi="Arial" w:cs="Arial"/>
          <w:sz w:val="20"/>
          <w:szCs w:val="20"/>
        </w:rPr>
        <w:t xml:space="preserve"> </w:t>
      </w:r>
      <w:r w:rsidR="00785084">
        <w:rPr>
          <w:rFonts w:ascii="Arial" w:hAnsi="Arial" w:cs="Arial"/>
          <w:sz w:val="20"/>
          <w:szCs w:val="20"/>
        </w:rPr>
        <w:t>A</w:t>
      </w:r>
      <w:r w:rsidR="00C424E6" w:rsidRPr="00970766">
        <w:rPr>
          <w:rFonts w:ascii="Arial" w:hAnsi="Arial" w:cs="Arial"/>
          <w:sz w:val="20"/>
          <w:szCs w:val="20"/>
        </w:rPr>
        <w:t>nnexe 4</w:t>
      </w:r>
      <w:r w:rsidR="00DB310C">
        <w:rPr>
          <w:rFonts w:ascii="Arial" w:hAnsi="Arial" w:cs="Arial"/>
          <w:sz w:val="20"/>
          <w:szCs w:val="20"/>
        </w:rPr>
        <w:t>.1</w:t>
      </w:r>
      <w:r w:rsidR="00DF42B9" w:rsidRPr="00970766">
        <w:rPr>
          <w:rFonts w:ascii="Arial" w:hAnsi="Arial" w:cs="Arial"/>
          <w:sz w:val="20"/>
          <w:szCs w:val="20"/>
        </w:rPr>
        <w:t>)</w:t>
      </w:r>
      <w:r w:rsidRPr="00970766">
        <w:rPr>
          <w:rFonts w:ascii="Arial" w:hAnsi="Arial" w:cs="Arial"/>
          <w:spacing w:val="-57"/>
          <w:sz w:val="20"/>
          <w:szCs w:val="20"/>
        </w:rPr>
        <w:t xml:space="preserve"> </w:t>
      </w:r>
      <w:r w:rsidR="00F33CDB" w:rsidRPr="00970766">
        <w:rPr>
          <w:rFonts w:ascii="Arial" w:hAnsi="Arial" w:cs="Arial"/>
          <w:spacing w:val="-57"/>
          <w:sz w:val="20"/>
          <w:szCs w:val="20"/>
        </w:rPr>
        <w:t xml:space="preserve">                    </w:t>
      </w:r>
      <w:r w:rsidR="00106226" w:rsidRPr="00970766">
        <w:rPr>
          <w:rFonts w:ascii="Arial" w:hAnsi="Arial" w:cs="Arial"/>
          <w:spacing w:val="-57"/>
          <w:sz w:val="20"/>
          <w:szCs w:val="20"/>
        </w:rPr>
        <w:t xml:space="preserve"> </w:t>
      </w:r>
      <w:r w:rsidR="00F83068" w:rsidRPr="00970766">
        <w:rPr>
          <w:rFonts w:ascii="Arial" w:hAnsi="Arial" w:cs="Arial"/>
          <w:spacing w:val="-57"/>
          <w:sz w:val="20"/>
          <w:szCs w:val="20"/>
        </w:rPr>
        <w:t xml:space="preserve">   </w:t>
      </w:r>
      <w:r w:rsidR="00DB310C">
        <w:rPr>
          <w:rFonts w:ascii="Arial" w:hAnsi="Arial" w:cs="Arial"/>
          <w:spacing w:val="-57"/>
          <w:sz w:val="20"/>
          <w:szCs w:val="20"/>
        </w:rPr>
        <w:t>.</w:t>
      </w:r>
    </w:p>
    <w:p w14:paraId="5D2A5982" w14:textId="77777777" w:rsidR="000252B1" w:rsidRPr="00970766" w:rsidRDefault="000252B1" w:rsidP="000252B1">
      <w:pPr>
        <w:pStyle w:val="Corpsdetexte"/>
        <w:spacing w:before="3"/>
        <w:rPr>
          <w:rFonts w:ascii="Arial" w:hAnsi="Arial" w:cs="Arial"/>
          <w:sz w:val="20"/>
          <w:szCs w:val="20"/>
        </w:rPr>
      </w:pPr>
    </w:p>
    <w:p w14:paraId="3CB8B4B5" w14:textId="77777777" w:rsidR="000252B1" w:rsidRPr="00970766" w:rsidRDefault="000252B1" w:rsidP="00AF426A">
      <w:pPr>
        <w:ind w:right="21"/>
        <w:jc w:val="both"/>
        <w:rPr>
          <w:rFonts w:ascii="Arial" w:hAnsi="Arial" w:cs="Arial"/>
          <w:sz w:val="20"/>
          <w:szCs w:val="20"/>
        </w:rPr>
      </w:pPr>
      <w:r w:rsidRPr="00970766">
        <w:rPr>
          <w:rFonts w:ascii="Arial" w:hAnsi="Arial" w:cs="Arial"/>
          <w:sz w:val="20"/>
          <w:szCs w:val="20"/>
        </w:rPr>
        <w:t>Il</w:t>
      </w:r>
      <w:r w:rsidRPr="00970766">
        <w:rPr>
          <w:rFonts w:ascii="Arial" w:hAnsi="Arial" w:cs="Arial"/>
          <w:spacing w:val="13"/>
          <w:sz w:val="20"/>
          <w:szCs w:val="20"/>
        </w:rPr>
        <w:t xml:space="preserve"> </w:t>
      </w:r>
      <w:r w:rsidRPr="00970766">
        <w:rPr>
          <w:rFonts w:ascii="Arial" w:hAnsi="Arial" w:cs="Arial"/>
          <w:sz w:val="20"/>
          <w:szCs w:val="20"/>
        </w:rPr>
        <w:t>est</w:t>
      </w:r>
      <w:r w:rsidRPr="00970766">
        <w:rPr>
          <w:rFonts w:ascii="Arial" w:hAnsi="Arial" w:cs="Arial"/>
          <w:spacing w:val="11"/>
          <w:sz w:val="20"/>
          <w:szCs w:val="20"/>
        </w:rPr>
        <w:t xml:space="preserve"> </w:t>
      </w:r>
      <w:r w:rsidRPr="00970766">
        <w:rPr>
          <w:rFonts w:ascii="Arial" w:hAnsi="Arial" w:cs="Arial"/>
          <w:sz w:val="20"/>
          <w:szCs w:val="20"/>
        </w:rPr>
        <w:t>important</w:t>
      </w:r>
      <w:r w:rsidRPr="00970766">
        <w:rPr>
          <w:rFonts w:ascii="Arial" w:hAnsi="Arial" w:cs="Arial"/>
          <w:spacing w:val="11"/>
          <w:sz w:val="20"/>
          <w:szCs w:val="20"/>
        </w:rPr>
        <w:t xml:space="preserve"> </w:t>
      </w:r>
      <w:r w:rsidRPr="00970766">
        <w:rPr>
          <w:rFonts w:ascii="Arial" w:hAnsi="Arial" w:cs="Arial"/>
          <w:sz w:val="20"/>
          <w:szCs w:val="20"/>
        </w:rPr>
        <w:t>que</w:t>
      </w:r>
      <w:r w:rsidRPr="00970766">
        <w:rPr>
          <w:rFonts w:ascii="Arial" w:hAnsi="Arial" w:cs="Arial"/>
          <w:spacing w:val="11"/>
          <w:sz w:val="20"/>
          <w:szCs w:val="20"/>
        </w:rPr>
        <w:t xml:space="preserve"> </w:t>
      </w:r>
      <w:r w:rsidRPr="00970766">
        <w:rPr>
          <w:rFonts w:ascii="Arial" w:hAnsi="Arial" w:cs="Arial"/>
          <w:sz w:val="20"/>
          <w:szCs w:val="20"/>
        </w:rPr>
        <w:t>vous</w:t>
      </w:r>
      <w:r w:rsidRPr="00970766">
        <w:rPr>
          <w:rFonts w:ascii="Arial" w:hAnsi="Arial" w:cs="Arial"/>
          <w:spacing w:val="13"/>
          <w:sz w:val="20"/>
          <w:szCs w:val="20"/>
        </w:rPr>
        <w:t xml:space="preserve"> </w:t>
      </w:r>
      <w:r w:rsidRPr="00970766">
        <w:rPr>
          <w:rFonts w:ascii="Arial" w:hAnsi="Arial" w:cs="Arial"/>
          <w:sz w:val="20"/>
          <w:szCs w:val="20"/>
        </w:rPr>
        <w:t>indiquiez</w:t>
      </w:r>
      <w:r w:rsidRPr="00970766">
        <w:rPr>
          <w:rFonts w:ascii="Arial" w:hAnsi="Arial" w:cs="Arial"/>
          <w:spacing w:val="12"/>
          <w:sz w:val="20"/>
          <w:szCs w:val="20"/>
        </w:rPr>
        <w:t xml:space="preserve"> </w:t>
      </w:r>
      <w:r w:rsidRPr="00970766">
        <w:rPr>
          <w:rFonts w:ascii="Arial" w:hAnsi="Arial" w:cs="Arial"/>
          <w:sz w:val="20"/>
          <w:szCs w:val="20"/>
        </w:rPr>
        <w:t>à</w:t>
      </w:r>
      <w:r w:rsidRPr="00970766">
        <w:rPr>
          <w:rFonts w:ascii="Arial" w:hAnsi="Arial" w:cs="Arial"/>
          <w:spacing w:val="11"/>
          <w:sz w:val="20"/>
          <w:szCs w:val="20"/>
        </w:rPr>
        <w:t xml:space="preserve"> </w:t>
      </w:r>
      <w:r w:rsidRPr="00970766">
        <w:rPr>
          <w:rFonts w:ascii="Arial" w:hAnsi="Arial" w:cs="Arial"/>
          <w:sz w:val="20"/>
          <w:szCs w:val="20"/>
        </w:rPr>
        <w:t>votre</w:t>
      </w:r>
      <w:r w:rsidRPr="00970766">
        <w:rPr>
          <w:rFonts w:ascii="Arial" w:hAnsi="Arial" w:cs="Arial"/>
          <w:spacing w:val="12"/>
          <w:sz w:val="20"/>
          <w:szCs w:val="20"/>
        </w:rPr>
        <w:t xml:space="preserve"> </w:t>
      </w:r>
      <w:r w:rsidRPr="00970766">
        <w:rPr>
          <w:rFonts w:ascii="Arial" w:hAnsi="Arial" w:cs="Arial"/>
          <w:sz w:val="20"/>
          <w:szCs w:val="20"/>
        </w:rPr>
        <w:t>médecin</w:t>
      </w:r>
      <w:r w:rsidRPr="00970766">
        <w:rPr>
          <w:rFonts w:ascii="Arial" w:hAnsi="Arial" w:cs="Arial"/>
          <w:spacing w:val="11"/>
          <w:sz w:val="20"/>
          <w:szCs w:val="20"/>
        </w:rPr>
        <w:t xml:space="preserve"> </w:t>
      </w:r>
      <w:r w:rsidRPr="00970766">
        <w:rPr>
          <w:rFonts w:ascii="Arial" w:hAnsi="Arial" w:cs="Arial"/>
          <w:sz w:val="20"/>
          <w:szCs w:val="20"/>
        </w:rPr>
        <w:t>ou</w:t>
      </w:r>
      <w:r w:rsidRPr="00970766">
        <w:rPr>
          <w:rFonts w:ascii="Arial" w:hAnsi="Arial" w:cs="Arial"/>
          <w:spacing w:val="11"/>
          <w:sz w:val="20"/>
          <w:szCs w:val="20"/>
        </w:rPr>
        <w:t xml:space="preserve"> </w:t>
      </w:r>
      <w:r w:rsidRPr="00970766">
        <w:rPr>
          <w:rFonts w:ascii="Arial" w:hAnsi="Arial" w:cs="Arial"/>
          <w:sz w:val="20"/>
          <w:szCs w:val="20"/>
        </w:rPr>
        <w:t>à</w:t>
      </w:r>
      <w:r w:rsidRPr="00970766">
        <w:rPr>
          <w:rFonts w:ascii="Arial" w:hAnsi="Arial" w:cs="Arial"/>
          <w:spacing w:val="11"/>
          <w:sz w:val="20"/>
          <w:szCs w:val="20"/>
        </w:rPr>
        <w:t xml:space="preserve"> </w:t>
      </w:r>
      <w:r w:rsidRPr="00970766">
        <w:rPr>
          <w:rFonts w:ascii="Arial" w:hAnsi="Arial" w:cs="Arial"/>
          <w:sz w:val="20"/>
          <w:szCs w:val="20"/>
        </w:rPr>
        <w:t>votre</w:t>
      </w:r>
      <w:r w:rsidRPr="00970766">
        <w:rPr>
          <w:rFonts w:ascii="Arial" w:hAnsi="Arial" w:cs="Arial"/>
          <w:spacing w:val="10"/>
          <w:sz w:val="20"/>
          <w:szCs w:val="20"/>
        </w:rPr>
        <w:t xml:space="preserve"> </w:t>
      </w:r>
      <w:r w:rsidRPr="00970766">
        <w:rPr>
          <w:rFonts w:ascii="Arial" w:hAnsi="Arial" w:cs="Arial"/>
          <w:sz w:val="20"/>
          <w:szCs w:val="20"/>
        </w:rPr>
        <w:t>pharmacien</w:t>
      </w:r>
      <w:r w:rsidRPr="00970766">
        <w:rPr>
          <w:rFonts w:ascii="Arial" w:hAnsi="Arial" w:cs="Arial"/>
          <w:spacing w:val="13"/>
          <w:sz w:val="20"/>
          <w:szCs w:val="20"/>
        </w:rPr>
        <w:t xml:space="preserve"> </w:t>
      </w:r>
      <w:r w:rsidRPr="00970766">
        <w:rPr>
          <w:rFonts w:ascii="Arial" w:hAnsi="Arial" w:cs="Arial"/>
          <w:sz w:val="20"/>
          <w:szCs w:val="20"/>
        </w:rPr>
        <w:t>si</w:t>
      </w:r>
      <w:r w:rsidRPr="00970766">
        <w:rPr>
          <w:rFonts w:ascii="Arial" w:hAnsi="Arial" w:cs="Arial"/>
          <w:spacing w:val="12"/>
          <w:sz w:val="20"/>
          <w:szCs w:val="20"/>
        </w:rPr>
        <w:t xml:space="preserve"> </w:t>
      </w:r>
      <w:r w:rsidRPr="00970766">
        <w:rPr>
          <w:rFonts w:ascii="Arial" w:hAnsi="Arial" w:cs="Arial"/>
          <w:sz w:val="20"/>
          <w:szCs w:val="20"/>
        </w:rPr>
        <w:t>vous</w:t>
      </w:r>
      <w:r w:rsidRPr="00970766">
        <w:rPr>
          <w:rFonts w:ascii="Arial" w:hAnsi="Arial" w:cs="Arial"/>
          <w:spacing w:val="11"/>
          <w:sz w:val="20"/>
          <w:szCs w:val="20"/>
        </w:rPr>
        <w:t xml:space="preserve"> </w:t>
      </w:r>
      <w:r w:rsidRPr="00970766">
        <w:rPr>
          <w:rFonts w:ascii="Arial" w:hAnsi="Arial" w:cs="Arial"/>
          <w:sz w:val="20"/>
          <w:szCs w:val="20"/>
        </w:rPr>
        <w:t>prenez</w:t>
      </w:r>
      <w:r w:rsidRPr="00970766">
        <w:rPr>
          <w:rFonts w:ascii="Arial" w:hAnsi="Arial" w:cs="Arial"/>
          <w:spacing w:val="12"/>
          <w:sz w:val="20"/>
          <w:szCs w:val="20"/>
        </w:rPr>
        <w:t xml:space="preserve"> </w:t>
      </w:r>
      <w:r w:rsidRPr="00970766">
        <w:rPr>
          <w:rFonts w:ascii="Arial" w:hAnsi="Arial" w:cs="Arial"/>
          <w:sz w:val="20"/>
          <w:szCs w:val="20"/>
        </w:rPr>
        <w:t>ou</w:t>
      </w:r>
      <w:r w:rsidRPr="00970766">
        <w:rPr>
          <w:rFonts w:ascii="Arial" w:hAnsi="Arial" w:cs="Arial"/>
          <w:spacing w:val="-57"/>
          <w:sz w:val="20"/>
          <w:szCs w:val="20"/>
        </w:rPr>
        <w:t xml:space="preserve"> </w:t>
      </w:r>
      <w:r w:rsidR="00AF426A" w:rsidRPr="00970766">
        <w:rPr>
          <w:rFonts w:ascii="Arial" w:hAnsi="Arial" w:cs="Arial"/>
          <w:spacing w:val="-57"/>
          <w:sz w:val="20"/>
          <w:szCs w:val="20"/>
        </w:rPr>
        <w:t xml:space="preserve"> </w:t>
      </w:r>
      <w:r w:rsidR="00AF426A" w:rsidRPr="00970766">
        <w:rPr>
          <w:rFonts w:ascii="Arial" w:hAnsi="Arial" w:cs="Arial"/>
          <w:sz w:val="20"/>
          <w:szCs w:val="20"/>
        </w:rPr>
        <w:t xml:space="preserve"> </w:t>
      </w:r>
      <w:r w:rsidRPr="00970766">
        <w:rPr>
          <w:rFonts w:ascii="Arial" w:hAnsi="Arial" w:cs="Arial"/>
          <w:sz w:val="20"/>
          <w:szCs w:val="20"/>
        </w:rPr>
        <w:t>si vous avez pris récemment un autre médicament, même s’il s’agit d’un médicament délivré</w:t>
      </w:r>
      <w:r w:rsidRPr="00970766">
        <w:rPr>
          <w:rFonts w:ascii="Arial" w:hAnsi="Arial" w:cs="Arial"/>
          <w:spacing w:val="1"/>
          <w:sz w:val="20"/>
          <w:szCs w:val="20"/>
        </w:rPr>
        <w:t xml:space="preserve"> </w:t>
      </w:r>
      <w:r w:rsidRPr="00970766">
        <w:rPr>
          <w:rFonts w:ascii="Arial" w:hAnsi="Arial" w:cs="Arial"/>
          <w:sz w:val="20"/>
          <w:szCs w:val="20"/>
        </w:rPr>
        <w:t>sans</w:t>
      </w:r>
      <w:r w:rsidRPr="00970766">
        <w:rPr>
          <w:rFonts w:ascii="Arial" w:hAnsi="Arial" w:cs="Arial"/>
          <w:spacing w:val="-1"/>
          <w:sz w:val="20"/>
          <w:szCs w:val="20"/>
        </w:rPr>
        <w:t xml:space="preserve"> </w:t>
      </w:r>
      <w:r w:rsidRPr="00970766">
        <w:rPr>
          <w:rFonts w:ascii="Arial" w:hAnsi="Arial" w:cs="Arial"/>
          <w:sz w:val="20"/>
          <w:szCs w:val="20"/>
        </w:rPr>
        <w:t>ordonnance</w:t>
      </w:r>
      <w:r w:rsidR="008D4899" w:rsidRPr="00970766">
        <w:rPr>
          <w:rFonts w:ascii="Arial" w:hAnsi="Arial" w:cs="Arial"/>
          <w:sz w:val="20"/>
          <w:szCs w:val="20"/>
        </w:rPr>
        <w:t>.</w:t>
      </w:r>
    </w:p>
    <w:p w14:paraId="14F94D7C" w14:textId="77777777" w:rsidR="008862A9" w:rsidRPr="00970766" w:rsidRDefault="008862A9" w:rsidP="00106226">
      <w:pPr>
        <w:ind w:right="260"/>
        <w:jc w:val="both"/>
        <w:rPr>
          <w:rFonts w:ascii="Arial" w:eastAsia="Calibri" w:hAnsi="Arial" w:cs="Arial"/>
          <w:b/>
          <w:bCs/>
          <w:sz w:val="20"/>
          <w:lang w:eastAsia="fr-FR"/>
        </w:rPr>
      </w:pPr>
    </w:p>
    <w:p w14:paraId="3B1E5DB2" w14:textId="77777777" w:rsidR="00597676" w:rsidRPr="00970766" w:rsidRDefault="009135AC" w:rsidP="00106226">
      <w:pPr>
        <w:ind w:right="260"/>
        <w:jc w:val="both"/>
        <w:rPr>
          <w:rFonts w:ascii="Arial" w:hAnsi="Arial" w:cs="Arial"/>
          <w:sz w:val="20"/>
          <w:szCs w:val="20"/>
        </w:rPr>
      </w:pPr>
      <w:r w:rsidRPr="00970766">
        <w:rPr>
          <w:rFonts w:ascii="Arial" w:eastAsia="Calibri" w:hAnsi="Arial" w:cs="Arial"/>
          <w:b/>
          <w:bCs/>
          <w:sz w:val="20"/>
          <w:lang w:eastAsia="fr-FR"/>
        </w:rPr>
        <w:t>Informations générales sur les CPC</w:t>
      </w:r>
    </w:p>
    <w:p w14:paraId="16FD52BA" w14:textId="77777777" w:rsidR="00881A44" w:rsidRPr="00970766" w:rsidRDefault="000A23A2" w:rsidP="009135AC">
      <w:pPr>
        <w:ind w:right="261"/>
        <w:jc w:val="both"/>
        <w:rPr>
          <w:rFonts w:ascii="Arial" w:hAnsi="Arial" w:cs="Arial"/>
          <w:sz w:val="20"/>
          <w:szCs w:val="20"/>
        </w:rPr>
      </w:pPr>
      <w:r w:rsidRPr="00970766">
        <w:rPr>
          <w:rFonts w:ascii="Arial" w:hAnsi="Arial" w:cs="Arial"/>
          <w:sz w:val="20"/>
          <w:szCs w:val="20"/>
        </w:rPr>
        <w:t xml:space="preserve">Le </w:t>
      </w:r>
      <w:r w:rsidR="00BB379E" w:rsidRPr="00970766">
        <w:rPr>
          <w:rFonts w:ascii="Arial" w:hAnsi="Arial" w:cs="Arial"/>
          <w:sz w:val="20"/>
          <w:szCs w:val="20"/>
        </w:rPr>
        <w:t>CPC</w:t>
      </w:r>
      <w:r w:rsidRPr="00970766">
        <w:rPr>
          <w:rFonts w:ascii="Arial" w:hAnsi="Arial" w:cs="Arial"/>
          <w:sz w:val="20"/>
          <w:szCs w:val="20"/>
        </w:rPr>
        <w:t xml:space="preserve"> </w:t>
      </w:r>
      <w:r w:rsidR="00881A44" w:rsidRPr="00970766">
        <w:rPr>
          <w:rFonts w:ascii="Arial" w:hAnsi="Arial" w:cs="Arial"/>
          <w:sz w:val="20"/>
          <w:szCs w:val="20"/>
        </w:rPr>
        <w:t>(</w:t>
      </w:r>
      <w:r w:rsidRPr="00970766">
        <w:rPr>
          <w:rFonts w:ascii="Arial" w:hAnsi="Arial" w:cs="Arial"/>
          <w:sz w:val="20"/>
          <w:szCs w:val="20"/>
        </w:rPr>
        <w:t xml:space="preserve">procédure dérogatoire exceptionnelle prévue </w:t>
      </w:r>
      <w:r w:rsidRPr="00970766">
        <w:rPr>
          <w:rFonts w:ascii="Arial" w:hAnsi="Arial" w:cs="Arial"/>
          <w:spacing w:val="-57"/>
          <w:sz w:val="20"/>
          <w:szCs w:val="20"/>
        </w:rPr>
        <w:t xml:space="preserve">  </w:t>
      </w:r>
      <w:r w:rsidRPr="00970766">
        <w:rPr>
          <w:rFonts w:ascii="Arial" w:hAnsi="Arial" w:cs="Arial"/>
          <w:sz w:val="20"/>
          <w:szCs w:val="20"/>
        </w:rPr>
        <w:t>à</w:t>
      </w:r>
      <w:r w:rsidRPr="00970766">
        <w:rPr>
          <w:rFonts w:ascii="Arial" w:hAnsi="Arial" w:cs="Arial"/>
          <w:spacing w:val="1"/>
          <w:sz w:val="20"/>
          <w:szCs w:val="20"/>
        </w:rPr>
        <w:t xml:space="preserve"> </w:t>
      </w:r>
      <w:r w:rsidRPr="00970766">
        <w:rPr>
          <w:rFonts w:ascii="Arial" w:hAnsi="Arial" w:cs="Arial"/>
          <w:sz w:val="20"/>
          <w:szCs w:val="20"/>
        </w:rPr>
        <w:t>l’article</w:t>
      </w:r>
      <w:r w:rsidRPr="00970766">
        <w:rPr>
          <w:rFonts w:ascii="Arial" w:hAnsi="Arial" w:cs="Arial"/>
          <w:spacing w:val="1"/>
          <w:sz w:val="20"/>
          <w:szCs w:val="20"/>
        </w:rPr>
        <w:t xml:space="preserve"> </w:t>
      </w:r>
      <w:r w:rsidRPr="00970766">
        <w:rPr>
          <w:rFonts w:ascii="Arial" w:hAnsi="Arial" w:cs="Arial"/>
          <w:sz w:val="20"/>
          <w:szCs w:val="20"/>
        </w:rPr>
        <w:t>L.</w:t>
      </w:r>
      <w:r w:rsidRPr="00970766">
        <w:rPr>
          <w:rFonts w:ascii="Arial" w:hAnsi="Arial" w:cs="Arial"/>
          <w:spacing w:val="1"/>
          <w:sz w:val="20"/>
          <w:szCs w:val="20"/>
        </w:rPr>
        <w:t xml:space="preserve"> </w:t>
      </w:r>
      <w:r w:rsidRPr="00970766">
        <w:rPr>
          <w:rFonts w:ascii="Arial" w:hAnsi="Arial" w:cs="Arial"/>
          <w:sz w:val="20"/>
          <w:szCs w:val="20"/>
        </w:rPr>
        <w:t>5121-12-1</w:t>
      </w:r>
      <w:r w:rsidRPr="00970766">
        <w:rPr>
          <w:rFonts w:ascii="Arial" w:hAnsi="Arial" w:cs="Arial"/>
          <w:spacing w:val="1"/>
          <w:sz w:val="20"/>
          <w:szCs w:val="20"/>
        </w:rPr>
        <w:t xml:space="preserve"> </w:t>
      </w:r>
      <w:r w:rsidRPr="00970766">
        <w:rPr>
          <w:rFonts w:ascii="Arial" w:hAnsi="Arial" w:cs="Arial"/>
          <w:sz w:val="20"/>
          <w:szCs w:val="20"/>
        </w:rPr>
        <w:t>III</w:t>
      </w:r>
      <w:r w:rsidRPr="00970766">
        <w:rPr>
          <w:rFonts w:ascii="Arial" w:hAnsi="Arial" w:cs="Arial"/>
          <w:spacing w:val="1"/>
          <w:sz w:val="20"/>
          <w:szCs w:val="20"/>
        </w:rPr>
        <w:t xml:space="preserve"> </w:t>
      </w:r>
      <w:r w:rsidRPr="00970766">
        <w:rPr>
          <w:rFonts w:ascii="Arial" w:hAnsi="Arial" w:cs="Arial"/>
          <w:sz w:val="20"/>
          <w:szCs w:val="20"/>
        </w:rPr>
        <w:t>du</w:t>
      </w:r>
      <w:r w:rsidRPr="00970766">
        <w:rPr>
          <w:rFonts w:ascii="Arial" w:hAnsi="Arial" w:cs="Arial"/>
          <w:spacing w:val="1"/>
          <w:sz w:val="20"/>
          <w:szCs w:val="20"/>
        </w:rPr>
        <w:t xml:space="preserve"> </w:t>
      </w:r>
      <w:r w:rsidRPr="00970766">
        <w:rPr>
          <w:rFonts w:ascii="Arial" w:hAnsi="Arial" w:cs="Arial"/>
          <w:sz w:val="20"/>
          <w:szCs w:val="20"/>
        </w:rPr>
        <w:t>code</w:t>
      </w:r>
      <w:r w:rsidRPr="00970766">
        <w:rPr>
          <w:rFonts w:ascii="Arial" w:hAnsi="Arial" w:cs="Arial"/>
          <w:spacing w:val="1"/>
          <w:sz w:val="20"/>
          <w:szCs w:val="20"/>
        </w:rPr>
        <w:t xml:space="preserve"> </w:t>
      </w:r>
      <w:r w:rsidRPr="00970766">
        <w:rPr>
          <w:rFonts w:ascii="Arial" w:hAnsi="Arial" w:cs="Arial"/>
          <w:sz w:val="20"/>
          <w:szCs w:val="20"/>
        </w:rPr>
        <w:t>de</w:t>
      </w:r>
      <w:r w:rsidRPr="00970766">
        <w:rPr>
          <w:rFonts w:ascii="Arial" w:hAnsi="Arial" w:cs="Arial"/>
          <w:spacing w:val="1"/>
          <w:sz w:val="20"/>
          <w:szCs w:val="20"/>
        </w:rPr>
        <w:t xml:space="preserve"> </w:t>
      </w:r>
      <w:r w:rsidRPr="00970766">
        <w:rPr>
          <w:rFonts w:ascii="Arial" w:hAnsi="Arial" w:cs="Arial"/>
          <w:sz w:val="20"/>
          <w:szCs w:val="20"/>
        </w:rPr>
        <w:t>la</w:t>
      </w:r>
      <w:r w:rsidRPr="00970766">
        <w:rPr>
          <w:rFonts w:ascii="Arial" w:hAnsi="Arial" w:cs="Arial"/>
          <w:spacing w:val="1"/>
          <w:sz w:val="20"/>
          <w:szCs w:val="20"/>
        </w:rPr>
        <w:t xml:space="preserve"> </w:t>
      </w:r>
      <w:r w:rsidRPr="00970766">
        <w:rPr>
          <w:rFonts w:ascii="Arial" w:hAnsi="Arial" w:cs="Arial"/>
          <w:sz w:val="20"/>
          <w:szCs w:val="20"/>
        </w:rPr>
        <w:t>santé</w:t>
      </w:r>
      <w:r w:rsidRPr="00970766">
        <w:rPr>
          <w:rFonts w:ascii="Arial" w:hAnsi="Arial" w:cs="Arial"/>
          <w:spacing w:val="1"/>
          <w:sz w:val="20"/>
          <w:szCs w:val="20"/>
        </w:rPr>
        <w:t xml:space="preserve"> </w:t>
      </w:r>
      <w:r w:rsidRPr="00970766">
        <w:rPr>
          <w:rFonts w:ascii="Arial" w:hAnsi="Arial" w:cs="Arial"/>
          <w:sz w:val="20"/>
          <w:szCs w:val="20"/>
        </w:rPr>
        <w:t>publique</w:t>
      </w:r>
      <w:r w:rsidR="00881A44" w:rsidRPr="00970766">
        <w:rPr>
          <w:rFonts w:ascii="Arial" w:hAnsi="Arial" w:cs="Arial"/>
          <w:sz w:val="20"/>
          <w:szCs w:val="20"/>
        </w:rPr>
        <w:t>)</w:t>
      </w:r>
      <w:r w:rsidRPr="00970766">
        <w:rPr>
          <w:rFonts w:ascii="Arial" w:hAnsi="Arial" w:cs="Arial"/>
          <w:spacing w:val="1"/>
          <w:sz w:val="20"/>
          <w:szCs w:val="20"/>
        </w:rPr>
        <w:t xml:space="preserve"> </w:t>
      </w:r>
      <w:r w:rsidRPr="00970766">
        <w:rPr>
          <w:rFonts w:ascii="Arial" w:hAnsi="Arial" w:cs="Arial"/>
          <w:sz w:val="20"/>
          <w:szCs w:val="20"/>
        </w:rPr>
        <w:t>permet</w:t>
      </w:r>
      <w:r w:rsidRPr="00970766">
        <w:rPr>
          <w:rFonts w:ascii="Arial" w:hAnsi="Arial" w:cs="Arial"/>
          <w:spacing w:val="1"/>
          <w:sz w:val="20"/>
          <w:szCs w:val="20"/>
        </w:rPr>
        <w:t xml:space="preserve"> </w:t>
      </w:r>
      <w:r w:rsidRPr="00970766">
        <w:rPr>
          <w:rFonts w:ascii="Arial" w:hAnsi="Arial" w:cs="Arial"/>
          <w:sz w:val="20"/>
          <w:szCs w:val="20"/>
        </w:rPr>
        <w:t>de</w:t>
      </w:r>
      <w:r w:rsidRPr="00970766">
        <w:rPr>
          <w:rFonts w:ascii="Arial" w:hAnsi="Arial" w:cs="Arial"/>
          <w:spacing w:val="1"/>
          <w:sz w:val="20"/>
          <w:szCs w:val="20"/>
        </w:rPr>
        <w:t xml:space="preserve"> </w:t>
      </w:r>
      <w:r w:rsidRPr="00970766">
        <w:rPr>
          <w:rFonts w:ascii="Arial" w:hAnsi="Arial" w:cs="Arial"/>
          <w:sz w:val="20"/>
          <w:szCs w:val="20"/>
        </w:rPr>
        <w:t>sécuriser</w:t>
      </w:r>
      <w:r w:rsidRPr="00970766">
        <w:rPr>
          <w:rFonts w:ascii="Arial" w:hAnsi="Arial" w:cs="Arial"/>
          <w:spacing w:val="1"/>
          <w:sz w:val="20"/>
          <w:szCs w:val="20"/>
        </w:rPr>
        <w:t xml:space="preserve"> </w:t>
      </w:r>
      <w:r w:rsidR="00881A44" w:rsidRPr="00970766">
        <w:rPr>
          <w:rFonts w:ascii="Arial" w:hAnsi="Arial" w:cs="Arial"/>
          <w:sz w:val="20"/>
          <w:szCs w:val="20"/>
        </w:rPr>
        <w:t xml:space="preserve">la </w:t>
      </w:r>
      <w:r w:rsidR="00881A44" w:rsidRPr="00970766">
        <w:rPr>
          <w:rFonts w:ascii="Arial" w:hAnsi="Arial" w:cs="Arial"/>
          <w:spacing w:val="-57"/>
          <w:sz w:val="20"/>
          <w:szCs w:val="20"/>
        </w:rPr>
        <w:t xml:space="preserve"> </w:t>
      </w:r>
      <w:r w:rsidRPr="00970766">
        <w:rPr>
          <w:rFonts w:ascii="Arial" w:hAnsi="Arial" w:cs="Arial"/>
          <w:sz w:val="20"/>
          <w:szCs w:val="20"/>
        </w:rPr>
        <w:t>prescription d’un médicament dans une indication thérapeutique non conforme à</w:t>
      </w:r>
      <w:r w:rsidR="00881A44" w:rsidRPr="00970766">
        <w:rPr>
          <w:rFonts w:ascii="Arial" w:hAnsi="Arial" w:cs="Arial"/>
          <w:sz w:val="20"/>
          <w:szCs w:val="20"/>
        </w:rPr>
        <w:t xml:space="preserve"> </w:t>
      </w:r>
      <w:r w:rsidRPr="00970766">
        <w:rPr>
          <w:rFonts w:ascii="Arial" w:hAnsi="Arial" w:cs="Arial"/>
          <w:sz w:val="20"/>
          <w:szCs w:val="20"/>
        </w:rPr>
        <w:t>son autorisation de mise sur le marché (AMM)</w:t>
      </w:r>
      <w:r w:rsidR="00881A44" w:rsidRPr="00970766">
        <w:rPr>
          <w:rFonts w:ascii="Arial" w:hAnsi="Arial" w:cs="Arial"/>
          <w:sz w:val="20"/>
          <w:szCs w:val="20"/>
        </w:rPr>
        <w:t>.</w:t>
      </w:r>
    </w:p>
    <w:p w14:paraId="0F5B73FA" w14:textId="77777777" w:rsidR="009135AC" w:rsidRPr="00970766" w:rsidRDefault="00881A44" w:rsidP="009135AC">
      <w:pPr>
        <w:ind w:right="261"/>
        <w:jc w:val="both"/>
        <w:rPr>
          <w:rFonts w:ascii="Arial" w:hAnsi="Arial" w:cs="Arial"/>
          <w:sz w:val="20"/>
          <w:szCs w:val="20"/>
        </w:rPr>
      </w:pPr>
      <w:r w:rsidRPr="00970766">
        <w:rPr>
          <w:rFonts w:ascii="Arial" w:hAnsi="Arial" w:cs="Arial"/>
          <w:sz w:val="20"/>
          <w:szCs w:val="20"/>
        </w:rPr>
        <w:t>Il</w:t>
      </w:r>
      <w:r w:rsidR="000A23A2" w:rsidRPr="00970766">
        <w:rPr>
          <w:rFonts w:ascii="Arial" w:hAnsi="Arial" w:cs="Arial"/>
          <w:sz w:val="20"/>
          <w:szCs w:val="20"/>
        </w:rPr>
        <w:t xml:space="preserve"> répond à un besoin thérapeutique non couvert, dès lors que le rapport bénéfice/risque de ce</w:t>
      </w:r>
      <w:r w:rsidR="000A23A2" w:rsidRPr="00970766">
        <w:rPr>
          <w:rFonts w:ascii="Arial" w:hAnsi="Arial" w:cs="Arial"/>
          <w:spacing w:val="1"/>
          <w:sz w:val="20"/>
          <w:szCs w:val="20"/>
        </w:rPr>
        <w:t xml:space="preserve"> </w:t>
      </w:r>
      <w:r w:rsidR="000A23A2" w:rsidRPr="00970766">
        <w:rPr>
          <w:rFonts w:ascii="Arial" w:hAnsi="Arial" w:cs="Arial"/>
          <w:sz w:val="20"/>
          <w:szCs w:val="20"/>
        </w:rPr>
        <w:t xml:space="preserve">médicament dans cette indication est présumé favorable par l’Agence nationale de sécurité du médicament et des produits de santé (ANSM). </w:t>
      </w:r>
    </w:p>
    <w:p w14:paraId="427CFF75" w14:textId="4296668F" w:rsidR="009135AC" w:rsidRPr="00970766" w:rsidRDefault="009135AC" w:rsidP="009135AC">
      <w:pPr>
        <w:ind w:right="96"/>
        <w:jc w:val="both"/>
        <w:rPr>
          <w:rFonts w:ascii="Arial" w:eastAsia="Calibri" w:hAnsi="Arial" w:cs="Arial"/>
          <w:bCs/>
          <w:sz w:val="20"/>
        </w:rPr>
      </w:pPr>
      <w:r w:rsidRPr="00970766">
        <w:rPr>
          <w:rFonts w:ascii="Arial" w:eastAsia="Calibri" w:hAnsi="Arial" w:cs="Arial"/>
          <w:sz w:val="20"/>
          <w:lang w:eastAsia="fr-FR"/>
        </w:rPr>
        <w:t xml:space="preserve">Dans ce cadre, </w:t>
      </w:r>
      <w:r w:rsidR="00570EDE" w:rsidRPr="00970766">
        <w:rPr>
          <w:rFonts w:ascii="Arial" w:eastAsia="Calibri" w:hAnsi="Arial" w:cs="Arial"/>
          <w:sz w:val="20"/>
        </w:rPr>
        <w:t>BOTOX</w:t>
      </w:r>
      <w:r w:rsidRPr="00970766">
        <w:rPr>
          <w:rFonts w:ascii="Arial" w:eastAsia="Calibri" w:hAnsi="Arial" w:cs="Arial"/>
          <w:sz w:val="20"/>
          <w:vertAlign w:val="superscript"/>
        </w:rPr>
        <w:t xml:space="preserve"> </w:t>
      </w:r>
      <w:r w:rsidRPr="00970766">
        <w:rPr>
          <w:rFonts w:ascii="Arial" w:eastAsia="Calibri" w:hAnsi="Arial" w:cs="Arial"/>
          <w:sz w:val="20"/>
        </w:rPr>
        <w:t>est disponible pour l</w:t>
      </w:r>
      <w:r w:rsidR="000F2ABF" w:rsidRPr="00970766">
        <w:rPr>
          <w:rFonts w:ascii="Arial" w:eastAsia="Calibri" w:hAnsi="Arial" w:cs="Arial"/>
          <w:bCs/>
          <w:sz w:val="20"/>
        </w:rPr>
        <w:t xml:space="preserve">e </w:t>
      </w:r>
      <w:r w:rsidR="000F2ABF" w:rsidRPr="00970766">
        <w:rPr>
          <w:rFonts w:ascii="Arial" w:eastAsia="Calibri" w:hAnsi="Arial" w:cs="Arial"/>
          <w:b/>
          <w:bCs/>
          <w:sz w:val="20"/>
        </w:rPr>
        <w:t>traitement</w:t>
      </w:r>
      <w:r w:rsidR="000F2ABF" w:rsidRPr="00970766">
        <w:rPr>
          <w:b/>
        </w:rPr>
        <w:t xml:space="preserve"> </w:t>
      </w:r>
      <w:r w:rsidR="000F2ABF" w:rsidRPr="00970766">
        <w:rPr>
          <w:rFonts w:ascii="Arial" w:eastAsia="Calibri" w:hAnsi="Arial" w:cs="Arial"/>
          <w:b/>
          <w:bCs/>
          <w:sz w:val="20"/>
        </w:rPr>
        <w:t>de la douleur neuropathique périphérique chronique (depuis au moins 6 mois) bien localisée (surface ≤ 240 cm²) en tant que traitement adjuvant chez les patients adultes insuffisamment soulagés ou réfractaires aux autres traitements</w:t>
      </w:r>
      <w:r w:rsidR="000F2ABF" w:rsidRPr="00970766">
        <w:rPr>
          <w:rFonts w:ascii="Arial" w:eastAsia="Calibri" w:hAnsi="Arial" w:cs="Arial"/>
          <w:bCs/>
          <w:sz w:val="20"/>
        </w:rPr>
        <w:t>.</w:t>
      </w:r>
    </w:p>
    <w:p w14:paraId="506109D7" w14:textId="4BDFBCA5" w:rsidR="00F53133" w:rsidRPr="00970766" w:rsidRDefault="00F53133" w:rsidP="009135AC">
      <w:pPr>
        <w:ind w:right="96"/>
        <w:jc w:val="both"/>
        <w:rPr>
          <w:rFonts w:ascii="Arial" w:eastAsia="Calibri" w:hAnsi="Arial" w:cs="Arial"/>
          <w:lang w:eastAsia="fr-FR"/>
        </w:rPr>
      </w:pPr>
      <w:r w:rsidRPr="00970766">
        <w:rPr>
          <w:rFonts w:ascii="Arial" w:hAnsi="Arial" w:cs="Arial"/>
          <w:sz w:val="20"/>
          <w:szCs w:val="20"/>
        </w:rPr>
        <w:t>Le médecin de l’hôpital évaluera votre état clinique avant l’initiation du traitement puis lors de visites périodiques après le début du traitement. Un à deux mois après la deuxième administration de BOTOX, une visite permettra de déterminer si le traitement est efficace dans votre situation et s’il est justifié de le poursuivre. En cas de poursuite du traitement au-delà de deux administrations, un suivi régulier sera maintenu par la suite et permettra d’évaluer le maintien du rapport bénéfice/risque dans votre situation.</w:t>
      </w:r>
    </w:p>
    <w:p w14:paraId="35C34AE2" w14:textId="0FC67115" w:rsidR="008862A9" w:rsidRPr="00970766" w:rsidRDefault="009135AC" w:rsidP="00565C7B">
      <w:pPr>
        <w:ind w:right="260"/>
        <w:jc w:val="both"/>
        <w:rPr>
          <w:rFonts w:ascii="Arial" w:hAnsi="Arial" w:cs="Arial"/>
          <w:i/>
          <w:sz w:val="20"/>
          <w:szCs w:val="20"/>
        </w:rPr>
      </w:pPr>
      <w:r w:rsidRPr="00970766">
        <w:rPr>
          <w:rFonts w:ascii="Arial" w:hAnsi="Arial" w:cs="Arial"/>
          <w:sz w:val="20"/>
          <w:szCs w:val="20"/>
        </w:rPr>
        <w:t xml:space="preserve">L’utilisation de </w:t>
      </w:r>
      <w:r w:rsidR="00570EDE" w:rsidRPr="00970766">
        <w:rPr>
          <w:rFonts w:ascii="Arial" w:hAnsi="Arial" w:cs="Arial"/>
          <w:sz w:val="20"/>
          <w:szCs w:val="20"/>
        </w:rPr>
        <w:t>BOTOX</w:t>
      </w:r>
      <w:r w:rsidRPr="00970766">
        <w:rPr>
          <w:rFonts w:ascii="Arial" w:hAnsi="Arial" w:cs="Arial"/>
          <w:sz w:val="20"/>
          <w:szCs w:val="20"/>
        </w:rPr>
        <w:t xml:space="preserve"> et la surveillance de tous les patients traités se fait en conformité avec le protocole </w:t>
      </w:r>
      <w:r w:rsidR="00AC7AE3" w:rsidRPr="00970766">
        <w:rPr>
          <w:rFonts w:ascii="Arial" w:hAnsi="Arial" w:cs="Arial"/>
          <w:sz w:val="20"/>
          <w:szCs w:val="20"/>
        </w:rPr>
        <w:t xml:space="preserve">d’utilisation thérapeutique et </w:t>
      </w:r>
      <w:r w:rsidRPr="00970766">
        <w:rPr>
          <w:rFonts w:ascii="Arial" w:hAnsi="Arial" w:cs="Arial"/>
          <w:sz w:val="20"/>
          <w:szCs w:val="20"/>
        </w:rPr>
        <w:t xml:space="preserve">de suivi </w:t>
      </w:r>
      <w:r w:rsidR="00881A44" w:rsidRPr="00970766">
        <w:rPr>
          <w:rFonts w:ascii="Arial" w:hAnsi="Arial" w:cs="Arial"/>
          <w:sz w:val="20"/>
          <w:szCs w:val="20"/>
        </w:rPr>
        <w:t xml:space="preserve">des patients </w:t>
      </w:r>
      <w:r w:rsidRPr="00970766">
        <w:rPr>
          <w:rFonts w:ascii="Arial" w:hAnsi="Arial" w:cs="Arial"/>
          <w:sz w:val="20"/>
          <w:szCs w:val="20"/>
        </w:rPr>
        <w:t xml:space="preserve">validé par l’ANSM. Les données concernant les patients traités dans ce contexte seront collectées et feront l’objet de rapports </w:t>
      </w:r>
      <w:r w:rsidR="00881A44" w:rsidRPr="00970766">
        <w:rPr>
          <w:rFonts w:ascii="Arial" w:hAnsi="Arial" w:cs="Arial"/>
          <w:sz w:val="20"/>
          <w:szCs w:val="20"/>
        </w:rPr>
        <w:t xml:space="preserve">envoyés </w:t>
      </w:r>
      <w:r w:rsidRPr="00970766">
        <w:rPr>
          <w:rFonts w:ascii="Arial" w:hAnsi="Arial" w:cs="Arial"/>
          <w:sz w:val="20"/>
          <w:szCs w:val="20"/>
        </w:rPr>
        <w:t xml:space="preserve">à l’ANSM, qui assure une surveillance nationale de l’utilisation de </w:t>
      </w:r>
      <w:r w:rsidR="00570EDE" w:rsidRPr="00970766">
        <w:rPr>
          <w:rFonts w:ascii="Arial" w:hAnsi="Arial" w:cs="Arial"/>
          <w:sz w:val="20"/>
          <w:szCs w:val="20"/>
        </w:rPr>
        <w:t>BOTOX</w:t>
      </w:r>
      <w:r w:rsidRPr="00970766">
        <w:rPr>
          <w:rFonts w:ascii="Arial" w:hAnsi="Arial" w:cs="Arial"/>
          <w:sz w:val="20"/>
          <w:szCs w:val="20"/>
        </w:rPr>
        <w:t xml:space="preserve"> en collaboration avec </w:t>
      </w:r>
      <w:r w:rsidRPr="00561364">
        <w:rPr>
          <w:rFonts w:ascii="Arial" w:hAnsi="Arial" w:cs="Arial"/>
          <w:sz w:val="20"/>
          <w:szCs w:val="20"/>
        </w:rPr>
        <w:t xml:space="preserve">le Centre Régional de </w:t>
      </w:r>
      <w:r w:rsidR="00561364" w:rsidRPr="00561364">
        <w:rPr>
          <w:rFonts w:ascii="Arial" w:hAnsi="Arial" w:cs="Arial"/>
          <w:sz w:val="20"/>
          <w:szCs w:val="20"/>
        </w:rPr>
        <w:t>Pharmacovigilance (CRPV) de Strasbourg</w:t>
      </w:r>
      <w:r w:rsidRPr="00561364">
        <w:rPr>
          <w:rFonts w:ascii="Arial" w:hAnsi="Arial" w:cs="Arial"/>
          <w:sz w:val="20"/>
          <w:szCs w:val="20"/>
        </w:rPr>
        <w:t xml:space="preserve"> e</w:t>
      </w:r>
      <w:r w:rsidRPr="00970766">
        <w:rPr>
          <w:rFonts w:ascii="Arial" w:hAnsi="Arial" w:cs="Arial"/>
          <w:sz w:val="20"/>
          <w:szCs w:val="20"/>
        </w:rPr>
        <w:t>n charge du suivi national</w:t>
      </w:r>
      <w:r w:rsidR="009E1359" w:rsidRPr="00970766">
        <w:rPr>
          <w:rFonts w:ascii="Arial" w:hAnsi="Arial" w:cs="Arial"/>
          <w:sz w:val="20"/>
          <w:szCs w:val="20"/>
        </w:rPr>
        <w:t xml:space="preserve">. </w:t>
      </w:r>
      <w:r w:rsidRPr="00970766">
        <w:rPr>
          <w:rFonts w:ascii="Arial" w:hAnsi="Arial" w:cs="Arial"/>
          <w:sz w:val="20"/>
          <w:szCs w:val="20"/>
        </w:rPr>
        <w:t>Un résumé de ces rapports sera périodiquement publié par l’ANSM sur son site internet (</w:t>
      </w:r>
      <w:hyperlink r:id="rId55" w:history="1">
        <w:r w:rsidR="00346451" w:rsidRPr="00970766">
          <w:rPr>
            <w:rStyle w:val="Lienhypertexte"/>
            <w:rFonts w:ascii="Arial" w:hAnsi="Arial" w:cs="Arial"/>
            <w:sz w:val="20"/>
            <w:szCs w:val="20"/>
          </w:rPr>
          <w:t>www.ansm.sante.fr</w:t>
        </w:r>
      </w:hyperlink>
      <w:r w:rsidRPr="00970766">
        <w:rPr>
          <w:rFonts w:ascii="Arial" w:hAnsi="Arial" w:cs="Arial"/>
          <w:sz w:val="20"/>
          <w:szCs w:val="20"/>
        </w:rPr>
        <w:t>).</w:t>
      </w:r>
      <w:r w:rsidR="008D4899" w:rsidRPr="00970766">
        <w:rPr>
          <w:rFonts w:ascii="Arial" w:hAnsi="Arial" w:cs="Arial"/>
          <w:sz w:val="20"/>
          <w:szCs w:val="20"/>
        </w:rPr>
        <w:t xml:space="preserve"> Celui</w:t>
      </w:r>
      <w:r w:rsidR="00524142" w:rsidRPr="00970766">
        <w:rPr>
          <w:rFonts w:ascii="Arial" w:hAnsi="Arial" w:cs="Arial"/>
          <w:sz w:val="20"/>
          <w:szCs w:val="20"/>
        </w:rPr>
        <w:t>-ci</w:t>
      </w:r>
      <w:r w:rsidR="008D4899" w:rsidRPr="00970766">
        <w:rPr>
          <w:rFonts w:ascii="Arial" w:hAnsi="Arial" w:cs="Arial"/>
          <w:sz w:val="20"/>
          <w:szCs w:val="20"/>
        </w:rPr>
        <w:t xml:space="preserve"> ne comporte aucune donnée personnelle</w:t>
      </w:r>
      <w:r w:rsidR="00D80CD5" w:rsidRPr="00970766">
        <w:rPr>
          <w:rFonts w:ascii="Arial" w:hAnsi="Arial" w:cs="Arial"/>
          <w:sz w:val="20"/>
          <w:szCs w:val="20"/>
        </w:rPr>
        <w:t>.</w:t>
      </w:r>
    </w:p>
    <w:p w14:paraId="201C8869" w14:textId="77777777" w:rsidR="001357A0" w:rsidRDefault="001357A0" w:rsidP="009135AC">
      <w:pPr>
        <w:spacing w:line="360" w:lineRule="auto"/>
        <w:ind w:right="260"/>
        <w:jc w:val="both"/>
        <w:rPr>
          <w:rFonts w:ascii="Arial" w:eastAsia="Calibri" w:hAnsi="Arial" w:cs="Arial"/>
          <w:b/>
          <w:bCs/>
          <w:sz w:val="20"/>
          <w:lang w:eastAsia="fr-FR"/>
        </w:rPr>
      </w:pPr>
    </w:p>
    <w:p w14:paraId="01A9E27D" w14:textId="4AECEA13" w:rsidR="009135AC" w:rsidRPr="00970766" w:rsidRDefault="009135AC" w:rsidP="009135AC">
      <w:pPr>
        <w:spacing w:line="360" w:lineRule="auto"/>
        <w:ind w:right="260"/>
        <w:jc w:val="both"/>
        <w:rPr>
          <w:rFonts w:ascii="Arial" w:eastAsia="Calibri" w:hAnsi="Arial" w:cs="Arial"/>
          <w:b/>
          <w:bCs/>
          <w:sz w:val="20"/>
          <w:lang w:eastAsia="fr-FR"/>
        </w:rPr>
      </w:pPr>
      <w:r w:rsidRPr="00970766">
        <w:rPr>
          <w:rFonts w:ascii="Arial" w:eastAsia="Calibri" w:hAnsi="Arial" w:cs="Arial"/>
          <w:b/>
          <w:bCs/>
          <w:sz w:val="20"/>
          <w:lang w:eastAsia="fr-FR"/>
        </w:rPr>
        <w:lastRenderedPageBreak/>
        <w:t xml:space="preserve">Informations sur </w:t>
      </w:r>
      <w:r w:rsidR="00570EDE" w:rsidRPr="00970766">
        <w:rPr>
          <w:rFonts w:ascii="Arial" w:eastAsia="Calibri" w:hAnsi="Arial" w:cs="Arial"/>
          <w:b/>
          <w:bCs/>
          <w:sz w:val="20"/>
          <w:lang w:eastAsia="fr-FR"/>
        </w:rPr>
        <w:t>BOTOX</w:t>
      </w:r>
    </w:p>
    <w:p w14:paraId="6D628DAE" w14:textId="7DDCC49F" w:rsidR="005E4E1E" w:rsidRPr="00970766" w:rsidRDefault="00570EDE" w:rsidP="005E4E1E">
      <w:pPr>
        <w:pStyle w:val="Default"/>
        <w:jc w:val="both"/>
        <w:rPr>
          <w:rFonts w:ascii="Arial" w:hAnsi="Arial" w:cs="Arial"/>
          <w:color w:val="auto"/>
          <w:sz w:val="20"/>
          <w:szCs w:val="20"/>
        </w:rPr>
      </w:pPr>
      <w:r w:rsidRPr="00970766">
        <w:rPr>
          <w:rFonts w:ascii="Arial" w:hAnsi="Arial" w:cs="Arial"/>
          <w:color w:val="auto"/>
          <w:sz w:val="20"/>
          <w:szCs w:val="20"/>
        </w:rPr>
        <w:t>BOTOX</w:t>
      </w:r>
      <w:r w:rsidR="005E4E1E" w:rsidRPr="00970766">
        <w:rPr>
          <w:rFonts w:ascii="Arial" w:hAnsi="Arial" w:cs="Arial"/>
          <w:color w:val="auto"/>
          <w:sz w:val="20"/>
          <w:szCs w:val="20"/>
        </w:rPr>
        <w:t xml:space="preserve"> dispose d’une AMM </w:t>
      </w:r>
      <w:r w:rsidR="00F53133" w:rsidRPr="00970766">
        <w:rPr>
          <w:rFonts w:ascii="Arial" w:hAnsi="Arial" w:cs="Arial"/>
          <w:sz w:val="20"/>
        </w:rPr>
        <w:t>dans les indications thérapeutiques suivantes :</w:t>
      </w:r>
    </w:p>
    <w:p w14:paraId="76D80A8B" w14:textId="7BF16D70" w:rsidR="00C4642F" w:rsidRPr="00C4642F" w:rsidRDefault="00C4642F" w:rsidP="00C4642F">
      <w:pPr>
        <w:pStyle w:val="Corpsdetexte"/>
        <w:spacing w:before="118"/>
        <w:jc w:val="both"/>
        <w:rPr>
          <w:rFonts w:ascii="Arial" w:hAnsi="Arial" w:cs="Arial"/>
          <w:b/>
          <w:sz w:val="20"/>
          <w:lang w:eastAsia="fr-FR"/>
        </w:rPr>
      </w:pPr>
      <w:r w:rsidRPr="00C4642F">
        <w:rPr>
          <w:rFonts w:ascii="Arial" w:hAnsi="Arial" w:cs="Arial"/>
          <w:b/>
          <w:sz w:val="20"/>
          <w:lang w:eastAsia="fr-FR"/>
        </w:rPr>
        <w:t>Indications chez l’adulte :</w:t>
      </w:r>
    </w:p>
    <w:p w14:paraId="3F44F5B6" w14:textId="7800494F" w:rsidR="00C4642F" w:rsidRPr="00C4642F" w:rsidRDefault="00C4642F" w:rsidP="00C4642F">
      <w:pPr>
        <w:pStyle w:val="Corpsdetexte"/>
        <w:tabs>
          <w:tab w:val="left" w:pos="7938"/>
        </w:tabs>
        <w:spacing w:before="118"/>
        <w:jc w:val="both"/>
        <w:rPr>
          <w:rFonts w:ascii="Arial" w:hAnsi="Arial" w:cs="Arial"/>
          <w:sz w:val="20"/>
          <w:lang w:eastAsia="fr-FR"/>
        </w:rPr>
      </w:pPr>
      <w:r w:rsidRPr="00C4642F">
        <w:rPr>
          <w:rFonts w:ascii="Arial" w:hAnsi="Arial" w:cs="Arial"/>
          <w:sz w:val="20"/>
          <w:lang w:eastAsia="fr-FR"/>
        </w:rPr>
        <w:t>Troubles de la vessie :</w:t>
      </w:r>
    </w:p>
    <w:p w14:paraId="4D1F574A" w14:textId="094DF0B4" w:rsidR="00C4642F" w:rsidRPr="00C4642F" w:rsidRDefault="00C4642F" w:rsidP="00C4642F">
      <w:pPr>
        <w:pStyle w:val="Corpsdetexte"/>
        <w:tabs>
          <w:tab w:val="left" w:pos="7938"/>
        </w:tabs>
        <w:spacing w:before="118"/>
        <w:jc w:val="both"/>
        <w:rPr>
          <w:rFonts w:ascii="Arial" w:hAnsi="Arial" w:cs="Arial"/>
          <w:sz w:val="20"/>
          <w:lang w:eastAsia="fr-FR"/>
        </w:rPr>
      </w:pPr>
      <w:r w:rsidRPr="00C4642F">
        <w:rPr>
          <w:rFonts w:ascii="Arial" w:hAnsi="Arial" w:cs="Arial"/>
          <w:sz w:val="20"/>
          <w:lang w:eastAsia="fr-FR"/>
        </w:rPr>
        <w:t>Lorsqu’il est injecté dans la paroi de la vessie, BOTOX agit sur le muscle de la vessie pour réduire les fuites urinaires (incontinence urinaire) et contr</w:t>
      </w:r>
      <w:r>
        <w:rPr>
          <w:rFonts w:ascii="Arial" w:hAnsi="Arial" w:cs="Arial"/>
          <w:sz w:val="20"/>
          <w:lang w:eastAsia="fr-FR"/>
        </w:rPr>
        <w:t>ôler les situations suivantes :</w:t>
      </w:r>
    </w:p>
    <w:p w14:paraId="1B0BE17A" w14:textId="5B4ABF20" w:rsidR="00C4642F" w:rsidRPr="00C4642F" w:rsidRDefault="00C4642F" w:rsidP="00C4642F">
      <w:pPr>
        <w:pStyle w:val="Corpsdetexte"/>
        <w:numPr>
          <w:ilvl w:val="0"/>
          <w:numId w:val="30"/>
        </w:numPr>
        <w:tabs>
          <w:tab w:val="left" w:pos="7938"/>
        </w:tabs>
        <w:spacing w:before="118"/>
        <w:jc w:val="both"/>
        <w:rPr>
          <w:rFonts w:ascii="Arial" w:hAnsi="Arial" w:cs="Arial"/>
          <w:sz w:val="20"/>
          <w:lang w:eastAsia="fr-FR"/>
        </w:rPr>
      </w:pPr>
      <w:r w:rsidRPr="00C4642F">
        <w:rPr>
          <w:rFonts w:ascii="Arial" w:hAnsi="Arial" w:cs="Arial"/>
          <w:sz w:val="20"/>
          <w:lang w:eastAsia="fr-FR"/>
        </w:rPr>
        <w:t xml:space="preserve">Hyperactivité vésicale idiopathique avec fuites urinaires (3 épisodes sur trois jours) : envie soudaine d’uriner et d’aller aux toilettes plus souvent que d’habitude (d’au moins 8 ou plus épisodes par jour) lorsqu’un traitement par un autre médicament (appelé </w:t>
      </w:r>
      <w:r>
        <w:rPr>
          <w:rFonts w:ascii="Arial" w:hAnsi="Arial" w:cs="Arial"/>
          <w:sz w:val="20"/>
          <w:lang w:eastAsia="fr-FR"/>
        </w:rPr>
        <w:t>anticholinergique) n’a pas agi.</w:t>
      </w:r>
    </w:p>
    <w:p w14:paraId="31D5B906" w14:textId="4205BEE7" w:rsidR="00C4642F" w:rsidRPr="00C4642F" w:rsidRDefault="00C4642F" w:rsidP="00C4642F">
      <w:pPr>
        <w:pStyle w:val="Corpsdetexte"/>
        <w:numPr>
          <w:ilvl w:val="0"/>
          <w:numId w:val="30"/>
        </w:numPr>
        <w:tabs>
          <w:tab w:val="left" w:pos="7938"/>
        </w:tabs>
        <w:spacing w:before="118"/>
        <w:jc w:val="both"/>
        <w:rPr>
          <w:rFonts w:ascii="Arial" w:hAnsi="Arial" w:cs="Arial"/>
          <w:sz w:val="20"/>
          <w:lang w:eastAsia="fr-FR"/>
        </w:rPr>
      </w:pPr>
      <w:r w:rsidRPr="00C4642F">
        <w:rPr>
          <w:rFonts w:ascii="Arial" w:hAnsi="Arial" w:cs="Arial"/>
          <w:sz w:val="20"/>
          <w:lang w:eastAsia="fr-FR"/>
        </w:rPr>
        <w:t>Hyperactivité vésicale due à des problèmes associés à une lésion de la moelle épinière ou à une sclérose en plaques, conduisant à des fuites urinaires (émission involontaire d’urine pendant la journée ou la nuit).</w:t>
      </w:r>
    </w:p>
    <w:p w14:paraId="6F27DB64" w14:textId="77777777" w:rsidR="00C4642F" w:rsidRPr="00C4642F" w:rsidRDefault="00C4642F" w:rsidP="00C4642F">
      <w:pPr>
        <w:pStyle w:val="Corpsdetexte"/>
        <w:tabs>
          <w:tab w:val="left" w:pos="7938"/>
        </w:tabs>
        <w:spacing w:before="118"/>
        <w:jc w:val="both"/>
        <w:rPr>
          <w:rFonts w:ascii="Arial" w:hAnsi="Arial" w:cs="Arial"/>
          <w:sz w:val="20"/>
          <w:lang w:eastAsia="fr-FR"/>
        </w:rPr>
      </w:pPr>
    </w:p>
    <w:p w14:paraId="31C22832" w14:textId="47F0D5E4" w:rsidR="00C4642F" w:rsidRPr="00C4642F" w:rsidRDefault="00C4642F" w:rsidP="00C4642F">
      <w:pPr>
        <w:pStyle w:val="Corpsdetexte"/>
        <w:tabs>
          <w:tab w:val="left" w:pos="7938"/>
        </w:tabs>
        <w:spacing w:before="118"/>
        <w:jc w:val="both"/>
        <w:rPr>
          <w:rFonts w:ascii="Arial" w:hAnsi="Arial" w:cs="Arial"/>
          <w:sz w:val="20"/>
          <w:lang w:eastAsia="fr-FR"/>
        </w:rPr>
      </w:pPr>
      <w:r>
        <w:rPr>
          <w:rFonts w:ascii="Arial" w:hAnsi="Arial" w:cs="Arial"/>
          <w:sz w:val="20"/>
          <w:lang w:eastAsia="fr-FR"/>
        </w:rPr>
        <w:t>Troubles neurologiques :</w:t>
      </w:r>
    </w:p>
    <w:p w14:paraId="33C8A296" w14:textId="55033B9F" w:rsidR="00C4642F" w:rsidRPr="00C4642F" w:rsidRDefault="00C4642F" w:rsidP="00C4642F">
      <w:pPr>
        <w:pStyle w:val="Corpsdetexte"/>
        <w:tabs>
          <w:tab w:val="left" w:pos="7938"/>
        </w:tabs>
        <w:spacing w:before="118"/>
        <w:jc w:val="both"/>
        <w:rPr>
          <w:rFonts w:ascii="Arial" w:hAnsi="Arial" w:cs="Arial"/>
          <w:sz w:val="20"/>
          <w:lang w:eastAsia="fr-FR"/>
        </w:rPr>
      </w:pPr>
      <w:r w:rsidRPr="00C4642F">
        <w:rPr>
          <w:rFonts w:ascii="Arial" w:hAnsi="Arial" w:cs="Arial"/>
          <w:sz w:val="20"/>
          <w:lang w:eastAsia="fr-FR"/>
        </w:rPr>
        <w:t>BOTOX est utilisé pour prévenir la migraine chronique chez les adultes qui ont eu des maux de tête pendant 15 jours ou plus par mois, dont au moins 8 jours de migraine et qui n'ont pas bien répondu aux autres médicaments préventif</w:t>
      </w:r>
      <w:r>
        <w:rPr>
          <w:rFonts w:ascii="Arial" w:hAnsi="Arial" w:cs="Arial"/>
          <w:sz w:val="20"/>
          <w:lang w:eastAsia="fr-FR"/>
        </w:rPr>
        <w:t>s contre la migraine.</w:t>
      </w:r>
    </w:p>
    <w:p w14:paraId="331214A2" w14:textId="77777777" w:rsidR="00C4642F" w:rsidRPr="00C4642F" w:rsidRDefault="00C4642F" w:rsidP="00C4642F">
      <w:pPr>
        <w:pStyle w:val="Corpsdetexte"/>
        <w:tabs>
          <w:tab w:val="left" w:pos="7938"/>
        </w:tabs>
        <w:spacing w:before="118"/>
        <w:jc w:val="both"/>
        <w:rPr>
          <w:rFonts w:ascii="Arial" w:hAnsi="Arial" w:cs="Arial"/>
          <w:sz w:val="20"/>
          <w:lang w:eastAsia="fr-FR"/>
        </w:rPr>
      </w:pPr>
      <w:r w:rsidRPr="00C4642F">
        <w:rPr>
          <w:rFonts w:ascii="Arial" w:hAnsi="Arial" w:cs="Arial"/>
          <w:sz w:val="20"/>
          <w:lang w:eastAsia="fr-FR"/>
        </w:rPr>
        <w:t>La migraine chronique est une maladie qui affecte le système nerveux. Les patients présentent généralement des maux de tête souvent associés à une sensibilité excessive à la lumière, aux sons forts ou aux odeurs, ainsi que de nausées et/ou de vomissements. Ces maux de tête surviennent au moins 15 jours par mois.</w:t>
      </w:r>
    </w:p>
    <w:p w14:paraId="57AE5C69" w14:textId="77777777" w:rsidR="00C4642F" w:rsidRPr="00C4642F" w:rsidRDefault="00C4642F" w:rsidP="00C4642F">
      <w:pPr>
        <w:pStyle w:val="Corpsdetexte"/>
        <w:tabs>
          <w:tab w:val="left" w:pos="7938"/>
        </w:tabs>
        <w:spacing w:before="118"/>
        <w:jc w:val="both"/>
        <w:rPr>
          <w:rFonts w:ascii="Arial" w:hAnsi="Arial" w:cs="Arial"/>
          <w:sz w:val="20"/>
          <w:lang w:eastAsia="fr-FR"/>
        </w:rPr>
      </w:pPr>
    </w:p>
    <w:p w14:paraId="69C293E3" w14:textId="146D4162" w:rsidR="00C4642F" w:rsidRPr="00C4642F" w:rsidRDefault="00C4642F" w:rsidP="00C4642F">
      <w:pPr>
        <w:pStyle w:val="Corpsdetexte"/>
        <w:tabs>
          <w:tab w:val="left" w:pos="7938"/>
        </w:tabs>
        <w:spacing w:before="118"/>
        <w:jc w:val="both"/>
        <w:rPr>
          <w:rFonts w:ascii="Arial" w:hAnsi="Arial" w:cs="Arial"/>
          <w:b/>
          <w:sz w:val="20"/>
          <w:lang w:eastAsia="fr-FR"/>
        </w:rPr>
      </w:pPr>
      <w:r w:rsidRPr="00C4642F">
        <w:rPr>
          <w:rFonts w:ascii="Arial" w:hAnsi="Arial" w:cs="Arial"/>
          <w:b/>
          <w:sz w:val="20"/>
          <w:lang w:eastAsia="fr-FR"/>
        </w:rPr>
        <w:t>Indications chez l'adulte et l'enfant de plus de 12 ans :</w:t>
      </w:r>
    </w:p>
    <w:p w14:paraId="53478EFB" w14:textId="3606D61D" w:rsidR="00C4642F" w:rsidRPr="00C4642F" w:rsidRDefault="00C4642F" w:rsidP="00C4642F">
      <w:pPr>
        <w:pStyle w:val="Corpsdetexte"/>
        <w:tabs>
          <w:tab w:val="left" w:pos="7938"/>
        </w:tabs>
        <w:spacing w:before="118"/>
        <w:jc w:val="both"/>
        <w:rPr>
          <w:rFonts w:ascii="Arial" w:hAnsi="Arial" w:cs="Arial"/>
          <w:sz w:val="20"/>
          <w:lang w:eastAsia="fr-FR"/>
        </w:rPr>
      </w:pPr>
      <w:r w:rsidRPr="00C4642F">
        <w:rPr>
          <w:rFonts w:ascii="Arial" w:hAnsi="Arial" w:cs="Arial"/>
          <w:sz w:val="20"/>
          <w:lang w:eastAsia="fr-FR"/>
        </w:rPr>
        <w:t>BOTOX peut être injecté directement dans les muscles pour contr</w:t>
      </w:r>
      <w:r>
        <w:rPr>
          <w:rFonts w:ascii="Arial" w:hAnsi="Arial" w:cs="Arial"/>
          <w:sz w:val="20"/>
          <w:lang w:eastAsia="fr-FR"/>
        </w:rPr>
        <w:t>ôler les situations suivantes :</w:t>
      </w:r>
    </w:p>
    <w:p w14:paraId="25DA50C8" w14:textId="242B4406" w:rsidR="00C4642F" w:rsidRPr="00C4642F" w:rsidRDefault="00C4642F" w:rsidP="00C4642F">
      <w:pPr>
        <w:pStyle w:val="Corpsdetexte"/>
        <w:numPr>
          <w:ilvl w:val="0"/>
          <w:numId w:val="31"/>
        </w:numPr>
        <w:tabs>
          <w:tab w:val="left" w:pos="7938"/>
        </w:tabs>
        <w:spacing w:before="118"/>
        <w:jc w:val="both"/>
        <w:rPr>
          <w:rFonts w:ascii="Arial" w:hAnsi="Arial" w:cs="Arial"/>
          <w:sz w:val="20"/>
          <w:lang w:eastAsia="fr-FR"/>
        </w:rPr>
      </w:pPr>
      <w:r w:rsidRPr="00C4642F">
        <w:rPr>
          <w:rFonts w:ascii="Arial" w:hAnsi="Arial" w:cs="Arial"/>
          <w:sz w:val="20"/>
          <w:lang w:eastAsia="fr-FR"/>
        </w:rPr>
        <w:t>spasmes musculaires persistants dans les muscles autour des yeux, des paupières et du visage, provoquant un strab</w:t>
      </w:r>
      <w:r>
        <w:rPr>
          <w:rFonts w:ascii="Arial" w:hAnsi="Arial" w:cs="Arial"/>
          <w:sz w:val="20"/>
          <w:lang w:eastAsia="fr-FR"/>
        </w:rPr>
        <w:t>isme ou des yeux qui louchent ;</w:t>
      </w:r>
    </w:p>
    <w:p w14:paraId="66989EBE" w14:textId="2ADD5620" w:rsidR="00C4642F" w:rsidRPr="00C4642F" w:rsidRDefault="00C4642F" w:rsidP="00C4642F">
      <w:pPr>
        <w:pStyle w:val="Corpsdetexte"/>
        <w:numPr>
          <w:ilvl w:val="0"/>
          <w:numId w:val="31"/>
        </w:numPr>
        <w:tabs>
          <w:tab w:val="left" w:pos="7938"/>
        </w:tabs>
        <w:spacing w:before="118"/>
        <w:jc w:val="both"/>
        <w:rPr>
          <w:rFonts w:ascii="Arial" w:hAnsi="Arial" w:cs="Arial"/>
          <w:sz w:val="20"/>
          <w:lang w:eastAsia="fr-FR"/>
        </w:rPr>
      </w:pPr>
      <w:r w:rsidRPr="00C4642F">
        <w:rPr>
          <w:rFonts w:ascii="Arial" w:hAnsi="Arial" w:cs="Arial"/>
          <w:sz w:val="20"/>
          <w:lang w:eastAsia="fr-FR"/>
        </w:rPr>
        <w:t>spasmes musculaires persistan</w:t>
      </w:r>
      <w:r>
        <w:rPr>
          <w:rFonts w:ascii="Arial" w:hAnsi="Arial" w:cs="Arial"/>
          <w:sz w:val="20"/>
          <w:lang w:eastAsia="fr-FR"/>
        </w:rPr>
        <w:t>ts des paupières et du visage ;</w:t>
      </w:r>
    </w:p>
    <w:p w14:paraId="080ED1E4" w14:textId="083DC918" w:rsidR="00C4642F" w:rsidRPr="00C4642F" w:rsidRDefault="00C4642F" w:rsidP="00C4642F">
      <w:pPr>
        <w:pStyle w:val="Corpsdetexte"/>
        <w:numPr>
          <w:ilvl w:val="0"/>
          <w:numId w:val="31"/>
        </w:numPr>
        <w:tabs>
          <w:tab w:val="left" w:pos="7938"/>
        </w:tabs>
        <w:spacing w:before="118"/>
        <w:jc w:val="both"/>
        <w:rPr>
          <w:rFonts w:ascii="Arial" w:hAnsi="Arial" w:cs="Arial"/>
          <w:sz w:val="20"/>
          <w:lang w:eastAsia="fr-FR"/>
        </w:rPr>
      </w:pPr>
      <w:r w:rsidRPr="00C4642F">
        <w:rPr>
          <w:rFonts w:ascii="Arial" w:hAnsi="Arial" w:cs="Arial"/>
          <w:sz w:val="20"/>
          <w:lang w:eastAsia="fr-FR"/>
        </w:rPr>
        <w:t>spasmes musculaires persistants dans le cou et les épaules.</w:t>
      </w:r>
    </w:p>
    <w:p w14:paraId="3B96DCC3" w14:textId="77777777" w:rsidR="00C4642F" w:rsidRPr="00C4642F" w:rsidRDefault="00C4642F" w:rsidP="00C4642F">
      <w:pPr>
        <w:pStyle w:val="Corpsdetexte"/>
        <w:tabs>
          <w:tab w:val="left" w:pos="7938"/>
        </w:tabs>
        <w:spacing w:before="118"/>
        <w:jc w:val="both"/>
        <w:rPr>
          <w:rFonts w:ascii="Arial" w:hAnsi="Arial" w:cs="Arial"/>
          <w:sz w:val="20"/>
          <w:lang w:eastAsia="fr-FR"/>
        </w:rPr>
      </w:pPr>
    </w:p>
    <w:p w14:paraId="25A002E0" w14:textId="77777777" w:rsidR="00C4642F" w:rsidRPr="00C4642F" w:rsidRDefault="00C4642F" w:rsidP="00C4642F">
      <w:pPr>
        <w:pStyle w:val="Corpsdetexte"/>
        <w:tabs>
          <w:tab w:val="left" w:pos="7938"/>
        </w:tabs>
        <w:spacing w:before="118"/>
        <w:jc w:val="both"/>
        <w:rPr>
          <w:rFonts w:ascii="Arial" w:hAnsi="Arial" w:cs="Arial"/>
          <w:sz w:val="20"/>
          <w:lang w:eastAsia="fr-FR"/>
        </w:rPr>
      </w:pPr>
      <w:r w:rsidRPr="00C4642F">
        <w:rPr>
          <w:rFonts w:ascii="Arial" w:hAnsi="Arial" w:cs="Arial"/>
          <w:sz w:val="20"/>
          <w:lang w:eastAsia="fr-FR"/>
        </w:rPr>
        <w:t>BOTOX peut être injecté profondément dans la peau et ainsi agir sur les glandes sudoripares pour réduire la transpiration excessive des aisselles ; symptômes pouvant perturber les activités quotidiennes lorsque les autres traitements locaux n’agissent pas.</w:t>
      </w:r>
    </w:p>
    <w:p w14:paraId="069B23A5" w14:textId="77777777" w:rsidR="00C4642F" w:rsidRPr="00C4642F" w:rsidRDefault="00C4642F" w:rsidP="00C4642F">
      <w:pPr>
        <w:pStyle w:val="Corpsdetexte"/>
        <w:tabs>
          <w:tab w:val="left" w:pos="7938"/>
        </w:tabs>
        <w:spacing w:before="118"/>
        <w:jc w:val="both"/>
        <w:rPr>
          <w:rFonts w:ascii="Arial" w:hAnsi="Arial" w:cs="Arial"/>
          <w:sz w:val="20"/>
          <w:lang w:eastAsia="fr-FR"/>
        </w:rPr>
      </w:pPr>
    </w:p>
    <w:p w14:paraId="5B60B05A" w14:textId="433ED839" w:rsidR="00C4642F" w:rsidRPr="00C4642F" w:rsidRDefault="00C4642F" w:rsidP="00C4642F">
      <w:pPr>
        <w:pStyle w:val="Corpsdetexte"/>
        <w:tabs>
          <w:tab w:val="left" w:pos="7938"/>
        </w:tabs>
        <w:spacing w:before="118"/>
        <w:jc w:val="both"/>
        <w:rPr>
          <w:rFonts w:ascii="Arial" w:hAnsi="Arial" w:cs="Arial"/>
          <w:b/>
          <w:sz w:val="20"/>
          <w:lang w:eastAsia="fr-FR"/>
        </w:rPr>
      </w:pPr>
      <w:r w:rsidRPr="00C4642F">
        <w:rPr>
          <w:rFonts w:ascii="Arial" w:hAnsi="Arial" w:cs="Arial"/>
          <w:b/>
          <w:sz w:val="20"/>
          <w:lang w:eastAsia="fr-FR"/>
        </w:rPr>
        <w:t>Indication chez l'adulte et l'enfant de 2 ans et plus :</w:t>
      </w:r>
    </w:p>
    <w:p w14:paraId="05EC720F" w14:textId="275A596B" w:rsidR="005E4E1E" w:rsidRPr="00C4642F" w:rsidRDefault="00C4642F" w:rsidP="00C4642F">
      <w:pPr>
        <w:pStyle w:val="Corpsdetexte"/>
        <w:tabs>
          <w:tab w:val="left" w:pos="9072"/>
        </w:tabs>
        <w:spacing w:before="118"/>
        <w:jc w:val="both"/>
        <w:rPr>
          <w:rFonts w:ascii="Arial" w:hAnsi="Arial" w:cs="Arial"/>
          <w:sz w:val="20"/>
          <w:highlight w:val="green"/>
          <w:lang w:eastAsia="fr-FR"/>
        </w:rPr>
      </w:pPr>
      <w:r w:rsidRPr="00C4642F">
        <w:rPr>
          <w:rFonts w:ascii="Arial" w:hAnsi="Arial" w:cs="Arial"/>
          <w:sz w:val="20"/>
          <w:lang w:eastAsia="fr-FR"/>
        </w:rPr>
        <w:t>BOTOX peut être injecté directement dans les muscles et ainsi contrôler les spasmes musculaires persistants dans les bras et/ou les jambes.</w:t>
      </w:r>
    </w:p>
    <w:p w14:paraId="5AE063DB" w14:textId="77777777" w:rsidR="00F53133" w:rsidRPr="00970766" w:rsidRDefault="00F53133" w:rsidP="00C4642F">
      <w:pPr>
        <w:pStyle w:val="Corpsdetexte"/>
        <w:spacing w:before="118"/>
        <w:jc w:val="both"/>
        <w:rPr>
          <w:rFonts w:ascii="Arial" w:hAnsi="Arial" w:cs="Arial"/>
          <w:sz w:val="20"/>
          <w:highlight w:val="green"/>
          <w:lang w:eastAsia="fr-FR"/>
        </w:rPr>
      </w:pPr>
    </w:p>
    <w:p w14:paraId="6D63A5CE" w14:textId="19701348" w:rsidR="005E4E1E" w:rsidRPr="00970766" w:rsidRDefault="005E4E1E" w:rsidP="00C4642F">
      <w:pPr>
        <w:pStyle w:val="Corpsdetexte"/>
        <w:tabs>
          <w:tab w:val="left" w:pos="9072"/>
        </w:tabs>
        <w:spacing w:after="160" w:line="259" w:lineRule="auto"/>
        <w:jc w:val="both"/>
        <w:rPr>
          <w:rFonts w:ascii="Arial" w:hAnsi="Arial" w:cs="Arial"/>
          <w:sz w:val="20"/>
          <w:szCs w:val="20"/>
        </w:rPr>
      </w:pPr>
      <w:r w:rsidRPr="00970766">
        <w:rPr>
          <w:rFonts w:ascii="Arial" w:hAnsi="Arial" w:cs="Arial"/>
          <w:sz w:val="20"/>
          <w:lang w:eastAsia="fr-FR"/>
        </w:rPr>
        <w:t xml:space="preserve">Il est important de noter que, contrairement à une utilisation conforme à son AMM, la sécurité et l’efficacité de </w:t>
      </w:r>
      <w:r w:rsidR="00570EDE" w:rsidRPr="00970766">
        <w:rPr>
          <w:rFonts w:ascii="Arial" w:hAnsi="Arial" w:cs="Arial"/>
          <w:sz w:val="20"/>
          <w:lang w:eastAsia="fr-FR"/>
        </w:rPr>
        <w:t>BOTOX</w:t>
      </w:r>
      <w:r w:rsidRPr="00970766">
        <w:rPr>
          <w:rFonts w:ascii="Arial" w:hAnsi="Arial" w:cs="Arial"/>
          <w:sz w:val="20"/>
          <w:lang w:eastAsia="fr-FR"/>
        </w:rPr>
        <w:t xml:space="preserve"> </w:t>
      </w:r>
      <w:r w:rsidRPr="00970766">
        <w:rPr>
          <w:rFonts w:ascii="Arial" w:eastAsia="Calibri" w:hAnsi="Arial" w:cs="Arial"/>
          <w:bCs/>
          <w:sz w:val="20"/>
          <w:szCs w:val="22"/>
        </w:rPr>
        <w:t>dans la situation du CPC,</w:t>
      </w:r>
      <w:r w:rsidRPr="00970766">
        <w:rPr>
          <w:rFonts w:ascii="Arial" w:hAnsi="Arial" w:cs="Arial"/>
          <w:sz w:val="20"/>
          <w:lang w:eastAsia="fr-FR"/>
        </w:rPr>
        <w:t xml:space="preserve"> sont seulement présumées à ce jour.</w:t>
      </w:r>
      <w:r w:rsidR="00DF01A2" w:rsidRPr="00970766">
        <w:rPr>
          <w:rFonts w:ascii="Arial" w:hAnsi="Arial" w:cs="Arial"/>
          <w:sz w:val="20"/>
          <w:lang w:eastAsia="fr-FR"/>
        </w:rPr>
        <w:t xml:space="preserve"> </w:t>
      </w:r>
      <w:r w:rsidRPr="00970766">
        <w:rPr>
          <w:rFonts w:ascii="Arial" w:hAnsi="Arial" w:cs="Arial"/>
          <w:sz w:val="20"/>
          <w:szCs w:val="20"/>
        </w:rPr>
        <w:t>Le but de ce CPC est de vous permettre de</w:t>
      </w:r>
      <w:r w:rsidRPr="00970766">
        <w:rPr>
          <w:rFonts w:ascii="Arial" w:hAnsi="Arial" w:cs="Arial"/>
          <w:spacing w:val="1"/>
          <w:sz w:val="20"/>
          <w:szCs w:val="20"/>
        </w:rPr>
        <w:t xml:space="preserve"> </w:t>
      </w:r>
      <w:r w:rsidRPr="00970766">
        <w:rPr>
          <w:rFonts w:ascii="Arial" w:hAnsi="Arial" w:cs="Arial"/>
          <w:sz w:val="20"/>
          <w:szCs w:val="20"/>
        </w:rPr>
        <w:t xml:space="preserve">bénéficier de ce traitement en faisant l'objet d'un suivi particulier au cours duquel des données </w:t>
      </w:r>
      <w:r w:rsidRPr="00970766">
        <w:rPr>
          <w:rFonts w:ascii="Arial" w:hAnsi="Arial" w:cs="Arial"/>
          <w:spacing w:val="-57"/>
          <w:sz w:val="20"/>
          <w:szCs w:val="20"/>
        </w:rPr>
        <w:t xml:space="preserve">   </w:t>
      </w:r>
      <w:r w:rsidRPr="00970766">
        <w:rPr>
          <w:rFonts w:ascii="Arial" w:hAnsi="Arial" w:cs="Arial"/>
          <w:sz w:val="20"/>
          <w:szCs w:val="20"/>
        </w:rPr>
        <w:t>personnelles seront collectées</w:t>
      </w:r>
      <w:r w:rsidR="005B519A" w:rsidRPr="00970766">
        <w:rPr>
          <w:rFonts w:ascii="Arial" w:hAnsi="Arial" w:cs="Arial"/>
          <w:sz w:val="20"/>
          <w:szCs w:val="20"/>
        </w:rPr>
        <w:t xml:space="preserve"> (</w:t>
      </w:r>
      <w:r w:rsidR="00785084">
        <w:rPr>
          <w:rFonts w:ascii="Arial" w:hAnsi="Arial" w:cs="Arial"/>
          <w:sz w:val="20"/>
          <w:szCs w:val="20"/>
        </w:rPr>
        <w:t>A</w:t>
      </w:r>
      <w:r w:rsidR="005B519A" w:rsidRPr="00970766">
        <w:rPr>
          <w:rFonts w:ascii="Arial" w:hAnsi="Arial" w:cs="Arial"/>
          <w:sz w:val="20"/>
          <w:szCs w:val="20"/>
        </w:rPr>
        <w:t>nnexe 4</w:t>
      </w:r>
      <w:r w:rsidR="00DB310C">
        <w:rPr>
          <w:rFonts w:ascii="Arial" w:hAnsi="Arial" w:cs="Arial"/>
          <w:sz w:val="20"/>
          <w:szCs w:val="20"/>
        </w:rPr>
        <w:t>.1</w:t>
      </w:r>
      <w:r w:rsidR="005B519A" w:rsidRPr="00970766">
        <w:rPr>
          <w:rFonts w:ascii="Arial" w:hAnsi="Arial" w:cs="Arial"/>
          <w:sz w:val="20"/>
          <w:szCs w:val="20"/>
        </w:rPr>
        <w:t>)</w:t>
      </w:r>
      <w:r w:rsidRPr="00970766">
        <w:rPr>
          <w:rFonts w:ascii="Arial" w:hAnsi="Arial" w:cs="Arial"/>
          <w:sz w:val="20"/>
          <w:szCs w:val="20"/>
        </w:rPr>
        <w:t>.</w:t>
      </w:r>
      <w:r w:rsidRPr="00970766">
        <w:rPr>
          <w:rFonts w:ascii="Arial" w:hAnsi="Arial" w:cs="Arial"/>
          <w:spacing w:val="1"/>
          <w:sz w:val="20"/>
          <w:szCs w:val="20"/>
        </w:rPr>
        <w:t xml:space="preserve"> </w:t>
      </w:r>
      <w:r w:rsidRPr="00970766">
        <w:rPr>
          <w:rFonts w:ascii="Arial" w:hAnsi="Arial" w:cs="Arial"/>
          <w:sz w:val="20"/>
          <w:szCs w:val="20"/>
        </w:rPr>
        <w:t>Toutes ces données</w:t>
      </w:r>
      <w:r w:rsidRPr="00970766">
        <w:rPr>
          <w:rFonts w:ascii="Arial" w:hAnsi="Arial" w:cs="Arial"/>
          <w:spacing w:val="1"/>
          <w:sz w:val="20"/>
          <w:szCs w:val="20"/>
        </w:rPr>
        <w:t xml:space="preserve"> </w:t>
      </w:r>
      <w:r w:rsidRPr="00970766">
        <w:rPr>
          <w:rFonts w:ascii="Arial" w:hAnsi="Arial" w:cs="Arial"/>
          <w:sz w:val="20"/>
          <w:szCs w:val="20"/>
        </w:rPr>
        <w:t>seront analysées.</w:t>
      </w:r>
      <w:r w:rsidRPr="00970766">
        <w:rPr>
          <w:rFonts w:ascii="Arial" w:hAnsi="Arial" w:cs="Arial"/>
          <w:spacing w:val="60"/>
          <w:sz w:val="20"/>
          <w:szCs w:val="20"/>
        </w:rPr>
        <w:t xml:space="preserve"> </w:t>
      </w:r>
      <w:r w:rsidRPr="00970766">
        <w:rPr>
          <w:rFonts w:ascii="Arial" w:hAnsi="Arial" w:cs="Arial"/>
          <w:sz w:val="20"/>
          <w:szCs w:val="20"/>
        </w:rPr>
        <w:t>Ce suivi devrait donc aussi permettre de s’assurer que</w:t>
      </w:r>
      <w:r w:rsidRPr="00970766">
        <w:rPr>
          <w:rFonts w:ascii="Arial" w:hAnsi="Arial" w:cs="Arial"/>
          <w:spacing w:val="1"/>
          <w:sz w:val="20"/>
          <w:szCs w:val="20"/>
        </w:rPr>
        <w:t xml:space="preserve"> </w:t>
      </w:r>
      <w:r w:rsidRPr="00970766">
        <w:rPr>
          <w:rFonts w:ascii="Arial" w:hAnsi="Arial" w:cs="Arial"/>
          <w:sz w:val="20"/>
          <w:szCs w:val="20"/>
        </w:rPr>
        <w:t>les bénéfices de ce traitement dans ces indications restent présumés supérieurs aux risques</w:t>
      </w:r>
      <w:r w:rsidRPr="00970766">
        <w:rPr>
          <w:rFonts w:ascii="Arial" w:hAnsi="Arial" w:cs="Arial"/>
          <w:spacing w:val="1"/>
          <w:sz w:val="20"/>
          <w:szCs w:val="20"/>
        </w:rPr>
        <w:t xml:space="preserve"> </w:t>
      </w:r>
      <w:r w:rsidRPr="00970766">
        <w:rPr>
          <w:rFonts w:ascii="Arial" w:hAnsi="Arial" w:cs="Arial"/>
          <w:sz w:val="20"/>
          <w:szCs w:val="20"/>
        </w:rPr>
        <w:t>potentiellement</w:t>
      </w:r>
      <w:r w:rsidRPr="00970766">
        <w:rPr>
          <w:rFonts w:ascii="Arial" w:hAnsi="Arial" w:cs="Arial"/>
          <w:spacing w:val="-1"/>
          <w:sz w:val="20"/>
          <w:szCs w:val="20"/>
        </w:rPr>
        <w:t xml:space="preserve"> </w:t>
      </w:r>
      <w:r w:rsidRPr="00970766">
        <w:rPr>
          <w:rFonts w:ascii="Arial" w:hAnsi="Arial" w:cs="Arial"/>
          <w:sz w:val="20"/>
          <w:szCs w:val="20"/>
        </w:rPr>
        <w:t>encourus.</w:t>
      </w:r>
    </w:p>
    <w:p w14:paraId="22DCBEE2" w14:textId="54835E0A" w:rsidR="006A225A" w:rsidRPr="00970766" w:rsidRDefault="006A225A" w:rsidP="00C4642F">
      <w:pPr>
        <w:autoSpaceDE w:val="0"/>
        <w:autoSpaceDN w:val="0"/>
        <w:adjustRightInd w:val="0"/>
        <w:jc w:val="both"/>
        <w:rPr>
          <w:rFonts w:ascii="Arial" w:eastAsia="Times New Roman" w:hAnsi="Arial" w:cs="Arial"/>
          <w:sz w:val="20"/>
          <w:szCs w:val="24"/>
          <w:lang w:eastAsia="fr-FR"/>
        </w:rPr>
      </w:pPr>
      <w:r w:rsidRPr="00970766">
        <w:rPr>
          <w:rFonts w:ascii="Arial" w:eastAsia="Times New Roman" w:hAnsi="Arial" w:cs="Arial"/>
          <w:sz w:val="20"/>
          <w:szCs w:val="24"/>
          <w:lang w:eastAsia="fr-FR"/>
        </w:rPr>
        <w:t xml:space="preserve">Dans le cadre du CPC, BOTOX est injecté par voie sous-cutanée directement dans la zone à traiter. Votre médecin déterminera la dose qui vous convient, conformément à la rubrique posologie du </w:t>
      </w:r>
      <w:r w:rsidRPr="00970766">
        <w:rPr>
          <w:rFonts w:ascii="Arial" w:eastAsia="Times New Roman" w:hAnsi="Arial" w:cs="Arial"/>
          <w:sz w:val="20"/>
          <w:szCs w:val="24"/>
          <w:lang w:eastAsia="fr-FR"/>
        </w:rPr>
        <w:lastRenderedPageBreak/>
        <w:t xml:space="preserve">protocole d’utilisation thérapeutique et de suivi des patients (PUT-SP). Votre médecin injectera généralement </w:t>
      </w:r>
      <w:r w:rsidR="006C4B20" w:rsidRPr="00970766">
        <w:rPr>
          <w:rFonts w:ascii="Arial" w:eastAsia="Times New Roman" w:hAnsi="Arial" w:cs="Arial"/>
          <w:sz w:val="20"/>
          <w:szCs w:val="24"/>
          <w:lang w:eastAsia="fr-FR"/>
        </w:rPr>
        <w:t>BOTOX</w:t>
      </w:r>
      <w:r w:rsidRPr="00970766">
        <w:rPr>
          <w:rFonts w:ascii="Arial" w:eastAsia="Times New Roman" w:hAnsi="Arial" w:cs="Arial"/>
          <w:sz w:val="20"/>
          <w:szCs w:val="24"/>
          <w:lang w:eastAsia="fr-FR"/>
        </w:rPr>
        <w:t xml:space="preserve"> dans plusieurs sites de chaque zone traitée.</w:t>
      </w:r>
    </w:p>
    <w:p w14:paraId="09939F13" w14:textId="11185149" w:rsidR="008862A9" w:rsidRPr="00970766" w:rsidRDefault="00B944AE" w:rsidP="00C4642F">
      <w:pPr>
        <w:pStyle w:val="Corpsdetexte"/>
        <w:spacing w:after="160" w:line="259" w:lineRule="auto"/>
        <w:jc w:val="both"/>
        <w:rPr>
          <w:rFonts w:ascii="Arial" w:hAnsi="Arial" w:cs="Arial"/>
          <w:color w:val="0562C1"/>
          <w:sz w:val="20"/>
          <w:szCs w:val="20"/>
          <w:u w:val="single" w:color="0562C1"/>
        </w:rPr>
      </w:pPr>
      <w:r>
        <w:rPr>
          <w:rFonts w:ascii="Arial" w:hAnsi="Arial" w:cs="Arial"/>
          <w:sz w:val="20"/>
          <w:szCs w:val="20"/>
        </w:rPr>
        <w:t>En plus de la présente note d’information, l</w:t>
      </w:r>
      <w:r w:rsidR="00C97985" w:rsidRPr="00970766">
        <w:rPr>
          <w:rFonts w:ascii="Arial" w:hAnsi="Arial" w:cs="Arial"/>
          <w:sz w:val="20"/>
          <w:szCs w:val="20"/>
        </w:rPr>
        <w:t>e médecin de l’hôpital vous remettra la notice destinée au patient qui</w:t>
      </w:r>
      <w:r w:rsidR="006C574A" w:rsidRPr="00970766">
        <w:rPr>
          <w:rFonts w:ascii="Arial" w:hAnsi="Arial" w:cs="Arial"/>
          <w:sz w:val="20"/>
          <w:szCs w:val="20"/>
        </w:rPr>
        <w:t xml:space="preserve"> ne mentionne pas l’indication du présent CPC mais vous informe notamment des contre-indications, mises en garde et effets indésirables</w:t>
      </w:r>
      <w:r w:rsidR="009135AC" w:rsidRPr="00970766">
        <w:rPr>
          <w:rFonts w:ascii="Arial" w:hAnsi="Arial" w:cs="Arial"/>
          <w:sz w:val="20"/>
          <w:szCs w:val="20"/>
        </w:rPr>
        <w:t>. Elle est</w:t>
      </w:r>
      <w:r w:rsidR="009135AC" w:rsidRPr="00970766">
        <w:rPr>
          <w:rFonts w:ascii="Arial" w:hAnsi="Arial" w:cs="Arial"/>
          <w:spacing w:val="1"/>
          <w:sz w:val="20"/>
          <w:szCs w:val="20"/>
        </w:rPr>
        <w:t xml:space="preserve"> </w:t>
      </w:r>
      <w:r w:rsidR="009135AC" w:rsidRPr="00970766">
        <w:rPr>
          <w:rFonts w:ascii="Arial" w:hAnsi="Arial" w:cs="Arial"/>
          <w:sz w:val="20"/>
          <w:szCs w:val="20"/>
        </w:rPr>
        <w:t>également</w:t>
      </w:r>
      <w:r w:rsidR="009135AC" w:rsidRPr="00970766">
        <w:rPr>
          <w:rFonts w:ascii="Arial" w:hAnsi="Arial" w:cs="Arial"/>
          <w:spacing w:val="1"/>
          <w:sz w:val="20"/>
          <w:szCs w:val="20"/>
        </w:rPr>
        <w:t xml:space="preserve"> </w:t>
      </w:r>
      <w:r w:rsidR="009135AC" w:rsidRPr="00970766">
        <w:rPr>
          <w:rFonts w:ascii="Arial" w:hAnsi="Arial" w:cs="Arial"/>
          <w:sz w:val="20"/>
          <w:szCs w:val="20"/>
        </w:rPr>
        <w:t>consultable</w:t>
      </w:r>
      <w:r w:rsidR="009135AC" w:rsidRPr="00970766">
        <w:rPr>
          <w:rFonts w:ascii="Arial" w:hAnsi="Arial" w:cs="Arial"/>
          <w:spacing w:val="1"/>
          <w:sz w:val="20"/>
          <w:szCs w:val="20"/>
        </w:rPr>
        <w:t xml:space="preserve"> </w:t>
      </w:r>
      <w:r w:rsidR="009135AC" w:rsidRPr="00970766">
        <w:rPr>
          <w:rFonts w:ascii="Arial" w:hAnsi="Arial" w:cs="Arial"/>
          <w:sz w:val="20"/>
          <w:szCs w:val="20"/>
        </w:rPr>
        <w:t>sur</w:t>
      </w:r>
      <w:r w:rsidR="009135AC" w:rsidRPr="00970766">
        <w:rPr>
          <w:rFonts w:ascii="Arial" w:hAnsi="Arial" w:cs="Arial"/>
          <w:spacing w:val="1"/>
          <w:sz w:val="20"/>
          <w:szCs w:val="20"/>
        </w:rPr>
        <w:t xml:space="preserve"> </w:t>
      </w:r>
      <w:r w:rsidR="009135AC" w:rsidRPr="00970766">
        <w:rPr>
          <w:rFonts w:ascii="Arial" w:hAnsi="Arial" w:cs="Arial"/>
          <w:sz w:val="20"/>
          <w:szCs w:val="20"/>
        </w:rPr>
        <w:t>la</w:t>
      </w:r>
      <w:r w:rsidR="009135AC" w:rsidRPr="00970766">
        <w:rPr>
          <w:rFonts w:ascii="Arial" w:hAnsi="Arial" w:cs="Arial"/>
          <w:spacing w:val="1"/>
          <w:sz w:val="20"/>
          <w:szCs w:val="20"/>
        </w:rPr>
        <w:t xml:space="preserve"> </w:t>
      </w:r>
      <w:r w:rsidR="009135AC" w:rsidRPr="00970766">
        <w:rPr>
          <w:rFonts w:ascii="Arial" w:hAnsi="Arial" w:cs="Arial"/>
          <w:sz w:val="20"/>
          <w:szCs w:val="20"/>
        </w:rPr>
        <w:t>base</w:t>
      </w:r>
      <w:r w:rsidR="009135AC" w:rsidRPr="00970766">
        <w:rPr>
          <w:rFonts w:ascii="Arial" w:hAnsi="Arial" w:cs="Arial"/>
          <w:spacing w:val="1"/>
          <w:sz w:val="20"/>
          <w:szCs w:val="20"/>
        </w:rPr>
        <w:t xml:space="preserve"> </w:t>
      </w:r>
      <w:r w:rsidR="009135AC" w:rsidRPr="00970766">
        <w:rPr>
          <w:rFonts w:ascii="Arial" w:hAnsi="Arial" w:cs="Arial"/>
          <w:sz w:val="20"/>
          <w:szCs w:val="20"/>
        </w:rPr>
        <w:t>de</w:t>
      </w:r>
      <w:r w:rsidR="009135AC" w:rsidRPr="00970766">
        <w:rPr>
          <w:rFonts w:ascii="Arial" w:hAnsi="Arial" w:cs="Arial"/>
          <w:spacing w:val="1"/>
          <w:sz w:val="20"/>
          <w:szCs w:val="20"/>
        </w:rPr>
        <w:t xml:space="preserve"> </w:t>
      </w:r>
      <w:r w:rsidR="009135AC" w:rsidRPr="00970766">
        <w:rPr>
          <w:rFonts w:ascii="Arial" w:hAnsi="Arial" w:cs="Arial"/>
          <w:sz w:val="20"/>
          <w:szCs w:val="20"/>
        </w:rPr>
        <w:t>données</w:t>
      </w:r>
      <w:r w:rsidR="009135AC" w:rsidRPr="00970766">
        <w:rPr>
          <w:rFonts w:ascii="Arial" w:hAnsi="Arial" w:cs="Arial"/>
          <w:spacing w:val="1"/>
          <w:sz w:val="20"/>
          <w:szCs w:val="20"/>
        </w:rPr>
        <w:t xml:space="preserve"> </w:t>
      </w:r>
      <w:r w:rsidR="009135AC" w:rsidRPr="00970766">
        <w:rPr>
          <w:rFonts w:ascii="Arial" w:hAnsi="Arial" w:cs="Arial"/>
          <w:sz w:val="20"/>
          <w:szCs w:val="20"/>
        </w:rPr>
        <w:t>publique</w:t>
      </w:r>
      <w:r w:rsidR="009135AC" w:rsidRPr="00970766">
        <w:rPr>
          <w:rFonts w:ascii="Arial" w:hAnsi="Arial" w:cs="Arial"/>
          <w:spacing w:val="1"/>
          <w:sz w:val="20"/>
          <w:szCs w:val="20"/>
        </w:rPr>
        <w:t xml:space="preserve"> </w:t>
      </w:r>
      <w:r w:rsidR="009135AC" w:rsidRPr="00970766">
        <w:rPr>
          <w:rFonts w:ascii="Arial" w:hAnsi="Arial" w:cs="Arial"/>
          <w:sz w:val="20"/>
          <w:szCs w:val="20"/>
        </w:rPr>
        <w:t>des</w:t>
      </w:r>
      <w:r w:rsidR="009135AC" w:rsidRPr="00970766">
        <w:rPr>
          <w:rFonts w:ascii="Arial" w:hAnsi="Arial" w:cs="Arial"/>
          <w:spacing w:val="1"/>
          <w:sz w:val="20"/>
          <w:szCs w:val="20"/>
        </w:rPr>
        <w:t xml:space="preserve"> </w:t>
      </w:r>
      <w:r w:rsidR="009135AC" w:rsidRPr="00970766">
        <w:rPr>
          <w:rFonts w:ascii="Arial" w:hAnsi="Arial" w:cs="Arial"/>
          <w:sz w:val="20"/>
          <w:szCs w:val="20"/>
        </w:rPr>
        <w:t>médicaments</w:t>
      </w:r>
      <w:r w:rsidR="009135AC" w:rsidRPr="00970766">
        <w:rPr>
          <w:rFonts w:ascii="Arial" w:hAnsi="Arial" w:cs="Arial"/>
          <w:spacing w:val="1"/>
          <w:sz w:val="20"/>
          <w:szCs w:val="20"/>
        </w:rPr>
        <w:t xml:space="preserve"> </w:t>
      </w:r>
      <w:r w:rsidR="009135AC" w:rsidRPr="00970766">
        <w:rPr>
          <w:rFonts w:ascii="Arial" w:hAnsi="Arial" w:cs="Arial"/>
          <w:sz w:val="20"/>
          <w:szCs w:val="20"/>
        </w:rPr>
        <w:t>:</w:t>
      </w:r>
      <w:r w:rsidR="009135AC" w:rsidRPr="00970766">
        <w:rPr>
          <w:rFonts w:ascii="Arial" w:hAnsi="Arial" w:cs="Arial"/>
          <w:spacing w:val="1"/>
          <w:sz w:val="20"/>
          <w:szCs w:val="20"/>
        </w:rPr>
        <w:t xml:space="preserve"> </w:t>
      </w:r>
      <w:hyperlink r:id="rId56">
        <w:r w:rsidR="009135AC" w:rsidRPr="00970766">
          <w:rPr>
            <w:rFonts w:ascii="Arial" w:hAnsi="Arial" w:cs="Arial"/>
            <w:color w:val="0562C1"/>
            <w:sz w:val="20"/>
            <w:szCs w:val="20"/>
            <w:u w:val="single" w:color="0562C1"/>
          </w:rPr>
          <w:t>http://base-</w:t>
        </w:r>
      </w:hyperlink>
      <w:r w:rsidR="009135AC" w:rsidRPr="00970766">
        <w:rPr>
          <w:rFonts w:ascii="Arial" w:hAnsi="Arial" w:cs="Arial"/>
          <w:color w:val="0562C1"/>
          <w:spacing w:val="1"/>
          <w:sz w:val="20"/>
          <w:szCs w:val="20"/>
        </w:rPr>
        <w:t xml:space="preserve"> </w:t>
      </w:r>
      <w:r w:rsidR="009135AC" w:rsidRPr="00970766">
        <w:rPr>
          <w:rFonts w:ascii="Arial" w:hAnsi="Arial" w:cs="Arial"/>
          <w:color w:val="0562C1"/>
          <w:sz w:val="20"/>
          <w:szCs w:val="20"/>
          <w:u w:val="single" w:color="0562C1"/>
        </w:rPr>
        <w:t>donnees-publique.medicaments.gouv.fr/</w:t>
      </w:r>
      <w:r w:rsidR="008862A9" w:rsidRPr="00970766">
        <w:rPr>
          <w:rFonts w:ascii="Arial" w:hAnsi="Arial" w:cs="Arial"/>
          <w:color w:val="0562C1"/>
          <w:sz w:val="20"/>
          <w:szCs w:val="20"/>
          <w:u w:val="single" w:color="0562C1"/>
        </w:rPr>
        <w:t>.</w:t>
      </w:r>
    </w:p>
    <w:p w14:paraId="7F4A4D80" w14:textId="77777777" w:rsidR="009135AC" w:rsidRPr="00970766" w:rsidRDefault="009135AC" w:rsidP="00C4642F">
      <w:pPr>
        <w:pStyle w:val="Corpsdetexte"/>
        <w:tabs>
          <w:tab w:val="left" w:pos="9072"/>
        </w:tabs>
        <w:spacing w:after="160" w:line="259" w:lineRule="auto"/>
        <w:jc w:val="both"/>
        <w:rPr>
          <w:rFonts w:ascii="Arial" w:hAnsi="Arial" w:cs="Arial"/>
          <w:b/>
          <w:sz w:val="20"/>
          <w:szCs w:val="20"/>
        </w:rPr>
      </w:pPr>
      <w:r w:rsidRPr="00970766">
        <w:rPr>
          <w:rFonts w:ascii="Arial" w:hAnsi="Arial" w:cs="Arial"/>
          <w:b/>
          <w:sz w:val="20"/>
          <w:szCs w:val="20"/>
        </w:rPr>
        <w:t>Il</w:t>
      </w:r>
      <w:r w:rsidRPr="00970766">
        <w:rPr>
          <w:rFonts w:ascii="Arial" w:hAnsi="Arial" w:cs="Arial"/>
          <w:b/>
          <w:spacing w:val="1"/>
          <w:sz w:val="20"/>
          <w:szCs w:val="20"/>
        </w:rPr>
        <w:t xml:space="preserve"> </w:t>
      </w:r>
      <w:r w:rsidRPr="00970766">
        <w:rPr>
          <w:rFonts w:ascii="Arial" w:hAnsi="Arial" w:cs="Arial"/>
          <w:b/>
          <w:sz w:val="20"/>
          <w:szCs w:val="20"/>
        </w:rPr>
        <w:t>est</w:t>
      </w:r>
      <w:r w:rsidRPr="00970766">
        <w:rPr>
          <w:rFonts w:ascii="Arial" w:hAnsi="Arial" w:cs="Arial"/>
          <w:b/>
          <w:spacing w:val="1"/>
          <w:sz w:val="20"/>
          <w:szCs w:val="20"/>
        </w:rPr>
        <w:t xml:space="preserve"> </w:t>
      </w:r>
      <w:r w:rsidRPr="00970766">
        <w:rPr>
          <w:rFonts w:ascii="Arial" w:hAnsi="Arial" w:cs="Arial"/>
          <w:b/>
          <w:sz w:val="20"/>
          <w:szCs w:val="20"/>
        </w:rPr>
        <w:t>indispensable</w:t>
      </w:r>
      <w:r w:rsidRPr="00970766">
        <w:rPr>
          <w:rFonts w:ascii="Arial" w:hAnsi="Arial" w:cs="Arial"/>
          <w:b/>
          <w:spacing w:val="1"/>
          <w:sz w:val="20"/>
          <w:szCs w:val="20"/>
        </w:rPr>
        <w:t xml:space="preserve"> </w:t>
      </w:r>
      <w:r w:rsidRPr="00970766">
        <w:rPr>
          <w:rFonts w:ascii="Arial" w:hAnsi="Arial" w:cs="Arial"/>
          <w:b/>
          <w:sz w:val="20"/>
          <w:szCs w:val="20"/>
        </w:rPr>
        <w:t>que</w:t>
      </w:r>
      <w:r w:rsidRPr="00970766">
        <w:rPr>
          <w:rFonts w:ascii="Arial" w:hAnsi="Arial" w:cs="Arial"/>
          <w:b/>
          <w:spacing w:val="1"/>
          <w:sz w:val="20"/>
          <w:szCs w:val="20"/>
        </w:rPr>
        <w:t xml:space="preserve"> </w:t>
      </w:r>
      <w:r w:rsidRPr="00970766">
        <w:rPr>
          <w:rFonts w:ascii="Arial" w:hAnsi="Arial" w:cs="Arial"/>
          <w:b/>
          <w:sz w:val="20"/>
          <w:szCs w:val="20"/>
        </w:rPr>
        <w:t>vous</w:t>
      </w:r>
      <w:r w:rsidRPr="00970766">
        <w:rPr>
          <w:rFonts w:ascii="Arial" w:hAnsi="Arial" w:cs="Arial"/>
          <w:b/>
          <w:spacing w:val="1"/>
          <w:sz w:val="20"/>
          <w:szCs w:val="20"/>
        </w:rPr>
        <w:t xml:space="preserve"> </w:t>
      </w:r>
      <w:r w:rsidRPr="00970766">
        <w:rPr>
          <w:rFonts w:ascii="Arial" w:hAnsi="Arial" w:cs="Arial"/>
          <w:b/>
          <w:sz w:val="20"/>
          <w:szCs w:val="20"/>
        </w:rPr>
        <w:t>la</w:t>
      </w:r>
      <w:r w:rsidRPr="00970766">
        <w:rPr>
          <w:rFonts w:ascii="Arial" w:hAnsi="Arial" w:cs="Arial"/>
          <w:b/>
          <w:spacing w:val="1"/>
          <w:sz w:val="20"/>
          <w:szCs w:val="20"/>
        </w:rPr>
        <w:t xml:space="preserve"> </w:t>
      </w:r>
      <w:r w:rsidRPr="00970766">
        <w:rPr>
          <w:rFonts w:ascii="Arial" w:hAnsi="Arial" w:cs="Arial"/>
          <w:b/>
          <w:sz w:val="20"/>
          <w:szCs w:val="20"/>
        </w:rPr>
        <w:t>lisiez</w:t>
      </w:r>
      <w:r w:rsidRPr="00970766">
        <w:rPr>
          <w:rFonts w:ascii="Arial" w:hAnsi="Arial" w:cs="Arial"/>
          <w:b/>
          <w:spacing w:val="1"/>
          <w:sz w:val="20"/>
          <w:szCs w:val="20"/>
        </w:rPr>
        <w:t xml:space="preserve"> </w:t>
      </w:r>
      <w:r w:rsidRPr="00970766">
        <w:rPr>
          <w:rFonts w:ascii="Arial" w:hAnsi="Arial" w:cs="Arial"/>
          <w:b/>
          <w:sz w:val="20"/>
          <w:szCs w:val="20"/>
        </w:rPr>
        <w:t>attentivement.</w:t>
      </w:r>
      <w:r w:rsidRPr="00970766">
        <w:rPr>
          <w:rFonts w:ascii="Arial" w:hAnsi="Arial" w:cs="Arial"/>
          <w:b/>
          <w:spacing w:val="1"/>
          <w:sz w:val="20"/>
          <w:szCs w:val="20"/>
        </w:rPr>
        <w:t xml:space="preserve"> </w:t>
      </w:r>
      <w:r w:rsidRPr="00970766">
        <w:rPr>
          <w:rFonts w:ascii="Arial" w:hAnsi="Arial" w:cs="Arial"/>
          <w:b/>
          <w:sz w:val="20"/>
          <w:szCs w:val="20"/>
        </w:rPr>
        <w:t>En</w:t>
      </w:r>
      <w:r w:rsidRPr="00970766">
        <w:rPr>
          <w:rFonts w:ascii="Arial" w:hAnsi="Arial" w:cs="Arial"/>
          <w:b/>
          <w:spacing w:val="1"/>
          <w:sz w:val="20"/>
          <w:szCs w:val="20"/>
        </w:rPr>
        <w:t xml:space="preserve"> </w:t>
      </w:r>
      <w:r w:rsidRPr="00970766">
        <w:rPr>
          <w:rFonts w:ascii="Arial" w:hAnsi="Arial" w:cs="Arial"/>
          <w:b/>
          <w:sz w:val="20"/>
          <w:szCs w:val="20"/>
        </w:rPr>
        <w:t>effet,</w:t>
      </w:r>
      <w:r w:rsidRPr="00970766">
        <w:rPr>
          <w:rFonts w:ascii="Arial" w:hAnsi="Arial" w:cs="Arial"/>
          <w:b/>
          <w:spacing w:val="1"/>
          <w:sz w:val="20"/>
          <w:szCs w:val="20"/>
        </w:rPr>
        <w:t xml:space="preserve"> </w:t>
      </w:r>
      <w:r w:rsidRPr="00970766">
        <w:rPr>
          <w:rFonts w:ascii="Arial" w:hAnsi="Arial" w:cs="Arial"/>
          <w:b/>
          <w:sz w:val="20"/>
          <w:szCs w:val="20"/>
        </w:rPr>
        <w:t>cette</w:t>
      </w:r>
      <w:r w:rsidRPr="00970766">
        <w:rPr>
          <w:rFonts w:ascii="Arial" w:hAnsi="Arial" w:cs="Arial"/>
          <w:b/>
          <w:spacing w:val="1"/>
          <w:sz w:val="20"/>
          <w:szCs w:val="20"/>
        </w:rPr>
        <w:t xml:space="preserve"> </w:t>
      </w:r>
      <w:r w:rsidRPr="00970766">
        <w:rPr>
          <w:rFonts w:ascii="Arial" w:hAnsi="Arial" w:cs="Arial"/>
          <w:b/>
          <w:sz w:val="20"/>
          <w:szCs w:val="20"/>
        </w:rPr>
        <w:t>notice</w:t>
      </w:r>
      <w:r w:rsidRPr="00970766">
        <w:rPr>
          <w:rFonts w:ascii="Arial" w:hAnsi="Arial" w:cs="Arial"/>
          <w:b/>
          <w:spacing w:val="1"/>
          <w:sz w:val="20"/>
          <w:szCs w:val="20"/>
        </w:rPr>
        <w:t xml:space="preserve"> </w:t>
      </w:r>
      <w:r w:rsidRPr="00970766">
        <w:rPr>
          <w:rFonts w:ascii="Arial" w:hAnsi="Arial" w:cs="Arial"/>
          <w:b/>
          <w:sz w:val="20"/>
          <w:szCs w:val="20"/>
        </w:rPr>
        <w:t>contient</w:t>
      </w:r>
      <w:r w:rsidRPr="00970766">
        <w:rPr>
          <w:rFonts w:ascii="Arial" w:hAnsi="Arial" w:cs="Arial"/>
          <w:b/>
          <w:spacing w:val="1"/>
          <w:sz w:val="20"/>
          <w:szCs w:val="20"/>
        </w:rPr>
        <w:t xml:space="preserve"> </w:t>
      </w:r>
      <w:r w:rsidRPr="00970766">
        <w:rPr>
          <w:rFonts w:ascii="Arial" w:hAnsi="Arial" w:cs="Arial"/>
          <w:b/>
          <w:sz w:val="20"/>
          <w:szCs w:val="20"/>
        </w:rPr>
        <w:t>des</w:t>
      </w:r>
      <w:r w:rsidR="005E4E1E" w:rsidRPr="00970766">
        <w:rPr>
          <w:rFonts w:ascii="Arial" w:hAnsi="Arial" w:cs="Arial"/>
          <w:b/>
          <w:sz w:val="20"/>
          <w:szCs w:val="20"/>
        </w:rPr>
        <w:t xml:space="preserve"> </w:t>
      </w:r>
      <w:r w:rsidRPr="00970766">
        <w:rPr>
          <w:rFonts w:ascii="Arial" w:hAnsi="Arial" w:cs="Arial"/>
          <w:b/>
          <w:spacing w:val="-57"/>
          <w:sz w:val="20"/>
          <w:szCs w:val="20"/>
        </w:rPr>
        <w:t xml:space="preserve"> </w:t>
      </w:r>
      <w:r w:rsidRPr="00970766">
        <w:rPr>
          <w:rFonts w:ascii="Arial" w:hAnsi="Arial" w:cs="Arial"/>
          <w:b/>
          <w:sz w:val="20"/>
          <w:szCs w:val="20"/>
        </w:rPr>
        <w:t>informations importantes pour votre traitement et vous devez la montrer</w:t>
      </w:r>
      <w:r w:rsidR="00C037B6" w:rsidRPr="00970766">
        <w:rPr>
          <w:rFonts w:ascii="Arial" w:hAnsi="Arial" w:cs="Arial"/>
          <w:b/>
          <w:sz w:val="20"/>
          <w:szCs w:val="20"/>
        </w:rPr>
        <w:t xml:space="preserve"> ainsi que la présente note d’information</w:t>
      </w:r>
      <w:r w:rsidRPr="00970766">
        <w:rPr>
          <w:rFonts w:ascii="Arial" w:hAnsi="Arial" w:cs="Arial"/>
          <w:b/>
          <w:sz w:val="20"/>
          <w:szCs w:val="20"/>
        </w:rPr>
        <w:t xml:space="preserve"> à tous les médecins</w:t>
      </w:r>
      <w:r w:rsidRPr="00970766">
        <w:rPr>
          <w:rFonts w:ascii="Arial" w:hAnsi="Arial" w:cs="Arial"/>
          <w:b/>
          <w:spacing w:val="1"/>
          <w:sz w:val="20"/>
          <w:szCs w:val="20"/>
        </w:rPr>
        <w:t xml:space="preserve"> </w:t>
      </w:r>
      <w:r w:rsidRPr="00970766">
        <w:rPr>
          <w:rFonts w:ascii="Arial" w:hAnsi="Arial" w:cs="Arial"/>
          <w:b/>
          <w:sz w:val="20"/>
          <w:szCs w:val="20"/>
        </w:rPr>
        <w:t>que</w:t>
      </w:r>
      <w:r w:rsidRPr="00970766">
        <w:rPr>
          <w:rFonts w:ascii="Arial" w:hAnsi="Arial" w:cs="Arial"/>
          <w:b/>
          <w:spacing w:val="-2"/>
          <w:sz w:val="20"/>
          <w:szCs w:val="20"/>
        </w:rPr>
        <w:t xml:space="preserve"> </w:t>
      </w:r>
      <w:r w:rsidRPr="00970766">
        <w:rPr>
          <w:rFonts w:ascii="Arial" w:hAnsi="Arial" w:cs="Arial"/>
          <w:b/>
          <w:sz w:val="20"/>
          <w:szCs w:val="20"/>
        </w:rPr>
        <w:t>vous pouvez</w:t>
      </w:r>
      <w:r w:rsidRPr="00970766">
        <w:rPr>
          <w:rFonts w:ascii="Arial" w:hAnsi="Arial" w:cs="Arial"/>
          <w:b/>
          <w:spacing w:val="1"/>
          <w:sz w:val="20"/>
          <w:szCs w:val="20"/>
        </w:rPr>
        <w:t xml:space="preserve"> </w:t>
      </w:r>
      <w:r w:rsidRPr="00970766">
        <w:rPr>
          <w:rFonts w:ascii="Arial" w:hAnsi="Arial" w:cs="Arial"/>
          <w:b/>
          <w:sz w:val="20"/>
          <w:szCs w:val="20"/>
        </w:rPr>
        <w:t>être</w:t>
      </w:r>
      <w:r w:rsidRPr="00970766">
        <w:rPr>
          <w:rFonts w:ascii="Arial" w:hAnsi="Arial" w:cs="Arial"/>
          <w:b/>
          <w:spacing w:val="-1"/>
          <w:sz w:val="20"/>
          <w:szCs w:val="20"/>
        </w:rPr>
        <w:t xml:space="preserve"> </w:t>
      </w:r>
      <w:r w:rsidRPr="00970766">
        <w:rPr>
          <w:rFonts w:ascii="Arial" w:hAnsi="Arial" w:cs="Arial"/>
          <w:b/>
          <w:sz w:val="20"/>
          <w:szCs w:val="20"/>
        </w:rPr>
        <w:t>amené</w:t>
      </w:r>
      <w:r w:rsidRPr="00970766">
        <w:rPr>
          <w:rFonts w:ascii="Arial" w:hAnsi="Arial" w:cs="Arial"/>
          <w:b/>
          <w:spacing w:val="-1"/>
          <w:sz w:val="20"/>
          <w:szCs w:val="20"/>
        </w:rPr>
        <w:t xml:space="preserve"> </w:t>
      </w:r>
      <w:r w:rsidRPr="00970766">
        <w:rPr>
          <w:rFonts w:ascii="Arial" w:hAnsi="Arial" w:cs="Arial"/>
          <w:b/>
          <w:sz w:val="20"/>
          <w:szCs w:val="20"/>
        </w:rPr>
        <w:t>à</w:t>
      </w:r>
      <w:r w:rsidRPr="00970766">
        <w:rPr>
          <w:rFonts w:ascii="Arial" w:hAnsi="Arial" w:cs="Arial"/>
          <w:b/>
          <w:spacing w:val="1"/>
          <w:sz w:val="20"/>
          <w:szCs w:val="20"/>
        </w:rPr>
        <w:t xml:space="preserve"> </w:t>
      </w:r>
      <w:r w:rsidRPr="00970766">
        <w:rPr>
          <w:rFonts w:ascii="Arial" w:hAnsi="Arial" w:cs="Arial"/>
          <w:b/>
          <w:sz w:val="20"/>
          <w:szCs w:val="20"/>
        </w:rPr>
        <w:t>consulter.</w:t>
      </w:r>
    </w:p>
    <w:p w14:paraId="608C3124" w14:textId="77777777" w:rsidR="00901600" w:rsidRPr="00970766" w:rsidRDefault="00901600" w:rsidP="00C4642F">
      <w:pPr>
        <w:pStyle w:val="Corpsdetexte"/>
        <w:spacing w:after="160" w:line="259" w:lineRule="auto"/>
        <w:jc w:val="both"/>
        <w:rPr>
          <w:rFonts w:ascii="Arial" w:hAnsi="Arial" w:cs="Arial"/>
          <w:sz w:val="20"/>
          <w:szCs w:val="20"/>
        </w:rPr>
      </w:pPr>
    </w:p>
    <w:p w14:paraId="7D4625D7" w14:textId="77777777" w:rsidR="008862A9" w:rsidRPr="00970766" w:rsidRDefault="008862A9" w:rsidP="00C4642F">
      <w:pPr>
        <w:tabs>
          <w:tab w:val="left" w:pos="567"/>
        </w:tabs>
        <w:autoSpaceDE w:val="0"/>
        <w:autoSpaceDN w:val="0"/>
        <w:adjustRightInd w:val="0"/>
        <w:spacing w:before="120" w:after="200" w:line="240" w:lineRule="auto"/>
        <w:contextualSpacing/>
        <w:jc w:val="both"/>
        <w:rPr>
          <w:rFonts w:ascii="Arial" w:eastAsia="Calibri" w:hAnsi="Arial" w:cs="Arial"/>
          <w:b/>
          <w:bCs/>
          <w:sz w:val="20"/>
          <w:lang w:eastAsia="fr-FR"/>
        </w:rPr>
      </w:pPr>
      <w:r w:rsidRPr="00970766">
        <w:rPr>
          <w:rFonts w:ascii="Arial" w:eastAsia="Calibri" w:hAnsi="Arial" w:cs="Arial"/>
          <w:b/>
          <w:bCs/>
          <w:sz w:val="20"/>
          <w:lang w:eastAsia="fr-FR"/>
        </w:rPr>
        <w:t>Modalités de signalement des effets indésirables par le patient</w:t>
      </w:r>
    </w:p>
    <w:p w14:paraId="07269B4D" w14:textId="77777777" w:rsidR="008862A9" w:rsidRPr="00970766" w:rsidRDefault="008862A9" w:rsidP="00C4642F">
      <w:pPr>
        <w:tabs>
          <w:tab w:val="left" w:pos="567"/>
        </w:tabs>
        <w:autoSpaceDE w:val="0"/>
        <w:autoSpaceDN w:val="0"/>
        <w:adjustRightInd w:val="0"/>
        <w:spacing w:before="120" w:after="200" w:line="240" w:lineRule="auto"/>
        <w:contextualSpacing/>
        <w:jc w:val="both"/>
        <w:rPr>
          <w:rFonts w:ascii="Arial" w:eastAsia="Calibri" w:hAnsi="Arial" w:cs="Arial"/>
          <w:b/>
          <w:bCs/>
          <w:sz w:val="20"/>
          <w:lang w:eastAsia="fr-FR"/>
        </w:rPr>
      </w:pPr>
    </w:p>
    <w:p w14:paraId="6F20858D" w14:textId="77777777" w:rsidR="008862A9" w:rsidRPr="00970766" w:rsidRDefault="008862A9" w:rsidP="00C4642F">
      <w:pPr>
        <w:jc w:val="both"/>
        <w:rPr>
          <w:rFonts w:ascii="Arial" w:hAnsi="Arial" w:cs="Arial"/>
          <w:sz w:val="20"/>
          <w:szCs w:val="20"/>
        </w:rPr>
      </w:pPr>
      <w:r w:rsidRPr="00970766">
        <w:rPr>
          <w:rFonts w:ascii="Arial" w:hAnsi="Arial" w:cs="Arial"/>
          <w:sz w:val="20"/>
          <w:szCs w:val="20"/>
        </w:rPr>
        <w:t>Si vous ressentez un quelconque effet indésirable, parlez-en à votre médecin ou à votre</w:t>
      </w:r>
      <w:r w:rsidRPr="00970766">
        <w:rPr>
          <w:rFonts w:ascii="Arial" w:hAnsi="Arial" w:cs="Arial"/>
          <w:spacing w:val="1"/>
          <w:sz w:val="20"/>
          <w:szCs w:val="20"/>
        </w:rPr>
        <w:t xml:space="preserve"> </w:t>
      </w:r>
      <w:r w:rsidRPr="00970766">
        <w:rPr>
          <w:rFonts w:ascii="Arial" w:hAnsi="Arial" w:cs="Arial"/>
          <w:sz w:val="20"/>
          <w:szCs w:val="20"/>
        </w:rPr>
        <w:t>pharmacien.</w:t>
      </w:r>
    </w:p>
    <w:p w14:paraId="4DB07559" w14:textId="77777777" w:rsidR="008862A9" w:rsidRPr="00970766" w:rsidRDefault="008862A9" w:rsidP="00C4642F">
      <w:pPr>
        <w:pStyle w:val="Corpsdetexte"/>
        <w:spacing w:after="160" w:line="259" w:lineRule="auto"/>
        <w:jc w:val="both"/>
        <w:rPr>
          <w:rFonts w:ascii="Arial" w:eastAsiaTheme="minorHAnsi" w:hAnsi="Arial" w:cs="Arial"/>
          <w:sz w:val="20"/>
          <w:szCs w:val="20"/>
        </w:rPr>
      </w:pPr>
      <w:r w:rsidRPr="00970766">
        <w:rPr>
          <w:rFonts w:ascii="Arial" w:eastAsiaTheme="minorHAnsi" w:hAnsi="Arial" w:cs="Arial"/>
          <w:sz w:val="20"/>
          <w:szCs w:val="20"/>
        </w:rPr>
        <w:t xml:space="preserve">Vous avez également la possibilité de signaler directement tout effet indésirable susceptible d'être lié au médicament </w:t>
      </w:r>
      <w:r w:rsidR="004A6007" w:rsidRPr="00970766">
        <w:rPr>
          <w:rFonts w:ascii="Arial" w:eastAsiaTheme="minorHAnsi" w:hAnsi="Arial" w:cs="Arial"/>
          <w:sz w:val="20"/>
          <w:szCs w:val="20"/>
        </w:rPr>
        <w:t>via le portail de signalement </w:t>
      </w:r>
      <w:r w:rsidRPr="00970766">
        <w:rPr>
          <w:rFonts w:ascii="Arial" w:eastAsiaTheme="minorHAnsi" w:hAnsi="Arial" w:cs="Arial"/>
          <w:sz w:val="20"/>
          <w:szCs w:val="20"/>
        </w:rPr>
        <w:t xml:space="preserve"> </w:t>
      </w:r>
      <w:hyperlink r:id="rId57" w:tgtFrame="_blank" w:history="1">
        <w:r w:rsidR="00F43CE1" w:rsidRPr="00970766">
          <w:rPr>
            <w:rStyle w:val="Lienhypertexte"/>
            <w:rFonts w:ascii="Arial" w:hAnsi="Arial" w:cs="Arial"/>
            <w:sz w:val="20"/>
            <w:szCs w:val="20"/>
          </w:rPr>
          <w:t>signalement.social-sante.gouv.fr</w:t>
        </w:r>
      </w:hyperlink>
    </w:p>
    <w:p w14:paraId="0592AC61" w14:textId="77777777" w:rsidR="008862A9" w:rsidRPr="00970766" w:rsidRDefault="008862A9" w:rsidP="00C4642F">
      <w:pPr>
        <w:pStyle w:val="Corpsdetexte"/>
        <w:spacing w:after="160" w:line="259" w:lineRule="auto"/>
        <w:jc w:val="both"/>
        <w:rPr>
          <w:rFonts w:ascii="Arial" w:hAnsi="Arial" w:cs="Arial"/>
          <w:sz w:val="20"/>
          <w:szCs w:val="20"/>
        </w:rPr>
      </w:pPr>
      <w:r w:rsidRPr="00970766">
        <w:rPr>
          <w:rFonts w:ascii="Arial" w:eastAsiaTheme="minorHAnsi" w:hAnsi="Arial" w:cs="Arial"/>
          <w:sz w:val="20"/>
          <w:szCs w:val="20"/>
        </w:rPr>
        <w:t xml:space="preserve">Votre déclaration doit préciser que vous êtes pris en charge dans le </w:t>
      </w:r>
      <w:r w:rsidR="00B63630" w:rsidRPr="00970766">
        <w:rPr>
          <w:rFonts w:ascii="Arial" w:eastAsiaTheme="minorHAnsi" w:hAnsi="Arial" w:cs="Arial"/>
          <w:sz w:val="20"/>
          <w:szCs w:val="20"/>
        </w:rPr>
        <w:t xml:space="preserve">contexte </w:t>
      </w:r>
      <w:r w:rsidRPr="00970766">
        <w:rPr>
          <w:rFonts w:ascii="Arial" w:eastAsiaTheme="minorHAnsi" w:hAnsi="Arial" w:cs="Arial"/>
          <w:sz w:val="20"/>
          <w:szCs w:val="20"/>
        </w:rPr>
        <w:t>d’un CPC. En signalant les effets indésirables, vous contribuez à fournir davantage d'informations sur la sécurité de ce médicament</w:t>
      </w:r>
      <w:r w:rsidRPr="00970766">
        <w:rPr>
          <w:rFonts w:ascii="Arial" w:hAnsi="Arial" w:cs="Arial"/>
          <w:sz w:val="20"/>
          <w:szCs w:val="20"/>
        </w:rPr>
        <w:t>.</w:t>
      </w:r>
    </w:p>
    <w:p w14:paraId="66EBBEEE" w14:textId="4EBB7DF9" w:rsidR="000B0489" w:rsidRPr="00970766" w:rsidDel="004F1EAF" w:rsidRDefault="000B0489" w:rsidP="00C4642F">
      <w:pPr>
        <w:jc w:val="both"/>
        <w:rPr>
          <w:rFonts w:ascii="Arial" w:hAnsi="Arial" w:cs="Arial"/>
          <w:b/>
          <w:sz w:val="20"/>
          <w:szCs w:val="20"/>
        </w:rPr>
      </w:pPr>
      <w:r w:rsidRPr="00970766" w:rsidDel="004F1EAF">
        <w:rPr>
          <w:rFonts w:ascii="Arial" w:eastAsia="Calibri" w:hAnsi="Arial" w:cs="Arial"/>
          <w:sz w:val="20"/>
        </w:rPr>
        <w:t xml:space="preserve">Bien sûr, votre décision d’accepter un traitement par </w:t>
      </w:r>
      <w:r w:rsidR="00570EDE" w:rsidRPr="00970766">
        <w:rPr>
          <w:rFonts w:ascii="Arial" w:eastAsia="Calibri" w:hAnsi="Arial" w:cs="Arial"/>
          <w:sz w:val="20"/>
        </w:rPr>
        <w:t>BOTOX</w:t>
      </w:r>
      <w:r w:rsidRPr="00970766" w:rsidDel="004F1EAF">
        <w:rPr>
          <w:rFonts w:ascii="Arial" w:eastAsia="Calibri" w:hAnsi="Arial" w:cs="Arial"/>
          <w:sz w:val="20"/>
        </w:rPr>
        <w:t xml:space="preserve"> est totalement libre et vous pouvez refuser le traitement si vous le souhaitez.</w:t>
      </w:r>
      <w:r w:rsidRPr="00970766" w:rsidDel="004F1EAF">
        <w:rPr>
          <w:rFonts w:ascii="Arial" w:hAnsi="Arial" w:cs="Arial"/>
          <w:b/>
          <w:sz w:val="20"/>
          <w:szCs w:val="20"/>
        </w:rPr>
        <w:t xml:space="preserve"> </w:t>
      </w:r>
    </w:p>
    <w:p w14:paraId="7D08AB6A" w14:textId="77777777" w:rsidR="00187211" w:rsidRPr="00970766" w:rsidRDefault="00187211">
      <w:pPr>
        <w:rPr>
          <w:rFonts w:ascii="Arial" w:hAnsi="Arial" w:cs="Arial"/>
          <w:sz w:val="20"/>
          <w:szCs w:val="20"/>
        </w:rPr>
      </w:pPr>
    </w:p>
    <w:p w14:paraId="50A5047B" w14:textId="77777777" w:rsidR="00187211" w:rsidRPr="00970766" w:rsidDel="004F1EAF" w:rsidRDefault="00B938A1">
      <w:pPr>
        <w:rPr>
          <w:rFonts w:ascii="Arial" w:hAnsi="Arial" w:cs="Arial"/>
          <w:b/>
          <w:sz w:val="20"/>
          <w:szCs w:val="20"/>
        </w:rPr>
      </w:pPr>
      <w:r w:rsidRPr="00970766" w:rsidDel="004F1EAF">
        <w:rPr>
          <w:rFonts w:ascii="Arial" w:hAnsi="Arial" w:cs="Arial"/>
          <w:b/>
          <w:sz w:val="20"/>
          <w:szCs w:val="20"/>
        </w:rPr>
        <w:t xml:space="preserve">Traitement de vos données personnelles </w:t>
      </w:r>
    </w:p>
    <w:p w14:paraId="65A9D001" w14:textId="77777777" w:rsidR="00953F42" w:rsidRPr="00970766" w:rsidRDefault="00343799" w:rsidP="0058190C">
      <w:pPr>
        <w:jc w:val="both"/>
        <w:rPr>
          <w:rFonts w:ascii="Arial" w:eastAsia="Calibri" w:hAnsi="Arial" w:cs="Arial"/>
          <w:sz w:val="20"/>
        </w:rPr>
      </w:pPr>
      <w:r w:rsidRPr="00970766">
        <w:rPr>
          <w:rFonts w:ascii="Arial" w:eastAsia="Calibri" w:hAnsi="Arial" w:cs="Arial"/>
          <w:sz w:val="20"/>
        </w:rPr>
        <w:t xml:space="preserve">Le traitement par un médicament dans </w:t>
      </w:r>
      <w:r w:rsidR="00531705" w:rsidRPr="00970766">
        <w:rPr>
          <w:rFonts w:ascii="Arial" w:eastAsia="Calibri" w:hAnsi="Arial" w:cs="Arial"/>
          <w:sz w:val="20"/>
        </w:rPr>
        <w:t xml:space="preserve">un </w:t>
      </w:r>
      <w:r w:rsidRPr="00970766">
        <w:rPr>
          <w:rFonts w:ascii="Arial" w:eastAsia="Calibri" w:hAnsi="Arial" w:cs="Arial"/>
          <w:sz w:val="20"/>
        </w:rPr>
        <w:t>cadre</w:t>
      </w:r>
      <w:r w:rsidR="00531705" w:rsidRPr="00970766">
        <w:rPr>
          <w:rFonts w:ascii="Arial" w:eastAsia="Calibri" w:hAnsi="Arial" w:cs="Arial"/>
          <w:sz w:val="20"/>
        </w:rPr>
        <w:t xml:space="preserve"> de</w:t>
      </w:r>
      <w:r w:rsidRPr="00970766">
        <w:rPr>
          <w:rFonts w:ascii="Arial" w:eastAsia="Calibri" w:hAnsi="Arial" w:cs="Arial"/>
          <w:sz w:val="20"/>
        </w:rPr>
        <w:t xml:space="preserve">  prescription compassionnelle avec un protocole d’utilisation thérape</w:t>
      </w:r>
      <w:r w:rsidR="00117EB3" w:rsidRPr="00970766">
        <w:rPr>
          <w:rFonts w:ascii="Arial" w:eastAsia="Calibri" w:hAnsi="Arial" w:cs="Arial"/>
          <w:sz w:val="20"/>
        </w:rPr>
        <w:t>utique et de suivi des patients (PUT-SP)</w:t>
      </w:r>
      <w:r w:rsidR="00481237" w:rsidRPr="00970766">
        <w:rPr>
          <w:rFonts w:ascii="Arial" w:eastAsia="Calibri" w:hAnsi="Arial" w:cs="Arial"/>
          <w:sz w:val="20"/>
        </w:rPr>
        <w:t xml:space="preserve"> implique le recueil de données personnelles concernant votre santé</w:t>
      </w:r>
      <w:r w:rsidR="00187211" w:rsidRPr="00970766" w:rsidDel="004F1EAF">
        <w:rPr>
          <w:rFonts w:ascii="Arial" w:eastAsia="Calibri" w:hAnsi="Arial" w:cs="Arial"/>
          <w:sz w:val="20"/>
        </w:rPr>
        <w:t xml:space="preserve">. </w:t>
      </w:r>
    </w:p>
    <w:p w14:paraId="3E9D90BA" w14:textId="3BB60973" w:rsidR="005841E9" w:rsidRDefault="00481237" w:rsidP="005841E9">
      <w:pPr>
        <w:jc w:val="both"/>
        <w:rPr>
          <w:rFonts w:ascii="Arial" w:hAnsi="Arial" w:cs="Arial"/>
          <w:sz w:val="20"/>
          <w:szCs w:val="20"/>
        </w:rPr>
      </w:pPr>
      <w:r w:rsidRPr="00970766">
        <w:rPr>
          <w:rFonts w:ascii="Arial" w:hAnsi="Arial" w:cs="Arial"/>
          <w:sz w:val="20"/>
          <w:szCs w:val="20"/>
        </w:rPr>
        <w:t xml:space="preserve">Vous trouverez des informations complémentaires relatives à vos droits dans </w:t>
      </w:r>
      <w:r w:rsidR="00AF3781" w:rsidRPr="00970766">
        <w:rPr>
          <w:rFonts w:ascii="Arial" w:hAnsi="Arial" w:cs="Arial"/>
          <w:sz w:val="20"/>
          <w:szCs w:val="20"/>
        </w:rPr>
        <w:t>l’</w:t>
      </w:r>
      <w:r w:rsidR="00785084">
        <w:rPr>
          <w:rFonts w:ascii="Arial" w:hAnsi="Arial" w:cs="Arial"/>
          <w:sz w:val="20"/>
          <w:szCs w:val="20"/>
        </w:rPr>
        <w:t>A</w:t>
      </w:r>
      <w:r w:rsidR="00AF3781" w:rsidRPr="00970766">
        <w:rPr>
          <w:rFonts w:ascii="Arial" w:hAnsi="Arial" w:cs="Arial"/>
          <w:sz w:val="20"/>
          <w:szCs w:val="20"/>
        </w:rPr>
        <w:t>nnexe</w:t>
      </w:r>
      <w:r w:rsidR="00A90815" w:rsidRPr="00970766">
        <w:rPr>
          <w:rFonts w:ascii="Arial" w:hAnsi="Arial" w:cs="Arial"/>
          <w:sz w:val="20"/>
          <w:szCs w:val="20"/>
        </w:rPr>
        <w:t xml:space="preserve"> 4</w:t>
      </w:r>
      <w:r w:rsidR="00DB310C">
        <w:rPr>
          <w:rFonts w:ascii="Arial" w:hAnsi="Arial" w:cs="Arial"/>
          <w:sz w:val="20"/>
          <w:szCs w:val="20"/>
        </w:rPr>
        <w:t>.1</w:t>
      </w:r>
      <w:r w:rsidRPr="00970766">
        <w:rPr>
          <w:rFonts w:ascii="Arial" w:hAnsi="Arial" w:cs="Arial"/>
          <w:sz w:val="20"/>
          <w:szCs w:val="20"/>
        </w:rPr>
        <w:t xml:space="preserve"> : « </w:t>
      </w:r>
      <w:hyperlink w:anchor="_ANNEXE_4_:" w:history="1">
        <w:r w:rsidRPr="00970766">
          <w:rPr>
            <w:rStyle w:val="Lienhypertexte"/>
            <w:rFonts w:ascii="Arial" w:hAnsi="Arial" w:cs="Arial"/>
            <w:sz w:val="20"/>
            <w:szCs w:val="20"/>
          </w:rPr>
          <w:t xml:space="preserve">Note d’information </w:t>
        </w:r>
        <w:r w:rsidR="00B16F60" w:rsidRPr="00970766">
          <w:rPr>
            <w:rStyle w:val="Lienhypertexte"/>
            <w:rFonts w:ascii="Arial" w:hAnsi="Arial" w:cs="Arial"/>
            <w:sz w:val="20"/>
            <w:szCs w:val="20"/>
          </w:rPr>
          <w:t>sur le traitement de</w:t>
        </w:r>
        <w:r w:rsidRPr="00970766">
          <w:rPr>
            <w:rStyle w:val="Lienhypertexte"/>
            <w:rFonts w:ascii="Arial" w:hAnsi="Arial" w:cs="Arial"/>
            <w:sz w:val="20"/>
            <w:szCs w:val="20"/>
          </w:rPr>
          <w:t>s données personnelles</w:t>
        </w:r>
      </w:hyperlink>
      <w:r w:rsidRPr="00970766">
        <w:rPr>
          <w:rFonts w:ascii="Arial" w:hAnsi="Arial" w:cs="Arial"/>
          <w:sz w:val="20"/>
          <w:szCs w:val="20"/>
        </w:rPr>
        <w:t xml:space="preserve"> ».</w:t>
      </w:r>
      <w:bookmarkStart w:id="17" w:name="_ANNEXE_4_:"/>
      <w:bookmarkEnd w:id="17"/>
    </w:p>
    <w:p w14:paraId="3DC60BA8" w14:textId="77777777" w:rsidR="00421E7D" w:rsidRPr="004E3CBD" w:rsidRDefault="00630115" w:rsidP="005841E9">
      <w:pPr>
        <w:jc w:val="both"/>
        <w:rPr>
          <w:rFonts w:ascii="Arial" w:eastAsia="Calibri" w:hAnsi="Arial" w:cs="Arial"/>
          <w:sz w:val="20"/>
        </w:rPr>
        <w:sectPr w:rsidR="00421E7D" w:rsidRPr="004E3CBD">
          <w:footerReference w:type="default" r:id="rId58"/>
          <w:pgSz w:w="11906" w:h="16838"/>
          <w:pgMar w:top="1417" w:right="1417" w:bottom="1417" w:left="1417" w:header="708" w:footer="708" w:gutter="0"/>
          <w:cols w:space="708"/>
          <w:docGrid w:linePitch="360"/>
        </w:sectPr>
      </w:pPr>
      <w:r w:rsidRPr="00630115">
        <w:rPr>
          <w:rFonts w:ascii="Arial" w:eastAsia="Calibri" w:hAnsi="Arial" w:cs="Arial"/>
          <w:sz w:val="20"/>
        </w:rPr>
        <w:t xml:space="preserve">Vous pouvez, par ailleurs, contacter le délégué à la protection des données (DPO) du laboratoire à l’adresse suivante </w:t>
      </w:r>
      <w:hyperlink r:id="rId59" w:history="1">
        <w:r w:rsidR="004E3CBD" w:rsidRPr="001B3FF4">
          <w:rPr>
            <w:rStyle w:val="Lienhypertexte"/>
            <w:rFonts w:ascii="Arial" w:eastAsia="Calibri" w:hAnsi="Arial" w:cs="Arial"/>
            <w:sz w:val="20"/>
          </w:rPr>
          <w:t>privacyoffice@abbvie.com</w:t>
        </w:r>
      </w:hyperlink>
      <w:r w:rsidR="004E3CBD">
        <w:rPr>
          <w:rFonts w:ascii="Arial" w:eastAsia="Calibri" w:hAnsi="Arial" w:cs="Arial"/>
          <w:sz w:val="20"/>
        </w:rPr>
        <w:t xml:space="preserve"> </w:t>
      </w:r>
      <w:r w:rsidRPr="00630115">
        <w:rPr>
          <w:rFonts w:ascii="Arial" w:eastAsia="Calibri" w:hAnsi="Arial" w:cs="Arial"/>
          <w:sz w:val="20"/>
        </w:rPr>
        <w:t>pour exercer ces droits, ce qui implique la transmission de votre identité au laboratoire.</w:t>
      </w:r>
    </w:p>
    <w:p w14:paraId="71BA0EEF" w14:textId="7F2D9C70" w:rsidR="0024379D" w:rsidRPr="00970766" w:rsidRDefault="004F1EAF" w:rsidP="001C748C">
      <w:pPr>
        <w:pStyle w:val="Titre2"/>
        <w:rPr>
          <w:rStyle w:val="lev"/>
          <w:rFonts w:ascii="Arial Narrow" w:hAnsi="Arial Narrow"/>
          <w:b w:val="0"/>
          <w:bCs w:val="0"/>
          <w:sz w:val="28"/>
          <w:szCs w:val="28"/>
        </w:rPr>
      </w:pPr>
      <w:bookmarkStart w:id="18" w:name="_Toc158900884"/>
      <w:r w:rsidRPr="00970766">
        <w:rPr>
          <w:rStyle w:val="lev"/>
          <w:rFonts w:ascii="Arial Narrow" w:hAnsi="Arial Narrow"/>
          <w:b w:val="0"/>
          <w:bCs w:val="0"/>
          <w:sz w:val="28"/>
          <w:szCs w:val="28"/>
        </w:rPr>
        <w:lastRenderedPageBreak/>
        <w:t>ANNEXE 4</w:t>
      </w:r>
      <w:r w:rsidR="00DB310C">
        <w:rPr>
          <w:rStyle w:val="lev"/>
          <w:rFonts w:ascii="Arial Narrow" w:hAnsi="Arial Narrow"/>
          <w:b w:val="0"/>
          <w:bCs w:val="0"/>
          <w:sz w:val="28"/>
          <w:szCs w:val="28"/>
        </w:rPr>
        <w:t>.1</w:t>
      </w:r>
      <w:r w:rsidRPr="00970766">
        <w:rPr>
          <w:rStyle w:val="lev"/>
          <w:rFonts w:ascii="Arial Narrow" w:hAnsi="Arial Narrow"/>
          <w:b w:val="0"/>
          <w:bCs w:val="0"/>
          <w:sz w:val="28"/>
          <w:szCs w:val="28"/>
        </w:rPr>
        <w:t> :</w:t>
      </w:r>
      <w:r w:rsidRPr="00970766">
        <w:rPr>
          <w:rStyle w:val="lev"/>
          <w:rFonts w:ascii="Arial Narrow" w:hAnsi="Arial Narrow"/>
          <w:bCs w:val="0"/>
          <w:sz w:val="28"/>
          <w:szCs w:val="28"/>
        </w:rPr>
        <w:t xml:space="preserve"> </w:t>
      </w:r>
      <w:r w:rsidRPr="00970766">
        <w:rPr>
          <w:rStyle w:val="lev"/>
          <w:rFonts w:ascii="Arial Narrow" w:hAnsi="Arial Narrow"/>
          <w:b w:val="0"/>
          <w:bCs w:val="0"/>
          <w:sz w:val="28"/>
          <w:szCs w:val="28"/>
        </w:rPr>
        <w:t>Note d’information sur le traitement des données personnelles</w:t>
      </w:r>
      <w:r w:rsidR="00231EB8">
        <w:rPr>
          <w:rStyle w:val="lev"/>
          <w:rFonts w:ascii="Arial Narrow" w:hAnsi="Arial Narrow"/>
          <w:b w:val="0"/>
          <w:bCs w:val="0"/>
          <w:sz w:val="28"/>
          <w:szCs w:val="28"/>
        </w:rPr>
        <w:t xml:space="preserve"> à destination des patients</w:t>
      </w:r>
      <w:bookmarkEnd w:id="18"/>
    </w:p>
    <w:p w14:paraId="09DBDE0A" w14:textId="77777777" w:rsidR="001C748C" w:rsidRPr="00970766" w:rsidRDefault="001C748C" w:rsidP="001C748C"/>
    <w:p w14:paraId="52E1D8CF" w14:textId="77777777" w:rsidR="0024379D" w:rsidRPr="00970766" w:rsidRDefault="0024379D" w:rsidP="00383191">
      <w:pPr>
        <w:jc w:val="both"/>
        <w:rPr>
          <w:rFonts w:ascii="Arial" w:hAnsi="Arial" w:cs="Arial"/>
          <w:sz w:val="20"/>
          <w:szCs w:val="20"/>
        </w:rPr>
      </w:pPr>
      <w:r w:rsidRPr="00970766">
        <w:rPr>
          <w:rFonts w:ascii="Arial" w:hAnsi="Arial" w:cs="Arial"/>
          <w:bCs/>
          <w:sz w:val="20"/>
          <w:szCs w:val="20"/>
        </w:rPr>
        <w:t xml:space="preserve">Un médicament </w:t>
      </w:r>
      <w:r w:rsidR="00AD5315" w:rsidRPr="00970766">
        <w:rPr>
          <w:rFonts w:ascii="Arial" w:hAnsi="Arial" w:cs="Arial"/>
          <w:bCs/>
          <w:sz w:val="20"/>
          <w:szCs w:val="20"/>
        </w:rPr>
        <w:t xml:space="preserve">prescrit au titre d’un </w:t>
      </w:r>
      <w:r w:rsidRPr="00970766">
        <w:rPr>
          <w:rFonts w:ascii="Arial" w:hAnsi="Arial" w:cs="Arial"/>
          <w:bCs/>
          <w:sz w:val="20"/>
          <w:szCs w:val="20"/>
        </w:rPr>
        <w:t xml:space="preserve">cadre de prescription compassionnelle </w:t>
      </w:r>
      <w:r w:rsidR="00891ADC" w:rsidRPr="00970766">
        <w:rPr>
          <w:rFonts w:ascii="Arial" w:hAnsi="Arial" w:cs="Arial"/>
          <w:sz w:val="20"/>
          <w:szCs w:val="20"/>
        </w:rPr>
        <w:t xml:space="preserve">(CPC) </w:t>
      </w:r>
      <w:r w:rsidRPr="00970766">
        <w:rPr>
          <w:rFonts w:ascii="Arial" w:hAnsi="Arial" w:cs="Arial"/>
          <w:bCs/>
          <w:sz w:val="20"/>
          <w:szCs w:val="20"/>
        </w:rPr>
        <w:t>avec un</w:t>
      </w:r>
      <w:r w:rsidRPr="00970766">
        <w:rPr>
          <w:rFonts w:ascii="Arial" w:hAnsi="Arial" w:cs="Arial"/>
          <w:b/>
          <w:bCs/>
          <w:sz w:val="20"/>
          <w:szCs w:val="20"/>
        </w:rPr>
        <w:t xml:space="preserve"> </w:t>
      </w:r>
      <w:r w:rsidR="00D951A2" w:rsidRPr="00970766">
        <w:rPr>
          <w:rFonts w:ascii="Arial" w:hAnsi="Arial" w:cs="Arial"/>
          <w:sz w:val="20"/>
          <w:szCs w:val="20"/>
        </w:rPr>
        <w:t xml:space="preserve">protocole d’utilisation thérapeutique et de suivi des patients </w:t>
      </w:r>
      <w:r w:rsidR="004F1EAF" w:rsidRPr="00970766">
        <w:rPr>
          <w:rFonts w:ascii="Arial" w:hAnsi="Arial" w:cs="Arial"/>
          <w:sz w:val="20"/>
          <w:szCs w:val="20"/>
        </w:rPr>
        <w:t xml:space="preserve">(PUT-SP) </w:t>
      </w:r>
      <w:r w:rsidRPr="00970766">
        <w:rPr>
          <w:rFonts w:ascii="Arial" w:hAnsi="Arial" w:cs="Arial"/>
          <w:sz w:val="20"/>
          <w:szCs w:val="20"/>
        </w:rPr>
        <w:t xml:space="preserve">implique un traitement de données personnelles </w:t>
      </w:r>
      <w:r w:rsidR="00D951A2" w:rsidRPr="00970766">
        <w:rPr>
          <w:rFonts w:ascii="Arial" w:hAnsi="Arial" w:cs="Arial"/>
          <w:sz w:val="20"/>
          <w:szCs w:val="20"/>
        </w:rPr>
        <w:t>relatives à</w:t>
      </w:r>
      <w:r w:rsidRPr="00970766">
        <w:rPr>
          <w:rFonts w:ascii="Arial" w:hAnsi="Arial" w:cs="Arial"/>
          <w:sz w:val="20"/>
          <w:szCs w:val="20"/>
        </w:rPr>
        <w:t xml:space="preserve"> votre santé. Ces données personnelles sont des informations qui portent sur vous, votre santé, vos habitudes de vie.</w:t>
      </w:r>
    </w:p>
    <w:p w14:paraId="3D47595D" w14:textId="5D25753D" w:rsidR="0024379D" w:rsidRPr="00970766" w:rsidRDefault="0024379D" w:rsidP="00383191">
      <w:pPr>
        <w:jc w:val="both"/>
        <w:rPr>
          <w:rFonts w:ascii="Arial" w:hAnsi="Arial" w:cs="Arial"/>
          <w:sz w:val="20"/>
          <w:szCs w:val="20"/>
        </w:rPr>
      </w:pPr>
      <w:r w:rsidRPr="00970766">
        <w:rPr>
          <w:rFonts w:ascii="Arial" w:hAnsi="Arial" w:cs="Arial"/>
          <w:sz w:val="20"/>
          <w:szCs w:val="20"/>
        </w:rPr>
        <w:t xml:space="preserve">Ce document vous informe sur les données personnelles qui sont recueillies et leur traitement, c’est-à-dire l’utilisation qui en sera faite. Le responsable du traitement des données est </w:t>
      </w:r>
      <w:r w:rsidR="001C748C" w:rsidRPr="00970766">
        <w:rPr>
          <w:rFonts w:ascii="Arial" w:hAnsi="Arial" w:cs="Arial"/>
          <w:sz w:val="20"/>
          <w:szCs w:val="20"/>
        </w:rPr>
        <w:t>AbbVie</w:t>
      </w:r>
      <w:r w:rsidR="008154F1" w:rsidRPr="008154F1">
        <w:rPr>
          <w:rFonts w:ascii="Arial" w:hAnsi="Arial" w:cs="Arial"/>
          <w:sz w:val="20"/>
          <w:szCs w:val="20"/>
        </w:rPr>
        <w:t>, situé 10 rue d’Arcueil 94150 Rungis,</w:t>
      </w:r>
      <w:r w:rsidRPr="00970766">
        <w:rPr>
          <w:rFonts w:ascii="Arial" w:hAnsi="Arial" w:cs="Arial"/>
          <w:sz w:val="20"/>
          <w:szCs w:val="20"/>
        </w:rPr>
        <w:t xml:space="preserve"> en</w:t>
      </w:r>
      <w:r w:rsidR="001C748C" w:rsidRPr="00970766">
        <w:rPr>
          <w:rFonts w:ascii="Arial" w:hAnsi="Arial" w:cs="Arial"/>
          <w:sz w:val="20"/>
          <w:szCs w:val="20"/>
        </w:rPr>
        <w:t xml:space="preserve"> tant que laboratoire titulaire et</w:t>
      </w:r>
      <w:r w:rsidRPr="00970766">
        <w:rPr>
          <w:rFonts w:ascii="Arial" w:hAnsi="Arial" w:cs="Arial"/>
          <w:sz w:val="20"/>
          <w:szCs w:val="20"/>
        </w:rPr>
        <w:t xml:space="preserve"> en charge de l’exploitation de la spécialité pharmaceutique.</w:t>
      </w:r>
    </w:p>
    <w:p w14:paraId="753C084B" w14:textId="77777777" w:rsidR="000B03AE" w:rsidRPr="00970766" w:rsidRDefault="000B03AE" w:rsidP="00383191">
      <w:pPr>
        <w:rPr>
          <w:rFonts w:ascii="Arial" w:hAnsi="Arial" w:cs="Arial"/>
          <w:b/>
          <w:sz w:val="20"/>
          <w:szCs w:val="20"/>
        </w:rPr>
      </w:pPr>
      <w:r w:rsidRPr="00970766">
        <w:rPr>
          <w:rFonts w:ascii="Arial" w:hAnsi="Arial" w:cs="Arial"/>
          <w:color w:val="2E74B5" w:themeColor="accent1" w:themeShade="BF"/>
          <w:sz w:val="20"/>
          <w:szCs w:val="20"/>
        </w:rPr>
        <w:t>Traitement de vos données personnelles</w:t>
      </w:r>
      <w:r w:rsidRPr="00970766">
        <w:rPr>
          <w:rFonts w:ascii="Arial" w:hAnsi="Arial" w:cs="Arial"/>
          <w:b/>
          <w:sz w:val="20"/>
          <w:szCs w:val="20"/>
        </w:rPr>
        <w:t xml:space="preserve"> </w:t>
      </w:r>
    </w:p>
    <w:p w14:paraId="1B171857" w14:textId="77777777" w:rsidR="000B03AE" w:rsidRPr="00970766" w:rsidRDefault="000B03AE" w:rsidP="00383191">
      <w:pPr>
        <w:jc w:val="both"/>
        <w:rPr>
          <w:rFonts w:ascii="Arial" w:eastAsia="Calibri" w:hAnsi="Arial" w:cs="Arial"/>
          <w:i/>
          <w:color w:val="7030A0"/>
          <w:sz w:val="20"/>
          <w:szCs w:val="20"/>
        </w:rPr>
      </w:pPr>
      <w:r w:rsidRPr="00970766">
        <w:rPr>
          <w:rFonts w:ascii="Arial" w:eastAsia="Calibri" w:hAnsi="Arial" w:cs="Arial"/>
          <w:sz w:val="20"/>
          <w:szCs w:val="20"/>
        </w:rPr>
        <w:t>Dans le cadre de ce protocole, votre médecin recueillera des informations concernant votre maladie et votre traitement. Toutes ces informations confidentielles seront rendues anonymes avant toute exploitation.</w:t>
      </w:r>
      <w:r w:rsidRPr="00970766">
        <w:rPr>
          <w:rFonts w:ascii="Arial" w:hAnsi="Arial" w:cs="Arial"/>
          <w:sz w:val="20"/>
          <w:szCs w:val="20"/>
        </w:rPr>
        <w:t xml:space="preserve"> Ainsi, pour tout document</w:t>
      </w:r>
      <w:r w:rsidRPr="00970766">
        <w:rPr>
          <w:rFonts w:ascii="Arial" w:hAnsi="Arial" w:cs="Arial"/>
          <w:spacing w:val="1"/>
          <w:sz w:val="20"/>
          <w:szCs w:val="20"/>
        </w:rPr>
        <w:t xml:space="preserve"> </w:t>
      </w:r>
      <w:r w:rsidRPr="00970766">
        <w:rPr>
          <w:rFonts w:ascii="Arial" w:hAnsi="Arial" w:cs="Arial"/>
          <w:sz w:val="20"/>
          <w:szCs w:val="20"/>
        </w:rPr>
        <w:t>vous concernant, vous ne serez identifié que par</w:t>
      </w:r>
      <w:r w:rsidRPr="00970766">
        <w:rPr>
          <w:rFonts w:ascii="Arial" w:eastAsia="Calibri" w:hAnsi="Arial" w:cs="Arial"/>
          <w:sz w:val="20"/>
          <w:szCs w:val="20"/>
        </w:rPr>
        <w:t xml:space="preserve"> les</w:t>
      </w:r>
      <w:r w:rsidR="001C748C" w:rsidRPr="00970766">
        <w:rPr>
          <w:rFonts w:ascii="Arial" w:eastAsia="Calibri" w:hAnsi="Arial" w:cs="Arial"/>
          <w:sz w:val="20"/>
          <w:szCs w:val="20"/>
        </w:rPr>
        <w:t xml:space="preserve"> trois</w:t>
      </w:r>
      <w:r w:rsidRPr="00970766">
        <w:rPr>
          <w:rFonts w:ascii="Arial" w:eastAsia="Calibri" w:hAnsi="Arial" w:cs="Arial"/>
          <w:sz w:val="20"/>
          <w:szCs w:val="20"/>
        </w:rPr>
        <w:t xml:space="preserve"> premières lettres de votre nom et par les deux premières lettres de votre prénom ainsi que par votre mois  et année de naissance</w:t>
      </w:r>
      <w:r w:rsidR="00BF420C" w:rsidRPr="00970766">
        <w:rPr>
          <w:rFonts w:ascii="Arial" w:eastAsia="Calibri" w:hAnsi="Arial" w:cs="Arial"/>
          <w:i/>
          <w:color w:val="7030A0"/>
          <w:sz w:val="20"/>
          <w:szCs w:val="20"/>
        </w:rPr>
        <w:t>.</w:t>
      </w:r>
    </w:p>
    <w:p w14:paraId="600D7514" w14:textId="77777777" w:rsidR="0024379D" w:rsidRPr="00970766" w:rsidRDefault="000B03AE" w:rsidP="00383191">
      <w:pPr>
        <w:jc w:val="both"/>
        <w:rPr>
          <w:rFonts w:ascii="Arial" w:eastAsia="Calibri" w:hAnsi="Arial" w:cs="Arial"/>
          <w:sz w:val="20"/>
          <w:szCs w:val="20"/>
        </w:rPr>
      </w:pPr>
      <w:r w:rsidRPr="00970766">
        <w:rPr>
          <w:rFonts w:ascii="Arial" w:eastAsia="Calibri" w:hAnsi="Arial" w:cs="Arial"/>
          <w:sz w:val="20"/>
          <w:szCs w:val="20"/>
        </w:rPr>
        <w:t xml:space="preserve">Ces données confidentielles </w:t>
      </w:r>
      <w:r w:rsidR="00AD5315" w:rsidRPr="00970766">
        <w:rPr>
          <w:rFonts w:ascii="Arial" w:eastAsia="Calibri" w:hAnsi="Arial" w:cs="Arial"/>
          <w:sz w:val="20"/>
          <w:szCs w:val="20"/>
        </w:rPr>
        <w:t>pseudonymisées</w:t>
      </w:r>
      <w:r w:rsidR="001C748C" w:rsidRPr="00970766">
        <w:rPr>
          <w:rFonts w:ascii="Arial" w:eastAsia="Calibri" w:hAnsi="Arial" w:cs="Arial"/>
          <w:sz w:val="20"/>
          <w:szCs w:val="20"/>
        </w:rPr>
        <w:t xml:space="preserve"> seront transmises au</w:t>
      </w:r>
      <w:r w:rsidRPr="00970766">
        <w:rPr>
          <w:rFonts w:ascii="Arial" w:eastAsia="Calibri" w:hAnsi="Arial" w:cs="Arial"/>
          <w:iCs/>
          <w:sz w:val="20"/>
          <w:szCs w:val="20"/>
        </w:rPr>
        <w:t xml:space="preserve"> </w:t>
      </w:r>
      <w:r w:rsidRPr="00970766">
        <w:rPr>
          <w:rFonts w:ascii="Arial" w:eastAsia="Calibri" w:hAnsi="Arial" w:cs="Arial"/>
          <w:sz w:val="20"/>
          <w:szCs w:val="20"/>
        </w:rPr>
        <w:t>labor</w:t>
      </w:r>
      <w:r w:rsidR="001C748C" w:rsidRPr="00970766">
        <w:rPr>
          <w:rFonts w:ascii="Arial" w:eastAsia="Calibri" w:hAnsi="Arial" w:cs="Arial"/>
          <w:sz w:val="20"/>
          <w:szCs w:val="20"/>
        </w:rPr>
        <w:t>atoire</w:t>
      </w:r>
      <w:r w:rsidRPr="00970766">
        <w:rPr>
          <w:rFonts w:ascii="Arial" w:eastAsia="Calibri" w:hAnsi="Arial" w:cs="Arial"/>
          <w:sz w:val="20"/>
          <w:szCs w:val="20"/>
        </w:rPr>
        <w:t xml:space="preserve"> </w:t>
      </w:r>
      <w:r w:rsidR="001C748C" w:rsidRPr="00970766">
        <w:rPr>
          <w:rFonts w:ascii="Arial" w:hAnsi="Arial" w:cs="Arial"/>
          <w:sz w:val="20"/>
          <w:szCs w:val="20"/>
        </w:rPr>
        <w:t>AbbVie</w:t>
      </w:r>
      <w:r w:rsidRPr="00970766">
        <w:rPr>
          <w:rFonts w:ascii="Arial" w:eastAsia="Calibri" w:hAnsi="Arial" w:cs="Arial"/>
          <w:sz w:val="20"/>
          <w:szCs w:val="20"/>
        </w:rPr>
        <w:t xml:space="preserve"> et feront l’objet d’un traitement informatisé.</w:t>
      </w:r>
    </w:p>
    <w:p w14:paraId="7F51784C" w14:textId="77777777" w:rsidR="0024379D" w:rsidRPr="00970766" w:rsidRDefault="0024379D" w:rsidP="00383191">
      <w:pPr>
        <w:rPr>
          <w:rFonts w:ascii="Arial" w:hAnsi="Arial" w:cs="Arial"/>
          <w:b/>
          <w:color w:val="2E74B5" w:themeColor="accent1" w:themeShade="BF"/>
          <w:sz w:val="20"/>
          <w:szCs w:val="20"/>
        </w:rPr>
      </w:pPr>
      <w:r w:rsidRPr="00970766">
        <w:rPr>
          <w:rFonts w:ascii="Arial" w:hAnsi="Arial" w:cs="Arial"/>
          <w:color w:val="2E74B5" w:themeColor="accent1" w:themeShade="BF"/>
          <w:sz w:val="20"/>
          <w:szCs w:val="20"/>
        </w:rPr>
        <w:t>À quoi vont servir vos données</w:t>
      </w:r>
      <w:r w:rsidRPr="00970766">
        <w:rPr>
          <w:rFonts w:ascii="Arial" w:hAnsi="Arial" w:cs="Arial"/>
          <w:b/>
          <w:color w:val="2E74B5" w:themeColor="accent1" w:themeShade="BF"/>
          <w:sz w:val="20"/>
          <w:szCs w:val="20"/>
        </w:rPr>
        <w:t> </w:t>
      </w:r>
      <w:r w:rsidRPr="00970766">
        <w:rPr>
          <w:rFonts w:ascii="Arial" w:hAnsi="Arial" w:cs="Arial"/>
          <w:color w:val="2E74B5" w:themeColor="accent1" w:themeShade="BF"/>
          <w:sz w:val="20"/>
          <w:szCs w:val="20"/>
        </w:rPr>
        <w:t>?</w:t>
      </w:r>
    </w:p>
    <w:p w14:paraId="7380FB5C" w14:textId="77777777" w:rsidR="0024379D" w:rsidRPr="00970766" w:rsidRDefault="0024379D" w:rsidP="00383191">
      <w:pPr>
        <w:jc w:val="both"/>
        <w:rPr>
          <w:rFonts w:ascii="Arial" w:hAnsi="Arial" w:cs="Arial"/>
          <w:sz w:val="20"/>
          <w:szCs w:val="20"/>
        </w:rPr>
      </w:pPr>
      <w:r w:rsidRPr="00970766">
        <w:rPr>
          <w:rFonts w:ascii="Arial" w:hAnsi="Arial" w:cs="Arial"/>
          <w:sz w:val="20"/>
          <w:szCs w:val="20"/>
        </w:rPr>
        <w:t xml:space="preserve">Pour pouvoir relever d’un </w:t>
      </w:r>
      <w:r w:rsidR="00891ADC" w:rsidRPr="00970766">
        <w:rPr>
          <w:rFonts w:ascii="Arial" w:hAnsi="Arial" w:cs="Arial"/>
          <w:sz w:val="20"/>
          <w:szCs w:val="20"/>
        </w:rPr>
        <w:t>CPC</w:t>
      </w:r>
      <w:r w:rsidRPr="00970766">
        <w:rPr>
          <w:rFonts w:ascii="Arial" w:hAnsi="Arial" w:cs="Arial"/>
          <w:sz w:val="20"/>
          <w:szCs w:val="20"/>
        </w:rPr>
        <w:t xml:space="preserve">, un médicament doit remplir plusieurs critères, notamment présenter plus de bénéfices que de risques. Vos données personnelles et en particulier les informations sur votre réponse et tolérance au traitement, permettront d’évaluer en continu si ces critères sont toujours remplis. </w:t>
      </w:r>
    </w:p>
    <w:p w14:paraId="3637ED16" w14:textId="77777777" w:rsidR="0024379D" w:rsidRPr="00970766" w:rsidRDefault="0024379D" w:rsidP="00383191">
      <w:pPr>
        <w:rPr>
          <w:rFonts w:ascii="Arial" w:hAnsi="Arial" w:cs="Arial"/>
          <w:color w:val="2E74B5" w:themeColor="accent1" w:themeShade="BF"/>
          <w:sz w:val="20"/>
          <w:szCs w:val="20"/>
        </w:rPr>
      </w:pPr>
      <w:r w:rsidRPr="00970766">
        <w:rPr>
          <w:rFonts w:ascii="Arial" w:hAnsi="Arial" w:cs="Arial"/>
          <w:color w:val="2E74B5" w:themeColor="accent1" w:themeShade="BF"/>
          <w:sz w:val="20"/>
          <w:szCs w:val="20"/>
        </w:rPr>
        <w:t>Vos données personnelles pourront-elles être réutilisées par la suite ?</w:t>
      </w:r>
    </w:p>
    <w:p w14:paraId="1A8F37CA" w14:textId="77777777" w:rsidR="0024379D" w:rsidRPr="00970766" w:rsidRDefault="0024379D" w:rsidP="00383191">
      <w:pPr>
        <w:ind w:right="215"/>
        <w:jc w:val="both"/>
        <w:textAlignment w:val="baseline"/>
        <w:rPr>
          <w:rFonts w:ascii="Arial" w:hAnsi="Arial" w:cs="Arial"/>
          <w:sz w:val="20"/>
          <w:szCs w:val="20"/>
        </w:rPr>
      </w:pPr>
      <w:r w:rsidRPr="00970766">
        <w:rPr>
          <w:rFonts w:ascii="Arial" w:hAnsi="Arial" w:cs="Arial"/>
          <w:sz w:val="20"/>
          <w:szCs w:val="20"/>
        </w:rPr>
        <w:t>Vos données personnelles,</w:t>
      </w:r>
      <w:r w:rsidR="002E338B" w:rsidRPr="00970766">
        <w:rPr>
          <w:rFonts w:ascii="Arial" w:hAnsi="Arial" w:cs="Arial"/>
          <w:sz w:val="20"/>
          <w:szCs w:val="20"/>
        </w:rPr>
        <w:t xml:space="preserve"> pseudonymisées</w:t>
      </w:r>
      <w:r w:rsidR="00622C19" w:rsidRPr="00970766">
        <w:rPr>
          <w:rFonts w:ascii="Arial" w:eastAsia="Calibri" w:hAnsi="Arial" w:cs="Arial"/>
          <w:sz w:val="20"/>
          <w:szCs w:val="20"/>
        </w:rPr>
        <w:t>,</w:t>
      </w:r>
      <w:r w:rsidR="000B03AE" w:rsidRPr="00970766">
        <w:rPr>
          <w:rFonts w:ascii="Arial" w:eastAsia="Calibri" w:hAnsi="Arial" w:cs="Arial"/>
          <w:sz w:val="20"/>
          <w:szCs w:val="20"/>
        </w:rPr>
        <w:t xml:space="preserve"> </w:t>
      </w:r>
      <w:r w:rsidRPr="00970766">
        <w:rPr>
          <w:rFonts w:ascii="Arial" w:hAnsi="Arial" w:cs="Arial"/>
          <w:sz w:val="20"/>
          <w:szCs w:val="20"/>
        </w:rPr>
        <w:t xml:space="preserve">pourront également être utilisées ensuite pour faire de la recherche, étude ou de l’évaluation dans le domaine de la santé. </w:t>
      </w:r>
    </w:p>
    <w:p w14:paraId="035C0F36" w14:textId="77777777" w:rsidR="0024379D" w:rsidRPr="00970766" w:rsidRDefault="0024379D" w:rsidP="00383191">
      <w:pPr>
        <w:ind w:right="215"/>
        <w:jc w:val="both"/>
        <w:textAlignment w:val="baseline"/>
        <w:rPr>
          <w:rFonts w:ascii="Arial" w:hAnsi="Arial" w:cs="Arial"/>
          <w:sz w:val="20"/>
          <w:szCs w:val="20"/>
        </w:rPr>
      </w:pPr>
      <w:r w:rsidRPr="00970766">
        <w:rPr>
          <w:rFonts w:ascii="Arial" w:hAnsi="Arial" w:cs="Arial"/>
          <w:sz w:val="20"/>
          <w:szCs w:val="20"/>
        </w:rPr>
        <w:t xml:space="preserve">Cette recherche se fera dans les conditions autorisées par le </w:t>
      </w:r>
      <w:hyperlink r:id="rId60" w:history="1">
        <w:r w:rsidR="00891ADC" w:rsidRPr="00970766">
          <w:rPr>
            <w:rStyle w:val="Lienhypertexte"/>
            <w:rFonts w:ascii="Arial" w:hAnsi="Arial" w:cs="Arial"/>
            <w:sz w:val="20"/>
            <w:szCs w:val="20"/>
          </w:rPr>
          <w:t>règlement général sur la protection des données</w:t>
        </w:r>
        <w:r w:rsidR="00A06A2F" w:rsidRPr="00970766">
          <w:rPr>
            <w:rStyle w:val="Lienhypertexte"/>
            <w:rFonts w:ascii="Arial" w:hAnsi="Arial" w:cs="Arial"/>
            <w:sz w:val="20"/>
            <w:szCs w:val="20"/>
          </w:rPr>
          <w:t xml:space="preserve"> du 27 avril 2016</w:t>
        </w:r>
      </w:hyperlink>
      <w:r w:rsidR="00891ADC" w:rsidRPr="00970766">
        <w:rPr>
          <w:rFonts w:ascii="Arial" w:hAnsi="Arial" w:cs="Arial"/>
          <w:sz w:val="20"/>
          <w:szCs w:val="20"/>
        </w:rPr>
        <w:t xml:space="preserve"> dit </w:t>
      </w:r>
      <w:r w:rsidRPr="00970766">
        <w:rPr>
          <w:rFonts w:ascii="Arial" w:hAnsi="Arial" w:cs="Arial"/>
          <w:sz w:val="20"/>
          <w:szCs w:val="20"/>
        </w:rPr>
        <w:t xml:space="preserve">RGPD et la </w:t>
      </w:r>
      <w:hyperlink r:id="rId61" w:history="1">
        <w:r w:rsidRPr="00970766">
          <w:rPr>
            <w:rStyle w:val="Lienhypertexte"/>
            <w:rFonts w:ascii="Arial" w:hAnsi="Arial" w:cs="Arial"/>
            <w:sz w:val="20"/>
            <w:szCs w:val="20"/>
          </w:rPr>
          <w:t>loi du 6 janvier 1978</w:t>
        </w:r>
      </w:hyperlink>
      <w:r w:rsidRPr="00970766">
        <w:rPr>
          <w:rFonts w:ascii="Arial" w:hAnsi="Arial" w:cs="Arial"/>
          <w:sz w:val="20"/>
          <w:szCs w:val="20"/>
        </w:rPr>
        <w:t xml:space="preserve"> modifiée dite loi « informatique et liberté » et après accomplissement des formalités nécessaire auprès de la CNIL. Dans ce cadre, elles pourront être utilisées de manière complémentaire avec d’autres données vous concernant. Cela signifie que vos données personnelles collectées au titre du CPC pourront être croisées avec des données du système national des données de santé (SNDS), qui réunit plusieurs bases de données de santé (telles que les données de l’Assurance maladie et des hôpitaux). </w:t>
      </w:r>
    </w:p>
    <w:p w14:paraId="7DC04163" w14:textId="77777777" w:rsidR="00383191" w:rsidRPr="00970766" w:rsidRDefault="0024379D" w:rsidP="00383191">
      <w:pPr>
        <w:ind w:right="215"/>
        <w:jc w:val="both"/>
        <w:textAlignment w:val="baseline"/>
        <w:rPr>
          <w:rFonts w:ascii="Arial" w:hAnsi="Arial" w:cs="Arial"/>
          <w:sz w:val="20"/>
          <w:szCs w:val="20"/>
        </w:rPr>
      </w:pPr>
      <w:r w:rsidRPr="00970766">
        <w:rPr>
          <w:rFonts w:ascii="Arial" w:hAnsi="Arial" w:cs="Arial"/>
          <w:sz w:val="20"/>
          <w:szCs w:val="20"/>
        </w:rPr>
        <w:t>Vous pouvez vous opposer à cette réutilisation à des fins de recherche auprès du médecin prescripteur qui vous a prescrit ce médicament.</w:t>
      </w:r>
    </w:p>
    <w:p w14:paraId="53996AB3" w14:textId="77777777" w:rsidR="001264F0" w:rsidRPr="00970766" w:rsidRDefault="001264F0" w:rsidP="001264F0">
      <w:pPr>
        <w:pStyle w:val="Corpsdetexte"/>
        <w:ind w:right="1112"/>
        <w:jc w:val="both"/>
        <w:rPr>
          <w:rFonts w:ascii="Arial" w:hAnsi="Arial" w:cs="Arial"/>
          <w:sz w:val="20"/>
          <w:szCs w:val="20"/>
        </w:rPr>
      </w:pPr>
      <w:r w:rsidRPr="00725862">
        <w:rPr>
          <w:rFonts w:ascii="Arial" w:hAnsi="Arial" w:cs="Arial"/>
          <w:sz w:val="20"/>
          <w:szCs w:val="20"/>
        </w:rPr>
        <w:t xml:space="preserve">Les informations relatives à une nouvelle recherche à partir de vos données seront disponibles sur le site du Health Data Hub qui publie un résumé du protocole de recherche pour tous les projets qui lui sont soumis : </w:t>
      </w:r>
      <w:hyperlink r:id="rId62" w:history="1">
        <w:r w:rsidRPr="00725862">
          <w:rPr>
            <w:rStyle w:val="Lienhypertexte"/>
            <w:rFonts w:ascii="Arial" w:hAnsi="Arial" w:cs="Arial"/>
            <w:sz w:val="20"/>
            <w:szCs w:val="20"/>
          </w:rPr>
          <w:t>https://www.health-data-hub.fr/projets</w:t>
        </w:r>
      </w:hyperlink>
      <w:r w:rsidRPr="00725862">
        <w:rPr>
          <w:rFonts w:ascii="Arial" w:hAnsi="Arial" w:cs="Arial"/>
          <w:sz w:val="20"/>
          <w:szCs w:val="20"/>
        </w:rPr>
        <w:t xml:space="preserve"> et à l’adresse suivante : </w:t>
      </w:r>
      <w:hyperlink r:id="rId63" w:history="1">
        <w:r w:rsidRPr="00725862">
          <w:rPr>
            <w:rStyle w:val="Lienhypertexte"/>
            <w:rFonts w:ascii="Arial" w:hAnsi="Arial" w:cs="Arial"/>
            <w:sz w:val="20"/>
            <w:szCs w:val="20"/>
          </w:rPr>
          <w:t>https://vraie-vie.abbvie.fr/</w:t>
        </w:r>
      </w:hyperlink>
      <w:r w:rsidRPr="00970766">
        <w:rPr>
          <w:rFonts w:ascii="Arial" w:hAnsi="Arial" w:cs="Arial"/>
          <w:sz w:val="20"/>
          <w:szCs w:val="20"/>
        </w:rPr>
        <w:t>.</w:t>
      </w:r>
    </w:p>
    <w:p w14:paraId="3F9F390F" w14:textId="77777777" w:rsidR="00383191" w:rsidRPr="00970766" w:rsidRDefault="00383191" w:rsidP="00383191">
      <w:pPr>
        <w:ind w:right="215"/>
        <w:jc w:val="both"/>
        <w:textAlignment w:val="baseline"/>
        <w:rPr>
          <w:rFonts w:ascii="Arial" w:hAnsi="Arial" w:cs="Arial"/>
          <w:sz w:val="20"/>
          <w:szCs w:val="20"/>
        </w:rPr>
      </w:pPr>
    </w:p>
    <w:p w14:paraId="5A5CBABB" w14:textId="77777777" w:rsidR="0024379D" w:rsidRPr="00970766" w:rsidRDefault="0024379D" w:rsidP="00255A5B">
      <w:pPr>
        <w:rPr>
          <w:rFonts w:ascii="Arial" w:hAnsi="Arial" w:cs="Arial"/>
          <w:color w:val="2E74B5" w:themeColor="accent1" w:themeShade="BF"/>
          <w:sz w:val="20"/>
          <w:szCs w:val="20"/>
        </w:rPr>
      </w:pPr>
      <w:r w:rsidRPr="00970766">
        <w:rPr>
          <w:rFonts w:ascii="Arial" w:hAnsi="Arial" w:cs="Arial"/>
          <w:color w:val="2E74B5" w:themeColor="accent1" w:themeShade="BF"/>
          <w:sz w:val="20"/>
          <w:szCs w:val="20"/>
        </w:rPr>
        <w:t xml:space="preserve">Sur quelle loi se fonde le traitement des données ? </w:t>
      </w:r>
    </w:p>
    <w:p w14:paraId="3274804F" w14:textId="77777777" w:rsidR="0024379D" w:rsidRPr="00970766" w:rsidRDefault="0024379D" w:rsidP="00255A5B">
      <w:pPr>
        <w:jc w:val="both"/>
        <w:rPr>
          <w:rFonts w:ascii="Arial" w:hAnsi="Arial" w:cs="Arial"/>
          <w:sz w:val="20"/>
          <w:szCs w:val="20"/>
        </w:rPr>
      </w:pPr>
      <w:r w:rsidRPr="00970766">
        <w:rPr>
          <w:rFonts w:ascii="Arial" w:hAnsi="Arial" w:cs="Arial"/>
          <w:sz w:val="20"/>
          <w:szCs w:val="20"/>
        </w:rPr>
        <w:t>Ce traitement de données est fondé sur une obligation légale à la charge de l’industriel, responsable</w:t>
      </w:r>
      <w:r w:rsidR="00F6220E" w:rsidRPr="00970766">
        <w:rPr>
          <w:rFonts w:ascii="Arial" w:hAnsi="Arial" w:cs="Arial"/>
          <w:sz w:val="20"/>
          <w:szCs w:val="20"/>
        </w:rPr>
        <w:t xml:space="preserve"> du traitement</w:t>
      </w:r>
      <w:r w:rsidRPr="00970766">
        <w:rPr>
          <w:rFonts w:ascii="Arial" w:hAnsi="Arial" w:cs="Arial"/>
          <w:sz w:val="20"/>
          <w:szCs w:val="20"/>
        </w:rPr>
        <w:t xml:space="preserve"> (article 6.1.c du </w:t>
      </w:r>
      <w:hyperlink r:id="rId64">
        <w:r w:rsidRPr="00970766">
          <w:rPr>
            <w:rFonts w:ascii="Arial" w:hAnsi="Arial" w:cs="Arial"/>
            <w:color w:val="004990"/>
            <w:sz w:val="20"/>
            <w:szCs w:val="20"/>
            <w:u w:val="single"/>
          </w:rPr>
          <w:t>RGPD</w:t>
        </w:r>
      </w:hyperlink>
      <w:r w:rsidRPr="00970766">
        <w:rPr>
          <w:rFonts w:ascii="Arial" w:hAnsi="Arial" w:cs="Arial"/>
          <w:sz w:val="20"/>
          <w:szCs w:val="20"/>
        </w:rPr>
        <w:t>)</w:t>
      </w:r>
      <w:r w:rsidR="00F6220E" w:rsidRPr="00970766">
        <w:rPr>
          <w:rFonts w:ascii="Arial" w:hAnsi="Arial" w:cs="Arial"/>
          <w:sz w:val="20"/>
          <w:szCs w:val="20"/>
        </w:rPr>
        <w:t>,</w:t>
      </w:r>
      <w:r w:rsidRPr="00970766">
        <w:rPr>
          <w:rFonts w:ascii="Arial" w:hAnsi="Arial" w:cs="Arial"/>
          <w:sz w:val="20"/>
          <w:szCs w:val="20"/>
        </w:rPr>
        <w:t xml:space="preserve"> telle que prévue </w:t>
      </w:r>
      <w:r w:rsidR="00D951A2" w:rsidRPr="00970766">
        <w:rPr>
          <w:rFonts w:ascii="Arial" w:hAnsi="Arial" w:cs="Arial"/>
          <w:sz w:val="20"/>
          <w:szCs w:val="20"/>
        </w:rPr>
        <w:t xml:space="preserve">à </w:t>
      </w:r>
      <w:r w:rsidR="00622C19" w:rsidRPr="00970766">
        <w:rPr>
          <w:rFonts w:ascii="Arial" w:hAnsi="Arial" w:cs="Arial"/>
          <w:sz w:val="20"/>
          <w:szCs w:val="20"/>
        </w:rPr>
        <w:t>l’</w:t>
      </w:r>
      <w:hyperlink r:id="rId65" w:history="1">
        <w:r w:rsidR="00A12A3C" w:rsidRPr="00970766">
          <w:rPr>
            <w:rStyle w:val="Lienhypertexte"/>
            <w:rFonts w:ascii="Arial" w:hAnsi="Arial" w:cs="Arial"/>
            <w:sz w:val="20"/>
            <w:szCs w:val="20"/>
          </w:rPr>
          <w:t>article L. 5121-12-1 du c</w:t>
        </w:r>
        <w:r w:rsidR="00622C19" w:rsidRPr="00970766">
          <w:rPr>
            <w:rStyle w:val="Lienhypertexte"/>
            <w:rFonts w:ascii="Arial" w:hAnsi="Arial" w:cs="Arial"/>
            <w:sz w:val="20"/>
            <w:szCs w:val="20"/>
          </w:rPr>
          <w:t>ode de la santé publique</w:t>
        </w:r>
      </w:hyperlink>
      <w:r w:rsidR="00622C19" w:rsidRPr="00970766">
        <w:rPr>
          <w:rFonts w:ascii="Arial" w:hAnsi="Arial" w:cs="Arial"/>
          <w:sz w:val="20"/>
          <w:szCs w:val="20"/>
        </w:rPr>
        <w:t xml:space="preserve"> </w:t>
      </w:r>
      <w:r w:rsidRPr="00970766">
        <w:rPr>
          <w:rFonts w:ascii="Arial" w:hAnsi="Arial" w:cs="Arial"/>
          <w:sz w:val="20"/>
          <w:szCs w:val="20"/>
        </w:rPr>
        <w:t xml:space="preserve">relatif au dispositif d’accès compassionnel aux médicaments. </w:t>
      </w:r>
    </w:p>
    <w:p w14:paraId="3A6B3183" w14:textId="77777777" w:rsidR="0024379D" w:rsidRPr="00970766" w:rsidRDefault="0024379D" w:rsidP="00255A5B">
      <w:pPr>
        <w:jc w:val="both"/>
        <w:rPr>
          <w:rFonts w:ascii="Arial" w:hAnsi="Arial" w:cs="Arial"/>
          <w:sz w:val="20"/>
          <w:szCs w:val="20"/>
        </w:rPr>
      </w:pPr>
      <w:r w:rsidRPr="00970766">
        <w:rPr>
          <w:rFonts w:ascii="Arial" w:hAnsi="Arial" w:cs="Arial"/>
          <w:sz w:val="20"/>
          <w:szCs w:val="20"/>
        </w:rPr>
        <w:t xml:space="preserve">La collecte de données de santé est justifiée par </w:t>
      </w:r>
      <w:r w:rsidR="009F32CB" w:rsidRPr="00970766">
        <w:rPr>
          <w:rFonts w:ascii="Arial" w:hAnsi="Arial" w:cs="Arial"/>
          <w:sz w:val="20"/>
          <w:szCs w:val="20"/>
        </w:rPr>
        <w:t>des motifs d’</w:t>
      </w:r>
      <w:r w:rsidRPr="00970766">
        <w:rPr>
          <w:rFonts w:ascii="Arial" w:hAnsi="Arial" w:cs="Arial"/>
          <w:sz w:val="20"/>
          <w:szCs w:val="20"/>
        </w:rPr>
        <w:t xml:space="preserve">intérêt public dans le domaine de la santé </w:t>
      </w:r>
      <w:r w:rsidR="009F32CB" w:rsidRPr="00970766">
        <w:rPr>
          <w:rFonts w:ascii="Arial" w:hAnsi="Arial" w:cs="Arial"/>
          <w:sz w:val="20"/>
          <w:szCs w:val="20"/>
        </w:rPr>
        <w:t xml:space="preserve">publique </w:t>
      </w:r>
      <w:r w:rsidRPr="00970766">
        <w:rPr>
          <w:rFonts w:ascii="Arial" w:hAnsi="Arial" w:cs="Arial"/>
          <w:sz w:val="20"/>
          <w:szCs w:val="20"/>
        </w:rPr>
        <w:t xml:space="preserve">(article 9.2.i du </w:t>
      </w:r>
      <w:hyperlink r:id="rId66" w:history="1">
        <w:r w:rsidRPr="00970766">
          <w:rPr>
            <w:rStyle w:val="Lienhypertexte"/>
            <w:rFonts w:ascii="Arial" w:hAnsi="Arial" w:cs="Arial"/>
            <w:sz w:val="20"/>
            <w:szCs w:val="20"/>
          </w:rPr>
          <w:t>RGPD</w:t>
        </w:r>
      </w:hyperlink>
      <w:r w:rsidRPr="00970766">
        <w:rPr>
          <w:rFonts w:ascii="Arial" w:hAnsi="Arial" w:cs="Arial"/>
          <w:sz w:val="20"/>
          <w:szCs w:val="20"/>
        </w:rPr>
        <w:t>). </w:t>
      </w:r>
    </w:p>
    <w:p w14:paraId="3D574E20" w14:textId="77777777" w:rsidR="002F43C1" w:rsidRPr="00970766" w:rsidRDefault="002F43C1" w:rsidP="00255A5B">
      <w:pPr>
        <w:jc w:val="both"/>
        <w:rPr>
          <w:rFonts w:ascii="Arial" w:hAnsi="Arial" w:cs="Arial"/>
          <w:sz w:val="20"/>
          <w:szCs w:val="20"/>
        </w:rPr>
      </w:pPr>
    </w:p>
    <w:p w14:paraId="595CEBCE" w14:textId="77777777" w:rsidR="0024379D" w:rsidRPr="00970766" w:rsidRDefault="0024379D" w:rsidP="00255A5B">
      <w:pPr>
        <w:rPr>
          <w:rFonts w:ascii="Arial" w:hAnsi="Arial" w:cs="Arial"/>
          <w:color w:val="2E74B5" w:themeColor="accent1" w:themeShade="BF"/>
          <w:sz w:val="20"/>
          <w:szCs w:val="20"/>
        </w:rPr>
      </w:pPr>
      <w:r w:rsidRPr="00970766">
        <w:rPr>
          <w:rFonts w:ascii="Arial" w:hAnsi="Arial" w:cs="Arial"/>
          <w:color w:val="2E74B5" w:themeColor="accent1" w:themeShade="BF"/>
          <w:sz w:val="20"/>
          <w:szCs w:val="20"/>
        </w:rPr>
        <w:t>Quelles sont les données collectées ?</w:t>
      </w:r>
    </w:p>
    <w:p w14:paraId="5CCF10EE" w14:textId="77777777" w:rsidR="0024379D" w:rsidRPr="00970766" w:rsidRDefault="0024379D" w:rsidP="00255A5B">
      <w:pPr>
        <w:spacing w:after="0"/>
        <w:jc w:val="both"/>
        <w:rPr>
          <w:rFonts w:ascii="Arial" w:hAnsi="Arial" w:cs="Arial"/>
          <w:sz w:val="20"/>
          <w:szCs w:val="20"/>
        </w:rPr>
      </w:pPr>
      <w:r w:rsidRPr="00970766">
        <w:rPr>
          <w:rFonts w:ascii="Arial" w:hAnsi="Arial" w:cs="Arial"/>
          <w:sz w:val="20"/>
          <w:szCs w:val="20"/>
        </w:rPr>
        <w:t>Votre médecin qui vous a</w:t>
      </w:r>
      <w:r w:rsidRPr="00970766">
        <w:rPr>
          <w:rFonts w:ascii="Arial" w:hAnsi="Arial" w:cs="Arial"/>
          <w:color w:val="7030A0"/>
          <w:sz w:val="20"/>
          <w:szCs w:val="20"/>
        </w:rPr>
        <w:t xml:space="preserve"> </w:t>
      </w:r>
      <w:r w:rsidRPr="00970766">
        <w:rPr>
          <w:rFonts w:ascii="Arial" w:hAnsi="Arial" w:cs="Arial"/>
          <w:sz w:val="20"/>
          <w:szCs w:val="20"/>
        </w:rPr>
        <w:t>prescrit</w:t>
      </w:r>
      <w:r w:rsidRPr="00970766">
        <w:rPr>
          <w:rFonts w:ascii="Arial" w:hAnsi="Arial" w:cs="Arial"/>
          <w:color w:val="7030A0"/>
          <w:sz w:val="20"/>
          <w:szCs w:val="20"/>
        </w:rPr>
        <w:t xml:space="preserve"> </w:t>
      </w:r>
      <w:r w:rsidRPr="00970766">
        <w:rPr>
          <w:rFonts w:ascii="Arial" w:hAnsi="Arial" w:cs="Arial"/>
          <w:sz w:val="20"/>
          <w:szCs w:val="20"/>
        </w:rPr>
        <w:t>le médicament sera</w:t>
      </w:r>
      <w:r w:rsidR="004B179B" w:rsidRPr="00970766">
        <w:rPr>
          <w:rFonts w:ascii="Arial" w:hAnsi="Arial" w:cs="Arial"/>
          <w:i/>
          <w:color w:val="7030A0"/>
          <w:sz w:val="20"/>
          <w:szCs w:val="20"/>
        </w:rPr>
        <w:t xml:space="preserve"> </w:t>
      </w:r>
      <w:r w:rsidRPr="00970766">
        <w:rPr>
          <w:rFonts w:ascii="Arial" w:hAnsi="Arial" w:cs="Arial"/>
          <w:sz w:val="20"/>
          <w:szCs w:val="20"/>
        </w:rPr>
        <w:t>amené</w:t>
      </w:r>
      <w:r w:rsidR="004B179B" w:rsidRPr="00970766">
        <w:rPr>
          <w:rFonts w:ascii="Arial" w:hAnsi="Arial" w:cs="Arial"/>
          <w:sz w:val="20"/>
          <w:szCs w:val="20"/>
        </w:rPr>
        <w:t xml:space="preserve"> </w:t>
      </w:r>
      <w:r w:rsidRPr="00970766">
        <w:rPr>
          <w:rFonts w:ascii="Arial" w:hAnsi="Arial" w:cs="Arial"/>
          <w:sz w:val="20"/>
          <w:szCs w:val="20"/>
        </w:rPr>
        <w:t xml:space="preserve">à collecter les données personnelles suivantes autant que de besoin aux fins de transmission au laboratoire pharmaceutique : </w:t>
      </w:r>
    </w:p>
    <w:p w14:paraId="0EC9652A" w14:textId="77777777" w:rsidR="0024379D" w:rsidRPr="00970766" w:rsidRDefault="0024379D" w:rsidP="00255A5B">
      <w:pPr>
        <w:pStyle w:val="Paragraphedeliste"/>
        <w:numPr>
          <w:ilvl w:val="0"/>
          <w:numId w:val="10"/>
        </w:numPr>
        <w:spacing w:after="0" w:line="288" w:lineRule="auto"/>
        <w:contextualSpacing w:val="0"/>
        <w:jc w:val="both"/>
        <w:rPr>
          <w:rFonts w:ascii="Arial" w:hAnsi="Arial" w:cs="Arial"/>
          <w:sz w:val="20"/>
          <w:szCs w:val="20"/>
        </w:rPr>
      </w:pPr>
      <w:r w:rsidRPr="00970766">
        <w:rPr>
          <w:rFonts w:ascii="Arial" w:hAnsi="Arial" w:cs="Arial"/>
          <w:sz w:val="20"/>
          <w:szCs w:val="20"/>
        </w:rPr>
        <w:t xml:space="preserve">votre identification : numéro, les trois premières lettres de votre nom et les deux premières lettres de votre prénom, sexe, poids, taille, âge ou année et mois de naissance </w:t>
      </w:r>
      <w:r w:rsidRPr="00EB0976">
        <w:rPr>
          <w:rFonts w:ascii="Arial" w:hAnsi="Arial" w:cs="Arial"/>
          <w:sz w:val="20"/>
          <w:szCs w:val="20"/>
        </w:rPr>
        <w:t xml:space="preserve">ou date de naissance complète si nécessaire dans un contexte pédiatrique </w:t>
      </w:r>
      <w:r w:rsidRPr="00970766">
        <w:rPr>
          <w:rFonts w:ascii="Arial" w:hAnsi="Arial" w:cs="Arial"/>
          <w:sz w:val="20"/>
          <w:szCs w:val="20"/>
        </w:rPr>
        <w:t>;</w:t>
      </w:r>
    </w:p>
    <w:p w14:paraId="5F3AA28B" w14:textId="77777777" w:rsidR="0024379D" w:rsidRPr="00970766" w:rsidRDefault="0024379D" w:rsidP="00255A5B">
      <w:pPr>
        <w:pStyle w:val="Paragraphedeliste"/>
        <w:numPr>
          <w:ilvl w:val="0"/>
          <w:numId w:val="10"/>
        </w:numPr>
        <w:spacing w:after="0" w:line="288" w:lineRule="auto"/>
        <w:contextualSpacing w:val="0"/>
        <w:jc w:val="both"/>
        <w:rPr>
          <w:rFonts w:ascii="Arial" w:hAnsi="Arial" w:cs="Arial"/>
          <w:sz w:val="20"/>
          <w:szCs w:val="20"/>
        </w:rPr>
      </w:pPr>
      <w:r w:rsidRPr="00970766">
        <w:rPr>
          <w:rFonts w:ascii="Arial" w:hAnsi="Arial" w:cs="Arial"/>
          <w:sz w:val="20"/>
          <w:szCs w:val="20"/>
        </w:rPr>
        <w:t xml:space="preserve">les informations relatives à votre état de santé : notamment l’histoire de votre maladie, vos antécédents personnels ou familiaux, vos autres maladies ou traitements ; </w:t>
      </w:r>
    </w:p>
    <w:p w14:paraId="677AA7BA" w14:textId="77777777" w:rsidR="0024379D" w:rsidRPr="00970766" w:rsidRDefault="0024379D" w:rsidP="00255A5B">
      <w:pPr>
        <w:pStyle w:val="Paragraphedeliste"/>
        <w:numPr>
          <w:ilvl w:val="0"/>
          <w:numId w:val="10"/>
        </w:numPr>
        <w:spacing w:after="0" w:line="288" w:lineRule="auto"/>
        <w:contextualSpacing w:val="0"/>
        <w:jc w:val="both"/>
        <w:rPr>
          <w:rFonts w:ascii="Arial" w:hAnsi="Arial" w:cs="Arial"/>
          <w:sz w:val="20"/>
          <w:szCs w:val="20"/>
        </w:rPr>
      </w:pPr>
      <w:r w:rsidRPr="00970766">
        <w:rPr>
          <w:rFonts w:ascii="Arial" w:hAnsi="Arial" w:cs="Arial"/>
          <w:sz w:val="20"/>
          <w:szCs w:val="20"/>
        </w:rPr>
        <w:t>les informations relatives aux conditions d’utilisation du médicament impliquant notamment : l’identification des professionnels de santé vous prenant en charge</w:t>
      </w:r>
      <w:r w:rsidR="00FA78CA" w:rsidRPr="00970766">
        <w:rPr>
          <w:rFonts w:ascii="Arial" w:hAnsi="Arial" w:cs="Arial"/>
          <w:sz w:val="20"/>
          <w:szCs w:val="20"/>
        </w:rPr>
        <w:t>,</w:t>
      </w:r>
      <w:r w:rsidRPr="00970766">
        <w:rPr>
          <w:rFonts w:ascii="Arial" w:hAnsi="Arial" w:cs="Arial"/>
          <w:sz w:val="20"/>
          <w:szCs w:val="20"/>
        </w:rPr>
        <w:t xml:space="preserve"> vos autres traitements, les informations relatives aux modalités de prescription et d’utilisation du médicament ;</w:t>
      </w:r>
    </w:p>
    <w:p w14:paraId="678186B9" w14:textId="77777777" w:rsidR="0024379D" w:rsidRPr="00970766" w:rsidRDefault="0024379D" w:rsidP="00255A5B">
      <w:pPr>
        <w:pStyle w:val="Paragraphedeliste"/>
        <w:numPr>
          <w:ilvl w:val="0"/>
          <w:numId w:val="10"/>
        </w:numPr>
        <w:spacing w:after="0" w:line="288" w:lineRule="auto"/>
        <w:contextualSpacing w:val="0"/>
        <w:jc w:val="both"/>
        <w:rPr>
          <w:rFonts w:ascii="Arial" w:hAnsi="Arial" w:cs="Arial"/>
          <w:sz w:val="20"/>
          <w:szCs w:val="20"/>
        </w:rPr>
      </w:pPr>
      <w:r w:rsidRPr="00970766">
        <w:rPr>
          <w:rFonts w:ascii="Arial" w:hAnsi="Arial" w:cs="Arial"/>
          <w:sz w:val="20"/>
          <w:szCs w:val="20"/>
        </w:rPr>
        <w:t>l’efficacité du médicament ;</w:t>
      </w:r>
    </w:p>
    <w:p w14:paraId="6F1A6695" w14:textId="77777777" w:rsidR="0024379D" w:rsidRPr="00970766" w:rsidRDefault="0024379D" w:rsidP="00255A5B">
      <w:pPr>
        <w:pStyle w:val="Paragraphedeliste"/>
        <w:numPr>
          <w:ilvl w:val="0"/>
          <w:numId w:val="10"/>
        </w:numPr>
        <w:spacing w:after="0" w:line="288" w:lineRule="auto"/>
        <w:contextualSpacing w:val="0"/>
        <w:jc w:val="both"/>
        <w:rPr>
          <w:rFonts w:ascii="Arial" w:hAnsi="Arial" w:cs="Arial"/>
          <w:sz w:val="20"/>
          <w:szCs w:val="20"/>
        </w:rPr>
      </w:pPr>
      <w:r w:rsidRPr="00970766">
        <w:rPr>
          <w:rFonts w:ascii="Arial" w:hAnsi="Arial" w:cs="Arial"/>
          <w:sz w:val="20"/>
          <w:szCs w:val="20"/>
        </w:rPr>
        <w:t>la nature et la fréquence des effets indésirables du médicament (ce sont les conséquences inattendues et désagréables du traitement que vous pourriez ressentir : douleur, nausées, diarrhées, etc.) ;</w:t>
      </w:r>
    </w:p>
    <w:p w14:paraId="62DE5A3D" w14:textId="77777777" w:rsidR="009F545E" w:rsidRPr="00970766" w:rsidRDefault="0024379D" w:rsidP="00255A5B">
      <w:pPr>
        <w:pStyle w:val="Paragraphedeliste"/>
        <w:numPr>
          <w:ilvl w:val="0"/>
          <w:numId w:val="10"/>
        </w:numPr>
        <w:spacing w:line="288" w:lineRule="auto"/>
        <w:contextualSpacing w:val="0"/>
        <w:jc w:val="both"/>
        <w:rPr>
          <w:rFonts w:ascii="Arial" w:hAnsi="Arial" w:cs="Arial"/>
          <w:sz w:val="20"/>
          <w:szCs w:val="20"/>
        </w:rPr>
      </w:pPr>
      <w:r w:rsidRPr="00970766">
        <w:rPr>
          <w:rFonts w:ascii="Arial" w:hAnsi="Arial" w:cs="Arial"/>
          <w:sz w:val="20"/>
          <w:szCs w:val="20"/>
        </w:rPr>
        <w:t xml:space="preserve">les motifs des éventuels arrêts de traitement. </w:t>
      </w:r>
    </w:p>
    <w:p w14:paraId="0738B699" w14:textId="77777777" w:rsidR="0024379D" w:rsidRPr="00970766" w:rsidRDefault="0024379D" w:rsidP="00255A5B">
      <w:pPr>
        <w:rPr>
          <w:rFonts w:ascii="Arial" w:hAnsi="Arial" w:cs="Arial"/>
          <w:color w:val="2E74B5" w:themeColor="accent1" w:themeShade="BF"/>
          <w:sz w:val="20"/>
        </w:rPr>
      </w:pPr>
      <w:r w:rsidRPr="00970766">
        <w:rPr>
          <w:rFonts w:ascii="Arial" w:hAnsi="Arial" w:cs="Arial"/>
          <w:color w:val="2E74B5" w:themeColor="accent1" w:themeShade="BF"/>
          <w:sz w:val="20"/>
        </w:rPr>
        <w:t>Qui est destinataire des données ?</w:t>
      </w:r>
    </w:p>
    <w:p w14:paraId="25C1B64B" w14:textId="77777777" w:rsidR="0024379D" w:rsidRPr="00970766" w:rsidRDefault="0024379D" w:rsidP="00255A5B">
      <w:pPr>
        <w:jc w:val="both"/>
        <w:rPr>
          <w:rFonts w:ascii="Arial" w:hAnsi="Arial" w:cs="Arial"/>
          <w:sz w:val="20"/>
          <w:szCs w:val="20"/>
        </w:rPr>
      </w:pPr>
      <w:r w:rsidRPr="00970766">
        <w:rPr>
          <w:rFonts w:ascii="Arial" w:hAnsi="Arial" w:cs="Arial"/>
          <w:sz w:val="20"/>
          <w:szCs w:val="20"/>
        </w:rPr>
        <w:t xml:space="preserve">Toutes ces informations confidentielles seront transmises aux personnels habilités </w:t>
      </w:r>
      <w:r w:rsidR="009E1B06" w:rsidRPr="00970766">
        <w:rPr>
          <w:rFonts w:ascii="Arial" w:hAnsi="Arial" w:cs="Arial"/>
          <w:sz w:val="20"/>
          <w:szCs w:val="20"/>
        </w:rPr>
        <w:t>d’AbbVie</w:t>
      </w:r>
      <w:r w:rsidRPr="00970766">
        <w:rPr>
          <w:rFonts w:ascii="Arial" w:hAnsi="Arial" w:cs="Arial"/>
          <w:sz w:val="20"/>
          <w:szCs w:val="20"/>
        </w:rPr>
        <w:t xml:space="preserve"> et ses éventuels sous-traitants (société de recherche sous contrat) sous une forme </w:t>
      </w:r>
      <w:r w:rsidR="009E1B06" w:rsidRPr="00970766">
        <w:rPr>
          <w:rFonts w:ascii="Arial" w:hAnsi="Arial" w:cs="Arial"/>
          <w:sz w:val="20"/>
          <w:szCs w:val="20"/>
        </w:rPr>
        <w:t>pseudonymisée</w:t>
      </w:r>
      <w:r w:rsidRPr="00970766">
        <w:rPr>
          <w:rFonts w:ascii="Arial" w:hAnsi="Arial" w:cs="Arial"/>
          <w:sz w:val="20"/>
          <w:szCs w:val="20"/>
        </w:rPr>
        <w:t>. Vous ne serez identifié que par les trois premières lettres de votre nom et les deux premières lettres de votre</w:t>
      </w:r>
      <w:r w:rsidR="00A6699F">
        <w:rPr>
          <w:rFonts w:ascii="Arial" w:hAnsi="Arial" w:cs="Arial"/>
          <w:sz w:val="20"/>
          <w:szCs w:val="20"/>
        </w:rPr>
        <w:t xml:space="preserve"> prénom, ainsi que par votre mois et année de naissance</w:t>
      </w:r>
      <w:r w:rsidRPr="00970766">
        <w:rPr>
          <w:rFonts w:ascii="Arial" w:hAnsi="Arial" w:cs="Arial"/>
          <w:sz w:val="20"/>
          <w:szCs w:val="20"/>
        </w:rPr>
        <w:t xml:space="preserve">. </w:t>
      </w:r>
    </w:p>
    <w:p w14:paraId="137B2341" w14:textId="77777777" w:rsidR="0024379D" w:rsidRPr="00970766" w:rsidRDefault="0024379D" w:rsidP="0024379D">
      <w:pPr>
        <w:jc w:val="both"/>
        <w:rPr>
          <w:rFonts w:ascii="Arial" w:hAnsi="Arial" w:cs="Arial"/>
          <w:sz w:val="20"/>
          <w:szCs w:val="20"/>
        </w:rPr>
      </w:pPr>
      <w:r w:rsidRPr="00970766">
        <w:rPr>
          <w:rFonts w:ascii="Arial" w:hAnsi="Arial" w:cs="Arial"/>
          <w:sz w:val="20"/>
          <w:szCs w:val="20"/>
        </w:rPr>
        <w:t xml:space="preserve">Vos données pourront également être transmises au personnel habilité des autres sociétés du groupe </w:t>
      </w:r>
      <w:r w:rsidR="00A6699F" w:rsidRPr="00970766">
        <w:rPr>
          <w:rFonts w:ascii="Arial" w:hAnsi="Arial" w:cs="Arial"/>
          <w:sz w:val="20"/>
          <w:szCs w:val="20"/>
        </w:rPr>
        <w:t>AbbVie</w:t>
      </w:r>
      <w:r w:rsidRPr="00970766">
        <w:rPr>
          <w:rFonts w:ascii="Arial" w:hAnsi="Arial" w:cs="Arial"/>
          <w:sz w:val="20"/>
          <w:szCs w:val="20"/>
        </w:rPr>
        <w:t xml:space="preserve"> auquel appartient</w:t>
      </w:r>
      <w:r w:rsidR="00A6699F" w:rsidRPr="00A6699F">
        <w:rPr>
          <w:rFonts w:ascii="Arial" w:hAnsi="Arial" w:cs="Arial"/>
          <w:sz w:val="20"/>
          <w:szCs w:val="20"/>
        </w:rPr>
        <w:t xml:space="preserve"> </w:t>
      </w:r>
      <w:r w:rsidR="00A6699F" w:rsidRPr="00970766">
        <w:rPr>
          <w:rFonts w:ascii="Arial" w:hAnsi="Arial" w:cs="Arial"/>
          <w:sz w:val="20"/>
          <w:szCs w:val="20"/>
        </w:rPr>
        <w:t>AbbVie</w:t>
      </w:r>
      <w:r w:rsidRPr="00970766">
        <w:rPr>
          <w:rStyle w:val="Marquedecommentaire"/>
          <w:rFonts w:ascii="Arial" w:hAnsi="Arial" w:cs="Arial"/>
          <w:sz w:val="20"/>
          <w:szCs w:val="20"/>
        </w:rPr>
        <w:t>.</w:t>
      </w:r>
    </w:p>
    <w:p w14:paraId="76043D71" w14:textId="77777777" w:rsidR="0024379D" w:rsidRPr="00970766" w:rsidRDefault="0024379D" w:rsidP="00255A5B">
      <w:pPr>
        <w:pStyle w:val="Commentaire"/>
        <w:spacing w:line="288" w:lineRule="auto"/>
        <w:jc w:val="both"/>
        <w:rPr>
          <w:rFonts w:ascii="Arial" w:hAnsi="Arial" w:cs="Arial"/>
        </w:rPr>
      </w:pPr>
      <w:r w:rsidRPr="00970766">
        <w:rPr>
          <w:rFonts w:ascii="Arial" w:hAnsi="Arial" w:cs="Arial"/>
        </w:rPr>
        <w:t xml:space="preserve">Ces informations seront traitées uniquement pour les finalités décrites ci-dessus. Un rapport </w:t>
      </w:r>
      <w:r w:rsidR="00B21933" w:rsidRPr="00970766">
        <w:rPr>
          <w:rFonts w:ascii="Arial" w:hAnsi="Arial" w:cs="Arial"/>
        </w:rPr>
        <w:t>relatif à l’ensemble des données recueillies</w:t>
      </w:r>
      <w:r w:rsidRPr="00970766">
        <w:rPr>
          <w:rFonts w:ascii="Arial" w:hAnsi="Arial" w:cs="Arial"/>
        </w:rPr>
        <w:t xml:space="preserve"> appelé rapport de synthèse ainsi qu’un résumé de ce rapport s</w:t>
      </w:r>
      <w:r w:rsidR="00F63B7A">
        <w:rPr>
          <w:rFonts w:ascii="Arial" w:hAnsi="Arial" w:cs="Arial"/>
        </w:rPr>
        <w:t>ont transmis par le laboratoire</w:t>
      </w:r>
      <w:r w:rsidR="00F63B7A" w:rsidRPr="00F63B7A">
        <w:rPr>
          <w:rFonts w:ascii="Arial" w:hAnsi="Arial" w:cs="Arial"/>
        </w:rPr>
        <w:t xml:space="preserve"> </w:t>
      </w:r>
      <w:r w:rsidR="00F63B7A" w:rsidRPr="00970766">
        <w:rPr>
          <w:rFonts w:ascii="Arial" w:hAnsi="Arial" w:cs="Arial"/>
        </w:rPr>
        <w:t>AbbVie</w:t>
      </w:r>
      <w:r w:rsidRPr="00970766">
        <w:rPr>
          <w:rFonts w:ascii="Arial" w:hAnsi="Arial" w:cs="Arial"/>
        </w:rPr>
        <w:t xml:space="preserve"> à l’ANSM, ainsi qu’au centre régional de pharmacovigilance désigné pour assurer au niveau national le suivi du médicament.</w:t>
      </w:r>
    </w:p>
    <w:p w14:paraId="1BB6072C" w14:textId="77777777" w:rsidR="00DA1833" w:rsidRPr="00970766" w:rsidRDefault="0024379D" w:rsidP="00255A5B">
      <w:pPr>
        <w:jc w:val="both"/>
        <w:rPr>
          <w:rFonts w:ascii="Arial" w:hAnsi="Arial" w:cs="Arial"/>
          <w:sz w:val="20"/>
          <w:szCs w:val="20"/>
        </w:rPr>
      </w:pPr>
      <w:r w:rsidRPr="00970766">
        <w:rPr>
          <w:rFonts w:ascii="Arial" w:hAnsi="Arial" w:cs="Arial"/>
          <w:sz w:val="20"/>
          <w:szCs w:val="20"/>
        </w:rPr>
        <w:t>Cette synthèse, ce rapport et ce résumé ne comprendront aucune information permettant de vous identifier.</w:t>
      </w:r>
    </w:p>
    <w:p w14:paraId="313DE4D9" w14:textId="77777777" w:rsidR="009F545E" w:rsidRPr="00F63B7A" w:rsidRDefault="0024379D" w:rsidP="00F63B7A">
      <w:pPr>
        <w:rPr>
          <w:rFonts w:ascii="Arial" w:hAnsi="Arial" w:cs="Arial"/>
          <w:color w:val="2E74B5" w:themeColor="accent1" w:themeShade="BF"/>
          <w:sz w:val="20"/>
        </w:rPr>
      </w:pPr>
      <w:r w:rsidRPr="00970766">
        <w:rPr>
          <w:rFonts w:ascii="Arial" w:hAnsi="Arial" w:cs="Arial"/>
          <w:color w:val="2E74B5" w:themeColor="accent1" w:themeShade="BF"/>
          <w:sz w:val="20"/>
        </w:rPr>
        <w:t>Tr</w:t>
      </w:r>
      <w:r w:rsidR="00F63B7A">
        <w:rPr>
          <w:rFonts w:ascii="Arial" w:hAnsi="Arial" w:cs="Arial"/>
          <w:color w:val="2E74B5" w:themeColor="accent1" w:themeShade="BF"/>
          <w:sz w:val="20"/>
        </w:rPr>
        <w:t xml:space="preserve">ansferts hors Union européenne </w:t>
      </w:r>
    </w:p>
    <w:p w14:paraId="2E8125B6" w14:textId="77777777" w:rsidR="0024379D" w:rsidRPr="00970766" w:rsidRDefault="0024379D" w:rsidP="00255A5B">
      <w:pPr>
        <w:jc w:val="both"/>
        <w:rPr>
          <w:rFonts w:ascii="Arial" w:hAnsi="Arial" w:cs="Arial"/>
          <w:sz w:val="20"/>
          <w:szCs w:val="20"/>
        </w:rPr>
      </w:pPr>
      <w:r w:rsidRPr="00970766">
        <w:rPr>
          <w:rFonts w:ascii="Arial" w:hAnsi="Arial" w:cs="Arial"/>
          <w:sz w:val="20"/>
          <w:szCs w:val="20"/>
        </w:rPr>
        <w:t>Vos données pourront faire l’objet d’un transfert vers des organismes établis en dehors de l’Union européenne lorsque le transfert est strictement nécessaire à la mise en œuvre du traitement de vos données.</w:t>
      </w:r>
    </w:p>
    <w:p w14:paraId="2B907888" w14:textId="77777777" w:rsidR="0024379D" w:rsidRDefault="0024379D" w:rsidP="00255A5B">
      <w:pPr>
        <w:jc w:val="both"/>
        <w:rPr>
          <w:rFonts w:ascii="Arial" w:hAnsi="Arial" w:cs="Arial"/>
          <w:sz w:val="20"/>
          <w:szCs w:val="20"/>
        </w:rPr>
      </w:pPr>
      <w:r w:rsidRPr="00970766">
        <w:rPr>
          <w:rFonts w:ascii="Arial" w:hAnsi="Arial" w:cs="Arial"/>
          <w:sz w:val="20"/>
          <w:szCs w:val="20"/>
        </w:rPr>
        <w:t>À cette fin, le laboratoire met en place les garanties nécessaires pour assurer la protection de vos droits en matière de protection des données personnelles, quel que soit le pays où vos données personnelles sont transférées.</w:t>
      </w:r>
    </w:p>
    <w:p w14:paraId="606CC2D6" w14:textId="3BD620D6" w:rsidR="00A56ECB" w:rsidRDefault="00F63B7A" w:rsidP="00A56ECB">
      <w:pPr>
        <w:pStyle w:val="Corpsdetexte"/>
        <w:jc w:val="both"/>
        <w:rPr>
          <w:rFonts w:ascii="Arial" w:hAnsi="Arial" w:cs="Arial"/>
          <w:sz w:val="20"/>
          <w:szCs w:val="20"/>
        </w:rPr>
      </w:pPr>
      <w:r w:rsidRPr="005C2522">
        <w:rPr>
          <w:rFonts w:ascii="Arial" w:hAnsi="Arial" w:cs="Arial"/>
          <w:sz w:val="20"/>
          <w:szCs w:val="20"/>
        </w:rPr>
        <w:t>Vos données personnelles peuvent être transférées</w:t>
      </w:r>
      <w:r w:rsidR="00A56ECB">
        <w:rPr>
          <w:rFonts w:ascii="Arial" w:hAnsi="Arial" w:cs="Arial"/>
          <w:sz w:val="20"/>
          <w:szCs w:val="20"/>
        </w:rPr>
        <w:t xml:space="preserve"> à</w:t>
      </w:r>
      <w:r w:rsidRPr="005C2522">
        <w:rPr>
          <w:rFonts w:ascii="Arial" w:hAnsi="Arial" w:cs="Arial"/>
          <w:sz w:val="20"/>
          <w:szCs w:val="20"/>
        </w:rPr>
        <w:t xml:space="preserve"> et traitées par</w:t>
      </w:r>
      <w:r w:rsidR="00A56ECB">
        <w:rPr>
          <w:rFonts w:ascii="Arial" w:hAnsi="Arial" w:cs="Arial"/>
          <w:sz w:val="20"/>
          <w:szCs w:val="20"/>
        </w:rPr>
        <w:t xml:space="preserve"> la maison mère d’AbbVie,</w:t>
      </w:r>
      <w:r w:rsidRPr="005C2522">
        <w:rPr>
          <w:rFonts w:ascii="Arial" w:hAnsi="Arial" w:cs="Arial"/>
          <w:sz w:val="20"/>
          <w:szCs w:val="20"/>
        </w:rPr>
        <w:t xml:space="preserve"> AbbVie Inc. sise aux Ét</w:t>
      </w:r>
      <w:r w:rsidR="00A56ECB">
        <w:rPr>
          <w:rFonts w:ascii="Arial" w:hAnsi="Arial" w:cs="Arial"/>
          <w:sz w:val="20"/>
          <w:szCs w:val="20"/>
        </w:rPr>
        <w:t>ats-Unis, société-mère d’AbbVie.</w:t>
      </w:r>
    </w:p>
    <w:p w14:paraId="2B117793" w14:textId="5BF1011A" w:rsidR="0024379D" w:rsidRPr="00E61755" w:rsidRDefault="00A56ECB" w:rsidP="00E61755">
      <w:pPr>
        <w:pStyle w:val="Corpsdetexte"/>
        <w:jc w:val="both"/>
        <w:rPr>
          <w:rFonts w:ascii="Arial" w:hAnsi="Arial" w:cs="Arial"/>
          <w:sz w:val="20"/>
          <w:szCs w:val="20"/>
        </w:rPr>
      </w:pPr>
      <w:r w:rsidRPr="00A56ECB">
        <w:rPr>
          <w:rFonts w:ascii="Arial" w:hAnsi="Arial" w:cs="Arial"/>
          <w:sz w:val="20"/>
          <w:szCs w:val="20"/>
        </w:rPr>
        <w:t xml:space="preserve">Le transfert de vos données vers la maison mère d’AbbVie, AbbVie Inc (Etats-Unis d’Amérique) est encadré par les clauses contractuelles types garantissant un niveau de protection suffisant des données personnelles. En cas de transfert subséquent vers des pays ne disposant pas de réglementation protectrice des données personnelles AbbVie s'assurera contractuellement que les données continueront à bénéficier d'une protection adéquate. Vous avez la possibilité de vous procurer une copie des clauses contractuelles types encadrant le transfert des données en vous adressant à </w:t>
      </w:r>
      <w:hyperlink r:id="rId67" w:history="1">
        <w:r w:rsidRPr="00DD11B4">
          <w:rPr>
            <w:rStyle w:val="Lienhypertexte"/>
            <w:rFonts w:ascii="Arial" w:hAnsi="Arial" w:cs="Arial"/>
            <w:sz w:val="20"/>
            <w:szCs w:val="20"/>
          </w:rPr>
          <w:t>privacyoffice@abbvie.com</w:t>
        </w:r>
      </w:hyperlink>
      <w:r w:rsidRPr="00A56ECB">
        <w:rPr>
          <w:rFonts w:ascii="Arial" w:hAnsi="Arial" w:cs="Arial"/>
          <w:sz w:val="20"/>
          <w:szCs w:val="20"/>
        </w:rPr>
        <w:t>.</w:t>
      </w:r>
      <w:r w:rsidR="00E61755">
        <w:rPr>
          <w:rFonts w:ascii="Arial" w:hAnsi="Arial" w:cs="Arial"/>
          <w:sz w:val="20"/>
          <w:szCs w:val="20"/>
        </w:rPr>
        <w:t xml:space="preserve"> </w:t>
      </w:r>
      <w:r w:rsidR="00F63B7A" w:rsidRPr="005C2522">
        <w:rPr>
          <w:rFonts w:ascii="Arial" w:hAnsi="Arial" w:cs="Arial"/>
          <w:sz w:val="20"/>
          <w:szCs w:val="20"/>
        </w:rPr>
        <w:t>En complément de la conclusion de clauses contractuelles types, une Etude d’Impacts sur le Transferts des Données Personnelles est réalisée par AbbVie.</w:t>
      </w:r>
    </w:p>
    <w:p w14:paraId="5825046A" w14:textId="77777777" w:rsidR="0024379D" w:rsidRPr="00970766" w:rsidRDefault="0024379D" w:rsidP="00255A5B">
      <w:pPr>
        <w:rPr>
          <w:rFonts w:ascii="Arial" w:hAnsi="Arial" w:cs="Arial"/>
          <w:color w:val="2E74B5" w:themeColor="accent1" w:themeShade="BF"/>
          <w:sz w:val="20"/>
        </w:rPr>
      </w:pPr>
      <w:r w:rsidRPr="00970766">
        <w:rPr>
          <w:rFonts w:ascii="Arial" w:hAnsi="Arial" w:cs="Arial"/>
          <w:color w:val="2E74B5" w:themeColor="accent1" w:themeShade="BF"/>
          <w:sz w:val="20"/>
        </w:rPr>
        <w:lastRenderedPageBreak/>
        <w:t>Combien de temps sont conservées vos données ?</w:t>
      </w:r>
    </w:p>
    <w:p w14:paraId="1F273153" w14:textId="77777777" w:rsidR="0024379D" w:rsidRPr="00970766" w:rsidRDefault="0024379D" w:rsidP="00255A5B">
      <w:pPr>
        <w:jc w:val="both"/>
        <w:rPr>
          <w:rFonts w:ascii="Arial" w:hAnsi="Arial" w:cs="Arial"/>
          <w:sz w:val="20"/>
          <w:szCs w:val="20"/>
        </w:rPr>
      </w:pPr>
      <w:r w:rsidRPr="00970766">
        <w:rPr>
          <w:rFonts w:ascii="Arial" w:hAnsi="Arial" w:cs="Arial"/>
          <w:sz w:val="20"/>
          <w:szCs w:val="20"/>
        </w:rPr>
        <w:t xml:space="preserve">Vos données personnelles sont </w:t>
      </w:r>
      <w:r w:rsidR="00365D3C">
        <w:rPr>
          <w:rFonts w:ascii="Arial" w:hAnsi="Arial" w:cs="Arial"/>
          <w:sz w:val="20"/>
          <w:szCs w:val="20"/>
        </w:rPr>
        <w:t>conservées pendant une durée de un an suivant l’approbation de l’ANSM du résumé du dernier rapport de synthèse</w:t>
      </w:r>
      <w:r w:rsidRPr="00970766">
        <w:rPr>
          <w:rFonts w:ascii="Arial" w:hAnsi="Arial" w:cs="Arial"/>
          <w:sz w:val="20"/>
          <w:szCs w:val="20"/>
        </w:rPr>
        <w:t xml:space="preserve"> pour une utilisation active. Les données </w:t>
      </w:r>
      <w:r w:rsidR="00365D3C">
        <w:rPr>
          <w:rFonts w:ascii="Arial" w:hAnsi="Arial" w:cs="Arial"/>
          <w:sz w:val="20"/>
          <w:szCs w:val="20"/>
        </w:rPr>
        <w:t>seront ensuite archivées durant 70 ans</w:t>
      </w:r>
      <w:r w:rsidR="00365D3C" w:rsidRPr="00365D3C">
        <w:t xml:space="preserve"> </w:t>
      </w:r>
      <w:r w:rsidR="00365D3C" w:rsidRPr="00365D3C">
        <w:rPr>
          <w:rFonts w:ascii="Arial" w:hAnsi="Arial" w:cs="Arial"/>
          <w:sz w:val="20"/>
          <w:szCs w:val="20"/>
        </w:rPr>
        <w:t>au maximum à compter de la date d’expiration du cadr</w:t>
      </w:r>
      <w:r w:rsidR="00365D3C">
        <w:rPr>
          <w:rFonts w:ascii="Arial" w:hAnsi="Arial" w:cs="Arial"/>
          <w:sz w:val="20"/>
          <w:szCs w:val="20"/>
        </w:rPr>
        <w:t>e de prescription compassionnel</w:t>
      </w:r>
      <w:r w:rsidR="00EE30AF">
        <w:rPr>
          <w:rFonts w:ascii="Arial" w:hAnsi="Arial" w:cs="Arial"/>
          <w:sz w:val="20"/>
          <w:szCs w:val="20"/>
        </w:rPr>
        <w:t>le</w:t>
      </w:r>
      <w:r w:rsidRPr="00970766">
        <w:rPr>
          <w:rFonts w:ascii="Arial" w:hAnsi="Arial" w:cs="Arial"/>
          <w:sz w:val="20"/>
          <w:szCs w:val="20"/>
        </w:rPr>
        <w:t>.</w:t>
      </w:r>
      <w:r w:rsidRPr="00970766">
        <w:rPr>
          <w:rFonts w:ascii="Arial" w:eastAsia="HelveticaNeueLT Std Lt" w:hAnsi="Arial" w:cs="Arial"/>
          <w:color w:val="231F20"/>
          <w:sz w:val="20"/>
          <w:szCs w:val="20"/>
        </w:rPr>
        <w:t xml:space="preserve"> </w:t>
      </w:r>
      <w:r w:rsidRPr="00970766">
        <w:rPr>
          <w:rFonts w:ascii="Arial" w:hAnsi="Arial" w:cs="Arial"/>
          <w:sz w:val="20"/>
          <w:szCs w:val="20"/>
        </w:rPr>
        <w:t>À l’issue de ces délais, vos données seront supprimées ou anonymisées.</w:t>
      </w:r>
    </w:p>
    <w:p w14:paraId="3D9BF653" w14:textId="77777777" w:rsidR="0024379D" w:rsidRPr="00970766" w:rsidRDefault="0024379D" w:rsidP="00255A5B">
      <w:pPr>
        <w:rPr>
          <w:rFonts w:ascii="Arial" w:hAnsi="Arial" w:cs="Arial"/>
          <w:color w:val="2E74B5" w:themeColor="accent1" w:themeShade="BF"/>
          <w:sz w:val="20"/>
        </w:rPr>
      </w:pPr>
      <w:r w:rsidRPr="00970766">
        <w:rPr>
          <w:rFonts w:ascii="Arial" w:hAnsi="Arial" w:cs="Arial"/>
          <w:color w:val="2E74B5" w:themeColor="accent1" w:themeShade="BF"/>
          <w:sz w:val="20"/>
        </w:rPr>
        <w:t>Les données seront-elles publiées ?</w:t>
      </w:r>
    </w:p>
    <w:p w14:paraId="23459855" w14:textId="77777777" w:rsidR="009F545E" w:rsidRPr="00970766" w:rsidRDefault="0024379D" w:rsidP="00255A5B">
      <w:pPr>
        <w:jc w:val="both"/>
        <w:rPr>
          <w:rFonts w:ascii="Arial" w:hAnsi="Arial" w:cs="Arial"/>
          <w:sz w:val="20"/>
          <w:szCs w:val="20"/>
        </w:rPr>
      </w:pPr>
      <w:r w:rsidRPr="00970766">
        <w:rPr>
          <w:rFonts w:ascii="Arial" w:hAnsi="Arial" w:cs="Arial"/>
          <w:sz w:val="20"/>
          <w:szCs w:val="20"/>
        </w:rPr>
        <w:t>L’</w:t>
      </w:r>
      <w:r w:rsidR="00D651FB" w:rsidRPr="00970766">
        <w:rPr>
          <w:rFonts w:ascii="Arial" w:hAnsi="Arial" w:cs="Arial"/>
          <w:sz w:val="20"/>
          <w:szCs w:val="20"/>
        </w:rPr>
        <w:t>ANSM</w:t>
      </w:r>
      <w:r w:rsidRPr="00970766">
        <w:rPr>
          <w:rFonts w:ascii="Arial" w:hAnsi="Arial" w:cs="Arial"/>
          <w:sz w:val="20"/>
          <w:szCs w:val="20"/>
        </w:rPr>
        <w:t xml:space="preserve"> publie sur son site internet un résumé du rapport de synthèse des informations recueillies po</w:t>
      </w:r>
      <w:r w:rsidR="007110FB">
        <w:rPr>
          <w:rFonts w:ascii="Arial" w:hAnsi="Arial" w:cs="Arial"/>
          <w:sz w:val="20"/>
          <w:szCs w:val="20"/>
        </w:rPr>
        <w:t xml:space="preserve">ur l’évaluation du médicament. </w:t>
      </w:r>
      <w:r w:rsidRPr="00970766">
        <w:rPr>
          <w:rFonts w:ascii="Arial" w:hAnsi="Arial" w:cs="Arial"/>
          <w:sz w:val="20"/>
          <w:szCs w:val="20"/>
        </w:rPr>
        <w:t>Des synthèses des résultats pourront par ailleurs être publiées</w:t>
      </w:r>
      <w:r w:rsidR="007110FB">
        <w:rPr>
          <w:rFonts w:ascii="Arial" w:hAnsi="Arial" w:cs="Arial"/>
          <w:sz w:val="20"/>
          <w:szCs w:val="20"/>
        </w:rPr>
        <w:t xml:space="preserve"> dans des revues scientifiques. </w:t>
      </w:r>
      <w:r w:rsidRPr="00970766">
        <w:rPr>
          <w:rFonts w:ascii="Arial" w:hAnsi="Arial" w:cs="Arial"/>
          <w:sz w:val="20"/>
          <w:szCs w:val="20"/>
        </w:rPr>
        <w:t>Aucun de ces documents publiés ne permettra de vous identifier.</w:t>
      </w:r>
    </w:p>
    <w:p w14:paraId="3FF1C7FA" w14:textId="77777777" w:rsidR="0024379D" w:rsidRPr="00970766" w:rsidRDefault="0024379D" w:rsidP="00255A5B">
      <w:pPr>
        <w:rPr>
          <w:rFonts w:ascii="Arial" w:hAnsi="Arial" w:cs="Arial"/>
          <w:color w:val="2E74B5" w:themeColor="accent1" w:themeShade="BF"/>
          <w:sz w:val="20"/>
        </w:rPr>
      </w:pPr>
      <w:r w:rsidRPr="00970766">
        <w:rPr>
          <w:rFonts w:ascii="Arial" w:hAnsi="Arial" w:cs="Arial"/>
          <w:color w:val="2E74B5" w:themeColor="accent1" w:themeShade="BF"/>
          <w:sz w:val="20"/>
        </w:rPr>
        <w:t>Quels sont vos droits et vos recours possibles ?</w:t>
      </w:r>
    </w:p>
    <w:p w14:paraId="39918628" w14:textId="77777777" w:rsidR="0024379D" w:rsidRPr="00970766" w:rsidRDefault="0024379D" w:rsidP="00255A5B">
      <w:pPr>
        <w:jc w:val="both"/>
        <w:rPr>
          <w:rFonts w:ascii="Arial" w:hAnsi="Arial" w:cs="Arial"/>
          <w:sz w:val="20"/>
          <w:szCs w:val="20"/>
        </w:rPr>
      </w:pPr>
      <w:r w:rsidRPr="00970766">
        <w:rPr>
          <w:rFonts w:ascii="Arial" w:hAnsi="Arial" w:cs="Arial"/>
          <w:sz w:val="20"/>
          <w:szCs w:val="20"/>
        </w:rPr>
        <w:t>Le médecin qui vous a prescrit le médicament est votre premier interlocuteur pour faire valoir vos droits sur vos données personnelles.</w:t>
      </w:r>
    </w:p>
    <w:p w14:paraId="1ED4792F" w14:textId="77777777" w:rsidR="0024379D" w:rsidRPr="00970766" w:rsidRDefault="0024379D" w:rsidP="00255A5B">
      <w:pPr>
        <w:jc w:val="both"/>
        <w:rPr>
          <w:rFonts w:ascii="Arial" w:hAnsi="Arial" w:cs="Arial"/>
          <w:sz w:val="20"/>
          <w:szCs w:val="20"/>
        </w:rPr>
      </w:pPr>
      <w:r w:rsidRPr="00970766">
        <w:rPr>
          <w:rFonts w:ascii="Arial" w:hAnsi="Arial" w:cs="Arial"/>
          <w:sz w:val="20"/>
          <w:szCs w:val="20"/>
        </w:rPr>
        <w:t>Vous pouvez demander à ce médecin :</w:t>
      </w:r>
    </w:p>
    <w:p w14:paraId="5839D2F2" w14:textId="77777777" w:rsidR="0024379D" w:rsidRPr="00970766" w:rsidRDefault="0024379D" w:rsidP="00255A5B">
      <w:pPr>
        <w:numPr>
          <w:ilvl w:val="2"/>
          <w:numId w:val="12"/>
        </w:numPr>
        <w:spacing w:line="288" w:lineRule="auto"/>
        <w:ind w:left="510" w:hanging="170"/>
        <w:jc w:val="both"/>
        <w:rPr>
          <w:rFonts w:ascii="Arial" w:hAnsi="Arial" w:cs="Arial"/>
          <w:sz w:val="20"/>
          <w:szCs w:val="20"/>
        </w:rPr>
      </w:pPr>
      <w:r w:rsidRPr="00970766">
        <w:rPr>
          <w:rFonts w:ascii="Arial" w:hAnsi="Arial" w:cs="Arial"/>
          <w:sz w:val="20"/>
          <w:szCs w:val="20"/>
        </w:rPr>
        <w:t>à consulter vos données personnelles ;</w:t>
      </w:r>
    </w:p>
    <w:p w14:paraId="3D5E63B5" w14:textId="77777777" w:rsidR="0024379D" w:rsidRPr="00970766" w:rsidRDefault="0024379D" w:rsidP="00255A5B">
      <w:pPr>
        <w:numPr>
          <w:ilvl w:val="2"/>
          <w:numId w:val="12"/>
        </w:numPr>
        <w:spacing w:line="288" w:lineRule="auto"/>
        <w:ind w:left="510" w:hanging="170"/>
        <w:jc w:val="both"/>
        <w:rPr>
          <w:rFonts w:ascii="Arial" w:hAnsi="Arial" w:cs="Arial"/>
          <w:sz w:val="20"/>
          <w:szCs w:val="20"/>
        </w:rPr>
      </w:pPr>
      <w:r w:rsidRPr="00970766">
        <w:rPr>
          <w:rFonts w:ascii="Arial" w:hAnsi="Arial" w:cs="Arial"/>
          <w:sz w:val="20"/>
          <w:szCs w:val="20"/>
        </w:rPr>
        <w:t>à les modifier ;</w:t>
      </w:r>
    </w:p>
    <w:p w14:paraId="6923EFC4" w14:textId="77777777" w:rsidR="0024379D" w:rsidRPr="00970766" w:rsidRDefault="0024379D" w:rsidP="00255A5B">
      <w:pPr>
        <w:numPr>
          <w:ilvl w:val="2"/>
          <w:numId w:val="12"/>
        </w:numPr>
        <w:spacing w:line="288" w:lineRule="auto"/>
        <w:ind w:left="510" w:hanging="170"/>
        <w:jc w:val="both"/>
        <w:rPr>
          <w:rFonts w:ascii="Arial" w:hAnsi="Arial" w:cs="Arial"/>
          <w:sz w:val="20"/>
          <w:szCs w:val="20"/>
        </w:rPr>
      </w:pPr>
      <w:r w:rsidRPr="00970766">
        <w:rPr>
          <w:rFonts w:ascii="Arial" w:hAnsi="Arial" w:cs="Arial"/>
          <w:sz w:val="20"/>
          <w:szCs w:val="20"/>
        </w:rPr>
        <w:t>à limiter le traitement de certaines données.</w:t>
      </w:r>
    </w:p>
    <w:p w14:paraId="22B22A51" w14:textId="77777777" w:rsidR="0024379D" w:rsidRPr="00970766" w:rsidRDefault="0024379D" w:rsidP="0024379D">
      <w:pPr>
        <w:jc w:val="both"/>
        <w:rPr>
          <w:rFonts w:ascii="Arial" w:hAnsi="Arial" w:cs="Arial"/>
          <w:sz w:val="20"/>
          <w:szCs w:val="20"/>
        </w:rPr>
      </w:pPr>
      <w:r w:rsidRPr="00970766">
        <w:rPr>
          <w:rFonts w:ascii="Arial" w:hAnsi="Arial" w:cs="Arial"/>
          <w:sz w:val="20"/>
          <w:szCs w:val="20"/>
        </w:rPr>
        <w:t xml:space="preserve">Si vous acceptez d’être traité par un médicament </w:t>
      </w:r>
      <w:r w:rsidR="002E338B" w:rsidRPr="00970766">
        <w:rPr>
          <w:rFonts w:ascii="Arial" w:hAnsi="Arial" w:cs="Arial"/>
          <w:sz w:val="20"/>
          <w:szCs w:val="20"/>
        </w:rPr>
        <w:t xml:space="preserve">prescrit </w:t>
      </w:r>
      <w:r w:rsidRPr="00970766">
        <w:rPr>
          <w:rFonts w:ascii="Arial" w:hAnsi="Arial" w:cs="Arial"/>
          <w:sz w:val="20"/>
          <w:szCs w:val="20"/>
        </w:rPr>
        <w:t>au titre d’un CPC, vous ne pouvez pas vous opposer à la transmission des données listées ci-dessus ou demander leur suppression. Le droit à l’effacement et le droit à la portabilité ne sont également pas applicables à ce traitement.</w:t>
      </w:r>
    </w:p>
    <w:p w14:paraId="280E1F6C" w14:textId="77777777" w:rsidR="0024379D" w:rsidRPr="00970766" w:rsidRDefault="0024379D" w:rsidP="0024379D">
      <w:pPr>
        <w:jc w:val="both"/>
        <w:rPr>
          <w:rFonts w:ascii="Arial" w:hAnsi="Arial" w:cs="Arial"/>
          <w:sz w:val="20"/>
          <w:szCs w:val="20"/>
        </w:rPr>
      </w:pPr>
      <w:r w:rsidRPr="00970766">
        <w:rPr>
          <w:rFonts w:ascii="Arial" w:hAnsi="Arial" w:cs="Arial"/>
          <w:sz w:val="20"/>
          <w:szCs w:val="20"/>
        </w:rPr>
        <w:t xml:space="preserve">Vous pouvez cependant vous opposer à la réutilisation de vos données pour de la recherche. </w:t>
      </w:r>
    </w:p>
    <w:p w14:paraId="40D83C57" w14:textId="77777777" w:rsidR="0024379D" w:rsidRPr="00970766" w:rsidRDefault="0024379D" w:rsidP="0024379D">
      <w:pPr>
        <w:jc w:val="both"/>
        <w:rPr>
          <w:rFonts w:ascii="Arial" w:hAnsi="Arial" w:cs="Arial"/>
          <w:b/>
          <w:bCs/>
          <w:sz w:val="20"/>
          <w:szCs w:val="20"/>
        </w:rPr>
      </w:pPr>
      <w:r w:rsidRPr="00970766">
        <w:rPr>
          <w:rFonts w:ascii="Arial" w:hAnsi="Arial" w:cs="Arial"/>
          <w:sz w:val="20"/>
          <w:szCs w:val="20"/>
        </w:rPr>
        <w:t>Vous pouvez contacter directement votre médecin pour exercer ces droits.</w:t>
      </w:r>
      <w:r w:rsidRPr="00970766">
        <w:rPr>
          <w:rFonts w:ascii="Arial" w:hAnsi="Arial" w:cs="Arial"/>
          <w:b/>
          <w:bCs/>
          <w:sz w:val="20"/>
          <w:szCs w:val="20"/>
        </w:rPr>
        <w:t xml:space="preserve"> </w:t>
      </w:r>
    </w:p>
    <w:p w14:paraId="428FA1BC" w14:textId="77777777" w:rsidR="0024379D" w:rsidRPr="00970766" w:rsidRDefault="0024379D" w:rsidP="0024379D">
      <w:pPr>
        <w:jc w:val="both"/>
        <w:rPr>
          <w:rFonts w:ascii="Arial" w:hAnsi="Arial" w:cs="Arial"/>
          <w:sz w:val="20"/>
          <w:szCs w:val="20"/>
        </w:rPr>
      </w:pPr>
      <w:r w:rsidRPr="00970766">
        <w:rPr>
          <w:rFonts w:ascii="Arial" w:hAnsi="Arial" w:cs="Arial"/>
          <w:sz w:val="20"/>
          <w:szCs w:val="20"/>
        </w:rPr>
        <w:t>Vous pouvez, par ailleurs, contacter le délégué à la protection des données (DPO) du l</w:t>
      </w:r>
      <w:r w:rsidR="007110FB">
        <w:rPr>
          <w:rFonts w:ascii="Arial" w:hAnsi="Arial" w:cs="Arial"/>
          <w:sz w:val="20"/>
          <w:szCs w:val="20"/>
        </w:rPr>
        <w:t xml:space="preserve">aboratoire à l’adresse suivante </w:t>
      </w:r>
      <w:hyperlink r:id="rId68" w:history="1">
        <w:r w:rsidR="00AD30D5" w:rsidRPr="001B3FF4">
          <w:rPr>
            <w:rStyle w:val="Lienhypertexte"/>
            <w:rFonts w:ascii="Arial" w:hAnsi="Arial" w:cs="Arial"/>
            <w:sz w:val="20"/>
            <w:szCs w:val="20"/>
          </w:rPr>
          <w:t>privacyoffice@abbvie.com</w:t>
        </w:r>
      </w:hyperlink>
      <w:r w:rsidR="00AD30D5">
        <w:rPr>
          <w:rFonts w:ascii="Arial" w:hAnsi="Arial" w:cs="Arial"/>
          <w:sz w:val="20"/>
          <w:szCs w:val="20"/>
        </w:rPr>
        <w:t xml:space="preserve"> </w:t>
      </w:r>
      <w:r w:rsidRPr="00970766">
        <w:rPr>
          <w:rFonts w:ascii="Arial" w:hAnsi="Arial" w:cs="Arial"/>
          <w:sz w:val="20"/>
          <w:szCs w:val="20"/>
        </w:rPr>
        <w:t>pour exercer ces droits, ce qui implique la transmission de votre identité au laboratoire.</w:t>
      </w:r>
    </w:p>
    <w:p w14:paraId="1B3C71C1" w14:textId="77777777" w:rsidR="0024379D" w:rsidRPr="00FF6442" w:rsidRDefault="0024379D" w:rsidP="0058190C">
      <w:pPr>
        <w:jc w:val="both"/>
      </w:pPr>
      <w:r w:rsidRPr="00970766">
        <w:rPr>
          <w:rFonts w:ascii="Arial" w:hAnsi="Arial" w:cs="Arial"/>
          <w:sz w:val="20"/>
          <w:szCs w:val="20"/>
        </w:rPr>
        <w:t xml:space="preserve">Vous pouvez également faire une réclamation à la Commission nationale de l’informatique et des libertés (CNIL) notamment sur son site internet </w:t>
      </w:r>
      <w:hyperlink r:id="rId69" w:history="1">
        <w:r w:rsidR="0026436F" w:rsidRPr="00970766">
          <w:rPr>
            <w:rStyle w:val="Lienhypertexte"/>
            <w:rFonts w:ascii="Arial" w:hAnsi="Arial" w:cs="Arial"/>
            <w:sz w:val="20"/>
            <w:szCs w:val="20"/>
          </w:rPr>
          <w:t>https://www.cnil.fr/</w:t>
        </w:r>
      </w:hyperlink>
      <w:r w:rsidR="00FF6442">
        <w:t>.</w:t>
      </w:r>
    </w:p>
    <w:p w14:paraId="78E4C563" w14:textId="77777777" w:rsidR="00597676" w:rsidRPr="00970766" w:rsidRDefault="00597676" w:rsidP="00893D43">
      <w:pPr>
        <w:jc w:val="both"/>
        <w:rPr>
          <w:rFonts w:ascii="Arial" w:hAnsi="Arial" w:cs="Arial"/>
          <w:b/>
          <w:sz w:val="20"/>
          <w:szCs w:val="20"/>
        </w:rPr>
      </w:pPr>
      <w:r w:rsidRPr="00970766">
        <w:rPr>
          <w:rFonts w:ascii="Arial" w:hAnsi="Arial" w:cs="Arial"/>
          <w:b/>
          <w:sz w:val="20"/>
          <w:szCs w:val="20"/>
        </w:rPr>
        <w:br w:type="page"/>
      </w:r>
    </w:p>
    <w:p w14:paraId="03A7855A" w14:textId="77777777" w:rsidR="00DB310C" w:rsidRPr="005C14E1" w:rsidRDefault="00DB310C" w:rsidP="00DB310C">
      <w:pPr>
        <w:keepNext/>
        <w:keepLines/>
        <w:spacing w:before="40" w:after="0"/>
        <w:outlineLvl w:val="1"/>
        <w:rPr>
          <w:rFonts w:ascii="Arial Narrow" w:eastAsiaTheme="majorEastAsia" w:hAnsi="Arial Narrow" w:cstheme="majorBidi"/>
          <w:color w:val="2E74B5" w:themeColor="accent1" w:themeShade="BF"/>
          <w:sz w:val="26"/>
          <w:szCs w:val="26"/>
        </w:rPr>
      </w:pPr>
      <w:bookmarkStart w:id="19" w:name="_Toc158900885"/>
      <w:r>
        <w:rPr>
          <w:rFonts w:ascii="Arial Narrow" w:eastAsiaTheme="majorEastAsia" w:hAnsi="Arial Narrow" w:cstheme="majorBidi"/>
          <w:color w:val="2E74B5" w:themeColor="accent1" w:themeShade="BF"/>
          <w:sz w:val="26"/>
          <w:szCs w:val="26"/>
        </w:rPr>
        <w:lastRenderedPageBreak/>
        <w:t>ANNEXE 4.2</w:t>
      </w:r>
      <w:r w:rsidRPr="005C14E1">
        <w:rPr>
          <w:rFonts w:ascii="Arial Narrow" w:eastAsiaTheme="majorEastAsia" w:hAnsi="Arial Narrow" w:cstheme="majorBidi"/>
          <w:color w:val="2E74B5" w:themeColor="accent1" w:themeShade="BF"/>
          <w:sz w:val="26"/>
          <w:szCs w:val="26"/>
        </w:rPr>
        <w:t> : Note d’information à destination des professionnels de santé sur le traitement des données personnelles</w:t>
      </w:r>
      <w:bookmarkEnd w:id="19"/>
    </w:p>
    <w:p w14:paraId="4CB37974" w14:textId="77777777" w:rsidR="00DB310C" w:rsidRPr="005C14E1" w:rsidRDefault="00DB310C" w:rsidP="00DB310C">
      <w:pPr>
        <w:widowControl w:val="0"/>
        <w:autoSpaceDE w:val="0"/>
        <w:autoSpaceDN w:val="0"/>
        <w:spacing w:after="0" w:line="240" w:lineRule="auto"/>
        <w:jc w:val="both"/>
        <w:rPr>
          <w:rFonts w:ascii="Arial" w:eastAsia="Times New Roman" w:hAnsi="Arial" w:cs="Arial"/>
          <w:sz w:val="20"/>
          <w:szCs w:val="20"/>
        </w:rPr>
      </w:pPr>
    </w:p>
    <w:p w14:paraId="1C4733FB" w14:textId="4930AD26" w:rsidR="00DB310C" w:rsidRPr="005C14E1" w:rsidRDefault="00DB310C" w:rsidP="00DB310C">
      <w:pPr>
        <w:spacing w:line="257" w:lineRule="auto"/>
        <w:jc w:val="both"/>
        <w:rPr>
          <w:rFonts w:ascii="Arial" w:eastAsia="Arial" w:hAnsi="Arial" w:cs="Arial"/>
          <w:sz w:val="20"/>
          <w:szCs w:val="20"/>
        </w:rPr>
      </w:pPr>
      <w:r w:rsidRPr="005C14E1">
        <w:rPr>
          <w:rFonts w:ascii="Arial" w:eastAsia="Arial" w:hAnsi="Arial" w:cs="Arial"/>
          <w:sz w:val="20"/>
          <w:szCs w:val="20"/>
        </w:rPr>
        <w:t>Ce document vous informe sur la collecte et le traitement (c’est-à-dire l’utilisation) de vos données à caractère personnel recueillies lorsque vous remplissez avec le patient la fiche d’initiation de traitement, la fiche de suivi de traitement ou la fiche de fin de traitement. Le responsable du traitement des données est AbbVie, laboratoire pharmaceutique situé 10 rue d’Arcueil 94150 Rungis</w:t>
      </w:r>
      <w:r w:rsidR="007420AA">
        <w:rPr>
          <w:rFonts w:ascii="Arial" w:eastAsia="Arial" w:hAnsi="Arial" w:cs="Arial"/>
          <w:sz w:val="20"/>
          <w:szCs w:val="20"/>
        </w:rPr>
        <w:t>.</w:t>
      </w:r>
    </w:p>
    <w:p w14:paraId="72A1D9AE" w14:textId="77777777" w:rsidR="00DB310C" w:rsidRPr="005C14E1" w:rsidRDefault="00DB310C" w:rsidP="00DB310C">
      <w:pPr>
        <w:spacing w:line="257" w:lineRule="auto"/>
        <w:jc w:val="both"/>
        <w:rPr>
          <w:rFonts w:ascii="Arial" w:eastAsia="Arial" w:hAnsi="Arial" w:cs="Arial"/>
          <w:sz w:val="20"/>
          <w:szCs w:val="20"/>
        </w:rPr>
      </w:pPr>
      <w:r w:rsidRPr="005C14E1">
        <w:rPr>
          <w:rFonts w:ascii="Arial" w:eastAsia="Arial" w:hAnsi="Arial" w:cs="Arial"/>
          <w:sz w:val="20"/>
          <w:szCs w:val="20"/>
        </w:rPr>
        <w:t>AbbVie s’engage à assurer la sécurité et la confidentialité de vos données à caractère personnel.</w:t>
      </w:r>
    </w:p>
    <w:p w14:paraId="4628DC93" w14:textId="77777777" w:rsidR="00DB310C" w:rsidRPr="005C14E1" w:rsidRDefault="00DB310C" w:rsidP="00DB310C">
      <w:pPr>
        <w:rPr>
          <w:rFonts w:ascii="Arial" w:hAnsi="Arial" w:cs="Arial"/>
          <w:color w:val="2E74B5" w:themeColor="accent1" w:themeShade="BF"/>
          <w:sz w:val="20"/>
        </w:rPr>
      </w:pPr>
      <w:r w:rsidRPr="005C14E1">
        <w:rPr>
          <w:rFonts w:ascii="Arial" w:hAnsi="Arial" w:cs="Arial"/>
          <w:color w:val="2E74B5" w:themeColor="accent1" w:themeShade="BF"/>
          <w:sz w:val="20"/>
        </w:rPr>
        <w:t>À quoi vont servir vos données ?</w:t>
      </w:r>
    </w:p>
    <w:p w14:paraId="28A2D0B1" w14:textId="77777777" w:rsidR="00DB310C" w:rsidRPr="005C14E1" w:rsidRDefault="00DB310C" w:rsidP="00DB310C">
      <w:pPr>
        <w:spacing w:line="257" w:lineRule="auto"/>
        <w:jc w:val="both"/>
        <w:rPr>
          <w:rFonts w:ascii="Arial" w:eastAsia="Arial" w:hAnsi="Arial" w:cs="Arial"/>
          <w:sz w:val="20"/>
          <w:szCs w:val="20"/>
        </w:rPr>
      </w:pPr>
      <w:r w:rsidRPr="005C14E1">
        <w:rPr>
          <w:rFonts w:ascii="Arial" w:eastAsia="Arial" w:hAnsi="Arial" w:cs="Arial"/>
          <w:sz w:val="20"/>
          <w:szCs w:val="20"/>
        </w:rPr>
        <w:t xml:space="preserve">Le traitement de vos données à caractère personnel vise à : </w:t>
      </w:r>
    </w:p>
    <w:p w14:paraId="092CCF40" w14:textId="09DC9938" w:rsidR="00DB310C" w:rsidRPr="005C14E1" w:rsidRDefault="00DB310C" w:rsidP="00DB310C">
      <w:pPr>
        <w:numPr>
          <w:ilvl w:val="2"/>
          <w:numId w:val="32"/>
        </w:numPr>
        <w:spacing w:after="0" w:line="288" w:lineRule="auto"/>
        <w:contextualSpacing/>
        <w:jc w:val="both"/>
      </w:pPr>
      <w:r w:rsidRPr="005C14E1">
        <w:rPr>
          <w:rFonts w:ascii="Arial" w:eastAsia="Arial" w:hAnsi="Arial" w:cs="Arial"/>
          <w:sz w:val="20"/>
          <w:szCs w:val="20"/>
        </w:rPr>
        <w:t xml:space="preserve">assurer le suivi de la collecte des données à caractère personnel des patients dans </w:t>
      </w:r>
      <w:r w:rsidRPr="00E321F7">
        <w:rPr>
          <w:rFonts w:ascii="Arial" w:eastAsia="Arial" w:hAnsi="Arial" w:cs="Arial"/>
          <w:sz w:val="20"/>
          <w:szCs w:val="20"/>
        </w:rPr>
        <w:t xml:space="preserve">le cadre de </w:t>
      </w:r>
      <w:r w:rsidRPr="005C14E1">
        <w:rPr>
          <w:rFonts w:ascii="Arial" w:eastAsia="Arial" w:hAnsi="Arial" w:cs="Arial"/>
          <w:sz w:val="20"/>
          <w:szCs w:val="20"/>
        </w:rPr>
        <w:t xml:space="preserve">prescription compassionnelle pour le médicament BOTOX 50, 100, 200 UNITÉS ALLERGAN </w:t>
      </w:r>
      <w:r w:rsidRPr="005C14E1">
        <w:t xml:space="preserve">en vue de garantir une utilisation de ce médicament conforme au protocole d’utilisation thérapeutique et de </w:t>
      </w:r>
      <w:r w:rsidR="00E321F7">
        <w:t xml:space="preserve">suivi des patients </w:t>
      </w:r>
      <w:r w:rsidRPr="005C14E1">
        <w:t>;</w:t>
      </w:r>
    </w:p>
    <w:p w14:paraId="17177F87" w14:textId="77777777" w:rsidR="00DB310C" w:rsidRPr="005C14E1" w:rsidRDefault="00DB310C" w:rsidP="00DB310C">
      <w:pPr>
        <w:numPr>
          <w:ilvl w:val="2"/>
          <w:numId w:val="32"/>
        </w:numPr>
        <w:spacing w:after="0" w:line="288" w:lineRule="auto"/>
        <w:contextualSpacing/>
        <w:jc w:val="both"/>
        <w:rPr>
          <w:rFonts w:ascii="Arial" w:eastAsia="Arial" w:hAnsi="Arial" w:cs="Arial"/>
          <w:sz w:val="20"/>
          <w:szCs w:val="20"/>
        </w:rPr>
      </w:pPr>
      <w:r w:rsidRPr="005C14E1">
        <w:rPr>
          <w:rFonts w:ascii="Arial" w:eastAsia="Arial" w:hAnsi="Arial" w:cs="Arial"/>
          <w:sz w:val="20"/>
          <w:szCs w:val="20"/>
        </w:rPr>
        <w:t>recueillir des informations sur les conditions d’utilisation du médicament sous cadre de prescription compassionnelle ;</w:t>
      </w:r>
    </w:p>
    <w:p w14:paraId="7B841723" w14:textId="77777777" w:rsidR="00DB310C" w:rsidRPr="005C14E1" w:rsidRDefault="00DB310C" w:rsidP="00DB310C">
      <w:pPr>
        <w:numPr>
          <w:ilvl w:val="2"/>
          <w:numId w:val="32"/>
        </w:numPr>
        <w:spacing w:after="0" w:line="288" w:lineRule="auto"/>
        <w:contextualSpacing/>
        <w:jc w:val="both"/>
        <w:rPr>
          <w:rFonts w:ascii="Arial" w:eastAsia="Arial" w:hAnsi="Arial" w:cs="Arial"/>
          <w:sz w:val="20"/>
          <w:szCs w:val="20"/>
        </w:rPr>
      </w:pPr>
      <w:r w:rsidRPr="005C14E1">
        <w:rPr>
          <w:rFonts w:ascii="Arial" w:eastAsia="Arial" w:hAnsi="Arial" w:cs="Arial"/>
          <w:sz w:val="20"/>
          <w:szCs w:val="20"/>
        </w:rPr>
        <w:t xml:space="preserve">assurer légitimement la gestion des contacts avec les médecins prescripteurs et les pharmaciens dispensateurs de ces médicaments. </w:t>
      </w:r>
    </w:p>
    <w:p w14:paraId="1578834B" w14:textId="77777777" w:rsidR="00DB310C" w:rsidRPr="005C14E1" w:rsidRDefault="00DB310C" w:rsidP="00DB310C">
      <w:pPr>
        <w:keepNext/>
        <w:keepLines/>
        <w:spacing w:before="40" w:after="0"/>
        <w:rPr>
          <w:rFonts w:ascii="Arial" w:eastAsia="Arial" w:hAnsi="Arial" w:cs="Arial"/>
          <w:color w:val="008080"/>
          <w:sz w:val="20"/>
          <w:szCs w:val="20"/>
          <w:u w:val="single"/>
        </w:rPr>
      </w:pPr>
      <w:r w:rsidRPr="005C14E1">
        <w:rPr>
          <w:rFonts w:ascii="Arial" w:eastAsia="Arial" w:hAnsi="Arial" w:cs="Arial"/>
          <w:color w:val="008080"/>
          <w:sz w:val="20"/>
          <w:szCs w:val="20"/>
          <w:u w:val="single"/>
        </w:rPr>
        <w:t xml:space="preserve"> </w:t>
      </w:r>
    </w:p>
    <w:p w14:paraId="4B51852D" w14:textId="77777777" w:rsidR="00DB310C" w:rsidRPr="005C14E1" w:rsidRDefault="00DB310C" w:rsidP="00DB310C">
      <w:pPr>
        <w:rPr>
          <w:rFonts w:ascii="Arial" w:hAnsi="Arial" w:cs="Arial"/>
          <w:color w:val="2E74B5" w:themeColor="accent1" w:themeShade="BF"/>
          <w:sz w:val="20"/>
        </w:rPr>
      </w:pPr>
      <w:r w:rsidRPr="005C14E1">
        <w:rPr>
          <w:rFonts w:ascii="Arial" w:hAnsi="Arial" w:cs="Arial"/>
          <w:color w:val="2E74B5" w:themeColor="accent1" w:themeShade="BF"/>
          <w:sz w:val="20"/>
        </w:rPr>
        <w:t xml:space="preserve">Sur quelle loi se fonde le traitement des données ? </w:t>
      </w:r>
    </w:p>
    <w:p w14:paraId="116EDA47" w14:textId="7AD6C504" w:rsidR="00DB310C" w:rsidRPr="005C14E1" w:rsidRDefault="00DB310C" w:rsidP="00DB310C">
      <w:pPr>
        <w:spacing w:line="257" w:lineRule="auto"/>
        <w:jc w:val="both"/>
        <w:rPr>
          <w:rFonts w:ascii="Arial" w:eastAsia="Arial" w:hAnsi="Arial" w:cs="Arial"/>
          <w:color w:val="008080"/>
          <w:sz w:val="20"/>
          <w:szCs w:val="20"/>
          <w:u w:val="single"/>
        </w:rPr>
      </w:pPr>
      <w:r w:rsidRPr="005C14E1">
        <w:rPr>
          <w:rFonts w:ascii="Arial" w:eastAsia="Arial" w:hAnsi="Arial" w:cs="Arial"/>
          <w:sz w:val="20"/>
          <w:szCs w:val="20"/>
        </w:rPr>
        <w:t xml:space="preserve">Ce traitement de données est fondé sur une obligation légale à la charge </w:t>
      </w:r>
      <w:r w:rsidR="006B48BB">
        <w:rPr>
          <w:rFonts w:ascii="Arial" w:eastAsia="Arial" w:hAnsi="Arial" w:cs="Arial"/>
          <w:sz w:val="20"/>
          <w:szCs w:val="20"/>
        </w:rPr>
        <w:t>du laboratoire</w:t>
      </w:r>
      <w:r>
        <w:rPr>
          <w:rFonts w:ascii="Arial" w:eastAsia="Arial" w:hAnsi="Arial" w:cs="Arial"/>
          <w:sz w:val="20"/>
          <w:szCs w:val="20"/>
        </w:rPr>
        <w:t xml:space="preserve">, responsable du traitement </w:t>
      </w:r>
      <w:r w:rsidRPr="005C14E1">
        <w:rPr>
          <w:rFonts w:ascii="Arial" w:eastAsia="Arial" w:hAnsi="Arial" w:cs="Arial"/>
          <w:sz w:val="20"/>
          <w:szCs w:val="20"/>
        </w:rPr>
        <w:t xml:space="preserve">(article 6.1.c du </w:t>
      </w:r>
      <w:hyperlink r:id="rId70" w:history="1">
        <w:r w:rsidRPr="005C14E1">
          <w:rPr>
            <w:rFonts w:ascii="Arial" w:eastAsia="Arial" w:hAnsi="Arial" w:cs="Arial"/>
            <w:color w:val="0563C1" w:themeColor="hyperlink"/>
            <w:sz w:val="20"/>
            <w:szCs w:val="20"/>
            <w:u w:val="single"/>
          </w:rPr>
          <w:t>RGPD</w:t>
        </w:r>
      </w:hyperlink>
      <w:r w:rsidRPr="005C14E1">
        <w:rPr>
          <w:rFonts w:ascii="Arial" w:eastAsia="Arial" w:hAnsi="Arial" w:cs="Arial"/>
          <w:sz w:val="20"/>
          <w:szCs w:val="20"/>
        </w:rPr>
        <w:t xml:space="preserve">) telle que prévue aux articles </w:t>
      </w:r>
      <w:hyperlink r:id="rId71" w:history="1">
        <w:r w:rsidRPr="005C14E1">
          <w:rPr>
            <w:rFonts w:ascii="Arial" w:eastAsia="Arial" w:hAnsi="Arial" w:cs="Arial"/>
            <w:color w:val="0563C1" w:themeColor="hyperlink"/>
            <w:sz w:val="20"/>
            <w:szCs w:val="20"/>
            <w:u w:val="single"/>
          </w:rPr>
          <w:t>L. 5121-12 et suivants du Code de la santé publique</w:t>
        </w:r>
      </w:hyperlink>
      <w:r w:rsidRPr="005C14E1">
        <w:rPr>
          <w:rFonts w:ascii="Arial" w:eastAsia="Arial" w:hAnsi="Arial" w:cs="Arial"/>
          <w:sz w:val="20"/>
          <w:szCs w:val="20"/>
        </w:rPr>
        <w:t xml:space="preserve"> et articles </w:t>
      </w:r>
      <w:hyperlink r:id="rId72" w:anchor=":~:text=Version%20en%20vigueur%20au%2020%20novembre%202023&amp;text=Le%20cadre%20de%20prescription%20compassionnelle,besoins%20sp%C3%A9ciaux%20des%20patients%20concern%C3%A9s." w:history="1">
        <w:r w:rsidRPr="005C14E1">
          <w:rPr>
            <w:rFonts w:ascii="Arial" w:eastAsia="Arial" w:hAnsi="Arial" w:cs="Arial"/>
            <w:color w:val="0563C1" w:themeColor="hyperlink"/>
            <w:sz w:val="20"/>
            <w:szCs w:val="20"/>
            <w:u w:val="single"/>
          </w:rPr>
          <w:t>R5121-76-1 à 11</w:t>
        </w:r>
      </w:hyperlink>
      <w:r w:rsidRPr="005C14E1">
        <w:rPr>
          <w:rFonts w:ascii="Arial" w:eastAsia="Arial" w:hAnsi="Arial" w:cs="Arial"/>
          <w:sz w:val="20"/>
          <w:szCs w:val="20"/>
        </w:rPr>
        <w:t xml:space="preserve"> relatifs au dispositif du </w:t>
      </w:r>
      <w:r w:rsidRPr="006B48BB">
        <w:rPr>
          <w:rFonts w:ascii="Arial" w:eastAsia="Arial" w:hAnsi="Arial" w:cs="Arial"/>
          <w:sz w:val="20"/>
          <w:szCs w:val="20"/>
        </w:rPr>
        <w:t>cadre de prescription compassionnelle aux médicaments.</w:t>
      </w:r>
      <w:r w:rsidRPr="005C14E1">
        <w:rPr>
          <w:rFonts w:ascii="Arial" w:eastAsia="Arial" w:hAnsi="Arial" w:cs="Arial"/>
          <w:sz w:val="20"/>
          <w:szCs w:val="20"/>
        </w:rPr>
        <w:t xml:space="preserve"> </w:t>
      </w:r>
    </w:p>
    <w:p w14:paraId="64B8A1D8" w14:textId="77777777" w:rsidR="00DB310C" w:rsidRPr="005C14E1" w:rsidRDefault="00DB310C" w:rsidP="00DB310C">
      <w:pPr>
        <w:spacing w:line="257" w:lineRule="auto"/>
        <w:jc w:val="both"/>
        <w:rPr>
          <w:rFonts w:ascii="Arial" w:eastAsia="Arial" w:hAnsi="Arial" w:cs="Arial"/>
          <w:sz w:val="20"/>
          <w:szCs w:val="20"/>
        </w:rPr>
      </w:pPr>
      <w:r w:rsidRPr="005C14E1">
        <w:rPr>
          <w:rFonts w:ascii="Arial" w:eastAsia="Arial" w:hAnsi="Arial" w:cs="Arial"/>
          <w:sz w:val="20"/>
          <w:szCs w:val="20"/>
        </w:rPr>
        <w:t xml:space="preserve">La collecte de données de santé est justifiée par un intérêt public </w:t>
      </w:r>
      <w:r>
        <w:rPr>
          <w:rFonts w:ascii="Arial" w:eastAsia="Arial" w:hAnsi="Arial" w:cs="Arial"/>
          <w:sz w:val="20"/>
          <w:szCs w:val="20"/>
        </w:rPr>
        <w:t>dans le domaine de la santé (ar</w:t>
      </w:r>
      <w:r w:rsidRPr="005C14E1">
        <w:rPr>
          <w:rFonts w:ascii="Arial" w:eastAsia="Arial" w:hAnsi="Arial" w:cs="Arial"/>
          <w:sz w:val="20"/>
          <w:szCs w:val="20"/>
        </w:rPr>
        <w:t xml:space="preserve">ticle 9.2.i) du </w:t>
      </w:r>
      <w:hyperlink r:id="rId73" w:history="1">
        <w:r w:rsidRPr="00970766">
          <w:rPr>
            <w:rStyle w:val="Lienhypertexte"/>
            <w:rFonts w:ascii="Arial" w:hAnsi="Arial" w:cs="Arial"/>
            <w:sz w:val="20"/>
            <w:szCs w:val="20"/>
          </w:rPr>
          <w:t>RGPD</w:t>
        </w:r>
      </w:hyperlink>
      <w:r w:rsidRPr="005C14E1">
        <w:rPr>
          <w:rFonts w:ascii="Arial" w:eastAsia="Arial" w:hAnsi="Arial" w:cs="Arial"/>
          <w:sz w:val="20"/>
          <w:szCs w:val="20"/>
        </w:rPr>
        <w:t xml:space="preserve">). </w:t>
      </w:r>
    </w:p>
    <w:p w14:paraId="1A25C352" w14:textId="77777777" w:rsidR="00DB310C" w:rsidRPr="005C14E1" w:rsidRDefault="00DB310C" w:rsidP="00DB310C">
      <w:pPr>
        <w:spacing w:line="257" w:lineRule="auto"/>
        <w:jc w:val="both"/>
        <w:rPr>
          <w:rFonts w:ascii="Arial" w:eastAsia="Arial" w:hAnsi="Arial" w:cs="Arial"/>
          <w:color w:val="008080"/>
          <w:sz w:val="20"/>
          <w:szCs w:val="20"/>
          <w:u w:val="single"/>
        </w:rPr>
      </w:pPr>
      <w:r w:rsidRPr="005C14E1">
        <w:rPr>
          <w:rFonts w:ascii="Arial" w:eastAsia="Arial" w:hAnsi="Arial" w:cs="Arial"/>
          <w:color w:val="008080"/>
          <w:sz w:val="20"/>
          <w:szCs w:val="20"/>
          <w:u w:val="single"/>
        </w:rPr>
        <w:t xml:space="preserve"> </w:t>
      </w:r>
    </w:p>
    <w:p w14:paraId="35C2F130" w14:textId="77777777" w:rsidR="00DB310C" w:rsidRPr="005C14E1" w:rsidRDefault="00DB310C" w:rsidP="00DB310C">
      <w:pPr>
        <w:rPr>
          <w:rFonts w:ascii="Arial" w:hAnsi="Arial" w:cs="Arial"/>
          <w:color w:val="2E74B5" w:themeColor="accent1" w:themeShade="BF"/>
          <w:sz w:val="20"/>
        </w:rPr>
      </w:pPr>
      <w:r w:rsidRPr="005C14E1">
        <w:rPr>
          <w:rFonts w:ascii="Arial" w:hAnsi="Arial" w:cs="Arial"/>
          <w:color w:val="2E74B5" w:themeColor="accent1" w:themeShade="BF"/>
          <w:sz w:val="20"/>
        </w:rPr>
        <w:t>Quelles sont les données collectées ?</w:t>
      </w:r>
    </w:p>
    <w:p w14:paraId="12AB9475" w14:textId="15F8C27E" w:rsidR="00DB310C" w:rsidRPr="005C14E1" w:rsidRDefault="00DB310C" w:rsidP="00DB310C">
      <w:pPr>
        <w:spacing w:line="257" w:lineRule="auto"/>
        <w:jc w:val="both"/>
        <w:rPr>
          <w:rFonts w:ascii="Calibri" w:eastAsia="Calibri" w:hAnsi="Calibri" w:cs="Calibri"/>
        </w:rPr>
      </w:pPr>
      <w:r w:rsidRPr="005C14E1">
        <w:rPr>
          <w:rFonts w:ascii="Arial" w:eastAsia="Arial" w:hAnsi="Arial" w:cs="Arial"/>
          <w:sz w:val="20"/>
          <w:szCs w:val="20"/>
        </w:rPr>
        <w:t>Aux fins d’assurer le suivi de la collecte des données à caractère personnel des patients dans le cadre de prescription compassionnelle pour le médicament BOTOX 50, 100, 200 UNITÉS ALLERGAN</w:t>
      </w:r>
      <w:r w:rsidRPr="005C14E1">
        <w:rPr>
          <w:rFonts w:ascii="Calibri" w:eastAsia="Calibri" w:hAnsi="Calibri" w:cs="Calibri"/>
        </w:rPr>
        <w:t xml:space="preserve">, AbbVie collectera des données permettant de vous identifier telles que votre nom, votre prénom, votre spécialité, votre numéro d’inscription au répertoire partagé des professionnels de santé (RPPS), votre numéro d’inscription au Fichier National des Établissements Sanitaires et Sociaux (FINESS), le type de structure dans laquelle vous exercez (CHU, CHG, CLCC ou centre privé) et vos coordonnées professionnelles (numéro de téléphone et email). </w:t>
      </w:r>
    </w:p>
    <w:p w14:paraId="5B6B140F" w14:textId="77777777" w:rsidR="00DB310C" w:rsidRPr="005C14E1" w:rsidRDefault="00DB310C" w:rsidP="00DB310C">
      <w:pPr>
        <w:spacing w:line="257" w:lineRule="auto"/>
        <w:jc w:val="both"/>
        <w:rPr>
          <w:rFonts w:ascii="Arial" w:eastAsia="Arial" w:hAnsi="Arial" w:cs="Arial"/>
          <w:color w:val="008080"/>
          <w:sz w:val="20"/>
          <w:szCs w:val="20"/>
          <w:u w:val="single"/>
        </w:rPr>
      </w:pPr>
      <w:r w:rsidRPr="005C14E1">
        <w:rPr>
          <w:rFonts w:ascii="Arial" w:eastAsia="Arial" w:hAnsi="Arial" w:cs="Arial"/>
          <w:color w:val="008080"/>
          <w:sz w:val="20"/>
          <w:szCs w:val="20"/>
          <w:u w:val="single"/>
        </w:rPr>
        <w:t xml:space="preserve"> </w:t>
      </w:r>
    </w:p>
    <w:p w14:paraId="35ED6F32" w14:textId="77777777" w:rsidR="00DB310C" w:rsidRPr="005C14E1" w:rsidRDefault="00DB310C" w:rsidP="00DB310C">
      <w:pPr>
        <w:rPr>
          <w:rFonts w:ascii="Arial" w:hAnsi="Arial" w:cs="Arial"/>
          <w:color w:val="2E74B5" w:themeColor="accent1" w:themeShade="BF"/>
          <w:sz w:val="20"/>
        </w:rPr>
      </w:pPr>
      <w:r w:rsidRPr="005C14E1">
        <w:rPr>
          <w:rFonts w:ascii="Arial" w:hAnsi="Arial" w:cs="Arial"/>
          <w:color w:val="2E74B5" w:themeColor="accent1" w:themeShade="BF"/>
          <w:sz w:val="20"/>
        </w:rPr>
        <w:t>Qui est destinataire des données ?</w:t>
      </w:r>
    </w:p>
    <w:p w14:paraId="70CFB2A5" w14:textId="77777777" w:rsidR="00DB310C" w:rsidRPr="005C14E1" w:rsidRDefault="00DB310C" w:rsidP="00DB310C">
      <w:pPr>
        <w:spacing w:line="257" w:lineRule="auto"/>
        <w:jc w:val="both"/>
        <w:rPr>
          <w:rFonts w:ascii="Arial" w:eastAsia="Arial" w:hAnsi="Arial" w:cs="Arial"/>
          <w:sz w:val="20"/>
          <w:szCs w:val="20"/>
        </w:rPr>
      </w:pPr>
      <w:r w:rsidRPr="005C14E1">
        <w:rPr>
          <w:rFonts w:ascii="Arial" w:eastAsia="Arial" w:hAnsi="Arial" w:cs="Arial"/>
          <w:sz w:val="20"/>
          <w:szCs w:val="20"/>
        </w:rPr>
        <w:t xml:space="preserve">Les destinataires de vos données sont AbbVie, les sous-traitants d’AbbVie présentant des garanties suffisantes au titre de la mise en œuvre de mesures techniques et organisationnelles appropriées, en particulier en termes de confidentialité et de sécurité et la maison mère d’AbbVie, AbbVie Inc (situés aux Etats-Unis d’Amérique), intervenant dans la mise en œuvre du cadre de prescription compassionnelle. Vos données sont également destinées aux organismes publics communautaires, nationaux ou locaux en charge de la surveillance des médicaments sous cadre de prescription compassionnelle. Le transfert de vos données vers la maison mère d’AbbVie, AbbVie Inc (Etats-Unis </w:t>
      </w:r>
      <w:r w:rsidRPr="005C14E1">
        <w:rPr>
          <w:rFonts w:ascii="Arial" w:eastAsia="Arial" w:hAnsi="Arial" w:cs="Arial"/>
          <w:sz w:val="20"/>
          <w:szCs w:val="20"/>
        </w:rPr>
        <w:lastRenderedPageBreak/>
        <w:t>d’Amérique) est encadré par les clauses contractuelles types garantissant un niveau de protection suffisant des données personnelles. En cas de transfert subséquent vers des pays ne disposant pas de réglementation protectrice des données personnelles AbbVie s'assurera contractuellement que les données continueront à bénéficier d'une protection adéquate. Vous avez la possibilité de vous procurer une copie des clauses contractuelles types encadrant le transfert des données en vous adressant à</w:t>
      </w:r>
      <w:r w:rsidRPr="005C14E1">
        <w:rPr>
          <w:rFonts w:ascii="Arial" w:eastAsia="Arial" w:hAnsi="Arial" w:cs="Arial"/>
          <w:sz w:val="20"/>
          <w:szCs w:val="20"/>
          <w:u w:val="single"/>
        </w:rPr>
        <w:t xml:space="preserve"> </w:t>
      </w:r>
      <w:hyperlink r:id="rId74" w:history="1">
        <w:r w:rsidRPr="005C14E1">
          <w:rPr>
            <w:rFonts w:ascii="Arial" w:eastAsia="Arial" w:hAnsi="Arial" w:cs="Arial"/>
            <w:color w:val="0563C1" w:themeColor="hyperlink"/>
            <w:sz w:val="20"/>
            <w:szCs w:val="20"/>
            <w:u w:val="single"/>
          </w:rPr>
          <w:t>privacyoffice@abbvie.com</w:t>
        </w:r>
      </w:hyperlink>
      <w:r w:rsidRPr="005C14E1">
        <w:rPr>
          <w:rFonts w:ascii="Arial" w:eastAsia="Arial" w:hAnsi="Arial" w:cs="Arial"/>
          <w:sz w:val="20"/>
          <w:szCs w:val="20"/>
        </w:rPr>
        <w:t>. Vous êtes informé qu’en aucun cas vos données ne seront communiquées à des tiers non autorisés et en particulier vos données ne feront en aucun cas l’objet de commercialisation.</w:t>
      </w:r>
    </w:p>
    <w:p w14:paraId="6B0549D7" w14:textId="77777777" w:rsidR="00DB310C" w:rsidRPr="005C14E1" w:rsidRDefault="00DB310C" w:rsidP="00DB310C">
      <w:pPr>
        <w:spacing w:line="257" w:lineRule="auto"/>
        <w:jc w:val="both"/>
        <w:rPr>
          <w:rFonts w:ascii="Arial" w:eastAsia="Arial" w:hAnsi="Arial" w:cs="Arial"/>
          <w:color w:val="008080"/>
          <w:sz w:val="20"/>
          <w:szCs w:val="20"/>
          <w:u w:val="single"/>
        </w:rPr>
      </w:pPr>
      <w:r w:rsidRPr="005C14E1">
        <w:rPr>
          <w:rFonts w:ascii="Arial" w:eastAsia="Arial" w:hAnsi="Arial" w:cs="Arial"/>
          <w:color w:val="008080"/>
          <w:sz w:val="20"/>
          <w:szCs w:val="20"/>
          <w:u w:val="single"/>
        </w:rPr>
        <w:t xml:space="preserve"> </w:t>
      </w:r>
    </w:p>
    <w:p w14:paraId="44EEBE82" w14:textId="77777777" w:rsidR="00DB310C" w:rsidRPr="005C14E1" w:rsidRDefault="00DB310C" w:rsidP="00DB310C">
      <w:pPr>
        <w:rPr>
          <w:rFonts w:ascii="Arial" w:hAnsi="Arial" w:cs="Arial"/>
          <w:color w:val="2E74B5" w:themeColor="accent1" w:themeShade="BF"/>
          <w:sz w:val="20"/>
        </w:rPr>
      </w:pPr>
      <w:r w:rsidRPr="005C14E1">
        <w:rPr>
          <w:rFonts w:ascii="Arial" w:hAnsi="Arial" w:cs="Arial"/>
          <w:color w:val="2E74B5" w:themeColor="accent1" w:themeShade="BF"/>
          <w:sz w:val="20"/>
        </w:rPr>
        <w:t>Combien de temps sont conservées vos données ?</w:t>
      </w:r>
    </w:p>
    <w:p w14:paraId="160F4F61" w14:textId="01A5F6F3" w:rsidR="00DB310C" w:rsidRPr="005C14E1" w:rsidRDefault="00DB310C" w:rsidP="00DB310C">
      <w:pPr>
        <w:spacing w:line="257" w:lineRule="auto"/>
        <w:jc w:val="both"/>
        <w:rPr>
          <w:rFonts w:ascii="Arial" w:eastAsia="Arial" w:hAnsi="Arial" w:cs="Arial"/>
          <w:sz w:val="20"/>
          <w:szCs w:val="20"/>
        </w:rPr>
      </w:pPr>
      <w:r w:rsidRPr="005C14E1">
        <w:rPr>
          <w:rFonts w:ascii="Arial" w:eastAsia="Arial" w:hAnsi="Arial" w:cs="Arial"/>
          <w:sz w:val="20"/>
          <w:szCs w:val="20"/>
        </w:rPr>
        <w:t>Vos données à caractère personnel sont conservées pendant une durée d’un an suivant l’approbation de l’ANSM du résumé du dernier rapport de synthèse. Les données seront ensuite archivées jusqu’à 70 ans maximum à compter de l’expiration de la décision de l’ANSM ou de la date de décision de l’ANSM prononçant la suspension ou le retrait du cadre de prescription compassionnelle. À l’issue de ces délais, vos données seront supprimées ou anonymisées. AbbVie peut également produire des statistiques dans le cadre de ses activités et des services qu’elle met en œuvre après l’anonymisation de vos données ne permettant plus de vous identifier.</w:t>
      </w:r>
    </w:p>
    <w:p w14:paraId="64650105" w14:textId="77777777" w:rsidR="00DB310C" w:rsidRPr="005C14E1" w:rsidRDefault="00DB310C" w:rsidP="00DB310C">
      <w:pPr>
        <w:spacing w:line="257" w:lineRule="auto"/>
        <w:jc w:val="both"/>
        <w:rPr>
          <w:rFonts w:ascii="Arial" w:eastAsia="Arial" w:hAnsi="Arial" w:cs="Arial"/>
          <w:color w:val="008080"/>
          <w:sz w:val="20"/>
          <w:szCs w:val="20"/>
          <w:u w:val="single"/>
        </w:rPr>
      </w:pPr>
      <w:r w:rsidRPr="005C14E1">
        <w:rPr>
          <w:rFonts w:ascii="Arial" w:eastAsia="Arial" w:hAnsi="Arial" w:cs="Arial"/>
          <w:color w:val="008080"/>
          <w:sz w:val="20"/>
          <w:szCs w:val="20"/>
          <w:u w:val="single"/>
        </w:rPr>
        <w:t xml:space="preserve"> </w:t>
      </w:r>
    </w:p>
    <w:p w14:paraId="11E51348" w14:textId="77777777" w:rsidR="00DB310C" w:rsidRPr="005C14E1" w:rsidRDefault="00DB310C" w:rsidP="00DB310C">
      <w:pPr>
        <w:rPr>
          <w:rFonts w:ascii="Arial" w:hAnsi="Arial" w:cs="Arial"/>
          <w:color w:val="2E74B5" w:themeColor="accent1" w:themeShade="BF"/>
          <w:sz w:val="20"/>
        </w:rPr>
      </w:pPr>
      <w:r w:rsidRPr="005C14E1">
        <w:rPr>
          <w:rFonts w:ascii="Arial" w:hAnsi="Arial" w:cs="Arial"/>
          <w:color w:val="2E74B5" w:themeColor="accent1" w:themeShade="BF"/>
          <w:sz w:val="20"/>
        </w:rPr>
        <w:t>Quels sont vos droits et vos recours possibles ?</w:t>
      </w:r>
    </w:p>
    <w:p w14:paraId="1C216B4E" w14:textId="77777777" w:rsidR="00DB310C" w:rsidRPr="005C14E1" w:rsidRDefault="00DB310C" w:rsidP="00DB310C">
      <w:pPr>
        <w:spacing w:line="257" w:lineRule="auto"/>
        <w:jc w:val="both"/>
        <w:rPr>
          <w:rFonts w:ascii="Arial" w:eastAsia="Arial" w:hAnsi="Arial" w:cs="Arial"/>
          <w:sz w:val="20"/>
          <w:szCs w:val="20"/>
        </w:rPr>
      </w:pPr>
      <w:r w:rsidRPr="005C14E1">
        <w:rPr>
          <w:rFonts w:ascii="Arial" w:eastAsia="Arial" w:hAnsi="Arial" w:cs="Arial"/>
          <w:sz w:val="20"/>
          <w:szCs w:val="20"/>
        </w:rPr>
        <w:t xml:space="preserve">Conformément à la réglementation applicable (en ce y compris le RGPD et la loi informatique et libertés), vous disposez, dans les cas prévus par la réglementation applicable, d’un droit d’accès à vos données à caractère personnel, d’un droit de rectification de ces données, d’un droit visant à limiter le traitement de ces données. Vous ne pouvez pas vous opposer au traitement de vos données personnelles. Le droit à l’effacement et le droit à la portabilité ne sont également pas applicables à ce traitement. </w:t>
      </w:r>
    </w:p>
    <w:p w14:paraId="491E4103" w14:textId="77777777" w:rsidR="00DB310C" w:rsidRPr="005C14E1" w:rsidRDefault="00DB310C" w:rsidP="00DB310C">
      <w:pPr>
        <w:spacing w:line="257" w:lineRule="auto"/>
        <w:jc w:val="both"/>
        <w:rPr>
          <w:rFonts w:ascii="Arial" w:eastAsia="Arial" w:hAnsi="Arial" w:cs="Arial"/>
          <w:color w:val="008080"/>
          <w:sz w:val="20"/>
          <w:szCs w:val="20"/>
          <w:u w:val="single"/>
        </w:rPr>
      </w:pPr>
      <w:r w:rsidRPr="005C14E1">
        <w:rPr>
          <w:rFonts w:ascii="Arial" w:eastAsia="Arial" w:hAnsi="Arial" w:cs="Arial"/>
          <w:sz w:val="20"/>
          <w:szCs w:val="20"/>
        </w:rPr>
        <w:t xml:space="preserve">Vous pouvez exercer vos droits en vous adressant au délégué à la protection des données (DPO) à l’adresse </w:t>
      </w:r>
      <w:hyperlink r:id="rId75" w:history="1">
        <w:r w:rsidRPr="005C14E1">
          <w:rPr>
            <w:rFonts w:ascii="Arial" w:eastAsia="Arial" w:hAnsi="Arial" w:cs="Arial"/>
            <w:color w:val="0563C1" w:themeColor="hyperlink"/>
            <w:sz w:val="20"/>
            <w:szCs w:val="20"/>
            <w:u w:val="single"/>
          </w:rPr>
          <w:t>privacyoffice@abbvie.com</w:t>
        </w:r>
      </w:hyperlink>
      <w:r w:rsidRPr="005C14E1">
        <w:rPr>
          <w:rFonts w:ascii="Arial" w:eastAsia="Arial" w:hAnsi="Arial" w:cs="Arial"/>
          <w:sz w:val="20"/>
          <w:szCs w:val="20"/>
        </w:rPr>
        <w:t xml:space="preserve"> ou en remplissant le formulaire accessible via le lien</w:t>
      </w:r>
      <w:r w:rsidRPr="005C14E1">
        <w:rPr>
          <w:rFonts w:ascii="Arial" w:eastAsia="Arial" w:hAnsi="Arial" w:cs="Arial"/>
          <w:sz w:val="20"/>
          <w:szCs w:val="20"/>
          <w:u w:val="single"/>
        </w:rPr>
        <w:t xml:space="preserve"> </w:t>
      </w:r>
      <w:hyperlink r:id="rId76" w:history="1">
        <w:r w:rsidRPr="005C14E1">
          <w:rPr>
            <w:rFonts w:ascii="Arial" w:eastAsia="Arial" w:hAnsi="Arial" w:cs="Arial"/>
            <w:color w:val="0563C1" w:themeColor="hyperlink"/>
            <w:sz w:val="20"/>
            <w:szCs w:val="20"/>
            <w:u w:val="single"/>
          </w:rPr>
          <w:t>https://abbviemetadata.my.site.com/AbbvieDSRM/s/?language=en_US</w:t>
        </w:r>
      </w:hyperlink>
      <w:r w:rsidRPr="005C14E1">
        <w:rPr>
          <w:rFonts w:ascii="Arial" w:eastAsia="Arial" w:hAnsi="Arial" w:cs="Arial"/>
          <w:sz w:val="20"/>
          <w:szCs w:val="20"/>
        </w:rPr>
        <w:t xml:space="preserve"> ou encore en envoyant un email à </w:t>
      </w:r>
      <w:hyperlink r:id="rId77" w:history="1">
        <w:r w:rsidRPr="005C14E1">
          <w:rPr>
            <w:rFonts w:ascii="Arial" w:eastAsia="Arial" w:hAnsi="Arial" w:cs="Arial"/>
            <w:color w:val="0563C1" w:themeColor="hyperlink"/>
            <w:sz w:val="20"/>
            <w:szCs w:val="20"/>
            <w:u w:val="single"/>
          </w:rPr>
          <w:t>privacydsr@abbvie.com</w:t>
        </w:r>
      </w:hyperlink>
      <w:r w:rsidRPr="005C14E1">
        <w:rPr>
          <w:rFonts w:ascii="Arial" w:eastAsia="Arial" w:hAnsi="Arial" w:cs="Arial"/>
          <w:color w:val="008080"/>
          <w:sz w:val="20"/>
          <w:szCs w:val="20"/>
          <w:u w:val="single"/>
        </w:rPr>
        <w:t xml:space="preserve">. </w:t>
      </w:r>
    </w:p>
    <w:p w14:paraId="28B0FA57" w14:textId="77777777" w:rsidR="00DB310C" w:rsidRPr="005C14E1" w:rsidRDefault="00DB310C" w:rsidP="00DB310C">
      <w:pPr>
        <w:spacing w:line="257" w:lineRule="auto"/>
        <w:jc w:val="both"/>
        <w:rPr>
          <w:rFonts w:ascii="Arial" w:eastAsia="Arial" w:hAnsi="Arial" w:cs="Arial"/>
          <w:sz w:val="20"/>
          <w:szCs w:val="20"/>
        </w:rPr>
      </w:pPr>
      <w:r w:rsidRPr="005C14E1">
        <w:rPr>
          <w:rFonts w:ascii="Arial" w:eastAsia="Arial" w:hAnsi="Arial" w:cs="Arial"/>
          <w:sz w:val="20"/>
          <w:szCs w:val="20"/>
        </w:rPr>
        <w:t>Cette procédure implique la transmission de votre identité au laboratoire.</w:t>
      </w:r>
    </w:p>
    <w:p w14:paraId="2880A4D0" w14:textId="77777777" w:rsidR="00DB310C" w:rsidRPr="005C14E1" w:rsidRDefault="00DB310C" w:rsidP="00DB310C">
      <w:pPr>
        <w:spacing w:line="257" w:lineRule="auto"/>
        <w:jc w:val="both"/>
        <w:rPr>
          <w:rFonts w:ascii="Arial" w:eastAsia="Arial" w:hAnsi="Arial" w:cs="Arial"/>
          <w:color w:val="0563C1"/>
          <w:sz w:val="20"/>
          <w:szCs w:val="20"/>
          <w:u w:val="single"/>
        </w:rPr>
      </w:pPr>
      <w:r w:rsidRPr="005C14E1">
        <w:rPr>
          <w:rFonts w:ascii="Arial" w:eastAsia="Arial" w:hAnsi="Arial" w:cs="Arial"/>
          <w:sz w:val="20"/>
          <w:szCs w:val="20"/>
        </w:rPr>
        <w:t>Pour toute information complémentaire, nous vous invitons à consulter notre Politique de confidentialité</w:t>
      </w:r>
      <w:r w:rsidRPr="005C14E1">
        <w:rPr>
          <w:rFonts w:ascii="Arial" w:eastAsia="Arial" w:hAnsi="Arial" w:cs="Arial"/>
          <w:sz w:val="20"/>
          <w:szCs w:val="20"/>
          <w:u w:val="single"/>
        </w:rPr>
        <w:t xml:space="preserve"> </w:t>
      </w:r>
      <w:hyperlink r:id="rId78" w:history="1">
        <w:r w:rsidRPr="005C14E1">
          <w:rPr>
            <w:rFonts w:ascii="Arial" w:eastAsia="Arial" w:hAnsi="Arial" w:cs="Arial"/>
            <w:color w:val="0563C1" w:themeColor="hyperlink"/>
            <w:sz w:val="20"/>
            <w:szCs w:val="20"/>
            <w:u w:val="single"/>
          </w:rPr>
          <w:t>http://www.abbvie.fr/privacy/home.html</w:t>
        </w:r>
      </w:hyperlink>
      <w:r w:rsidRPr="005C14E1">
        <w:rPr>
          <w:rFonts w:ascii="Arial" w:eastAsia="Arial" w:hAnsi="Arial" w:cs="Arial"/>
          <w:color w:val="0563C1"/>
          <w:sz w:val="20"/>
          <w:szCs w:val="20"/>
          <w:u w:val="single"/>
        </w:rPr>
        <w:t>.</w:t>
      </w:r>
    </w:p>
    <w:p w14:paraId="6A3F84CB" w14:textId="0F394409" w:rsidR="00DB310C" w:rsidRPr="005C14E1" w:rsidRDefault="00DB310C" w:rsidP="00DB310C">
      <w:pPr>
        <w:spacing w:line="257" w:lineRule="auto"/>
        <w:jc w:val="both"/>
        <w:rPr>
          <w:rFonts w:ascii="Arial" w:eastAsia="Arial" w:hAnsi="Arial" w:cs="Arial"/>
          <w:color w:val="008080"/>
          <w:sz w:val="20"/>
          <w:szCs w:val="20"/>
          <w:u w:val="single"/>
        </w:rPr>
      </w:pPr>
      <w:r w:rsidRPr="005C14E1">
        <w:rPr>
          <w:rFonts w:ascii="Arial" w:eastAsia="Arial" w:hAnsi="Arial" w:cs="Arial"/>
          <w:sz w:val="20"/>
          <w:szCs w:val="20"/>
        </w:rPr>
        <w:t xml:space="preserve">Vous pouvez également introduire une réclamation auprès de la Commission nationale de l’informatique et des libertés (CNIL) notamment sur son site internet </w:t>
      </w:r>
      <w:hyperlink r:id="rId79" w:history="1">
        <w:r w:rsidRPr="005C14E1">
          <w:rPr>
            <w:rFonts w:ascii="Arial" w:eastAsia="Arial" w:hAnsi="Arial" w:cs="Arial"/>
            <w:color w:val="0563C1" w:themeColor="hyperlink"/>
            <w:sz w:val="20"/>
            <w:szCs w:val="20"/>
            <w:u w:val="single"/>
          </w:rPr>
          <w:t>www.cnil.fr</w:t>
        </w:r>
      </w:hyperlink>
      <w:r w:rsidRPr="005C14E1">
        <w:rPr>
          <w:rFonts w:ascii="Arial" w:eastAsia="Arial" w:hAnsi="Arial" w:cs="Arial"/>
          <w:sz w:val="20"/>
          <w:szCs w:val="20"/>
        </w:rPr>
        <w:t>.</w:t>
      </w:r>
    </w:p>
    <w:p w14:paraId="1F587E41" w14:textId="20F0348B" w:rsidR="00DB310C" w:rsidRDefault="00DB310C">
      <w:pPr>
        <w:rPr>
          <w:rStyle w:val="lev"/>
          <w:rFonts w:ascii="Arial Narrow" w:eastAsiaTheme="majorEastAsia" w:hAnsi="Arial Narrow" w:cstheme="majorBidi"/>
          <w:b w:val="0"/>
          <w:bCs w:val="0"/>
          <w:color w:val="2E74B5" w:themeColor="accent1" w:themeShade="BF"/>
          <w:sz w:val="28"/>
          <w:szCs w:val="28"/>
        </w:rPr>
      </w:pPr>
      <w:r>
        <w:rPr>
          <w:rStyle w:val="lev"/>
          <w:rFonts w:ascii="Arial Narrow" w:hAnsi="Arial Narrow"/>
          <w:b w:val="0"/>
          <w:bCs w:val="0"/>
          <w:sz w:val="28"/>
          <w:szCs w:val="28"/>
        </w:rPr>
        <w:br w:type="page"/>
      </w:r>
    </w:p>
    <w:p w14:paraId="7B7563B8" w14:textId="77777777" w:rsidR="00597676" w:rsidRPr="00970766" w:rsidRDefault="00693E0C" w:rsidP="00F07E4F">
      <w:pPr>
        <w:pStyle w:val="Titre2"/>
        <w:rPr>
          <w:rStyle w:val="lev"/>
          <w:rFonts w:ascii="Arial Narrow" w:hAnsi="Arial Narrow"/>
          <w:b w:val="0"/>
          <w:bCs w:val="0"/>
          <w:sz w:val="28"/>
          <w:szCs w:val="28"/>
        </w:rPr>
      </w:pPr>
      <w:bookmarkStart w:id="20" w:name="_Toc158900886"/>
      <w:r w:rsidRPr="00970766">
        <w:rPr>
          <w:rStyle w:val="lev"/>
          <w:rFonts w:ascii="Arial Narrow" w:hAnsi="Arial Narrow"/>
          <w:b w:val="0"/>
          <w:bCs w:val="0"/>
          <w:sz w:val="28"/>
          <w:szCs w:val="28"/>
        </w:rPr>
        <w:lastRenderedPageBreak/>
        <w:t>ANNEXE</w:t>
      </w:r>
      <w:r w:rsidR="00597676" w:rsidRPr="00970766">
        <w:rPr>
          <w:rStyle w:val="lev"/>
          <w:rFonts w:ascii="Arial Narrow" w:hAnsi="Arial Narrow"/>
          <w:b w:val="0"/>
          <w:bCs w:val="0"/>
          <w:sz w:val="28"/>
          <w:szCs w:val="28"/>
        </w:rPr>
        <w:t xml:space="preserve"> </w:t>
      </w:r>
      <w:r w:rsidR="00D651FB" w:rsidRPr="00970766">
        <w:rPr>
          <w:rStyle w:val="lev"/>
          <w:rFonts w:ascii="Arial Narrow" w:hAnsi="Arial Narrow"/>
          <w:b w:val="0"/>
          <w:bCs w:val="0"/>
          <w:sz w:val="28"/>
          <w:szCs w:val="28"/>
        </w:rPr>
        <w:t>5</w:t>
      </w:r>
      <w:r w:rsidR="008534CB" w:rsidRPr="00970766">
        <w:rPr>
          <w:rStyle w:val="lev"/>
          <w:rFonts w:ascii="Arial Narrow" w:hAnsi="Arial Narrow"/>
          <w:b w:val="0"/>
          <w:bCs w:val="0"/>
          <w:sz w:val="28"/>
          <w:szCs w:val="28"/>
        </w:rPr>
        <w:t> </w:t>
      </w:r>
      <w:r w:rsidR="005B3210" w:rsidRPr="00970766">
        <w:rPr>
          <w:rStyle w:val="lev"/>
          <w:rFonts w:ascii="Arial Narrow" w:hAnsi="Arial Narrow"/>
          <w:b w:val="0"/>
          <w:bCs w:val="0"/>
          <w:sz w:val="28"/>
          <w:szCs w:val="28"/>
        </w:rPr>
        <w:t>:</w:t>
      </w:r>
      <w:r w:rsidR="00F65B11" w:rsidRPr="00970766">
        <w:rPr>
          <w:rStyle w:val="lev"/>
          <w:rFonts w:ascii="Arial Narrow" w:hAnsi="Arial Narrow"/>
          <w:b w:val="0"/>
          <w:bCs w:val="0"/>
          <w:sz w:val="28"/>
          <w:szCs w:val="28"/>
        </w:rPr>
        <w:t xml:space="preserve"> </w:t>
      </w:r>
      <w:r w:rsidR="00C35D6A" w:rsidRPr="00970766">
        <w:rPr>
          <w:rStyle w:val="lev"/>
          <w:rFonts w:ascii="Arial Narrow" w:hAnsi="Arial Narrow"/>
          <w:b w:val="0"/>
          <w:bCs w:val="0"/>
          <w:sz w:val="28"/>
          <w:szCs w:val="28"/>
        </w:rPr>
        <w:t>Rappel des modalités de déclaration des effets indésirables</w:t>
      </w:r>
      <w:bookmarkEnd w:id="20"/>
    </w:p>
    <w:p w14:paraId="617F7451" w14:textId="77777777" w:rsidR="00C35D6A" w:rsidRPr="00970766" w:rsidRDefault="00C35D6A" w:rsidP="00597676">
      <w:pPr>
        <w:ind w:right="260"/>
        <w:jc w:val="center"/>
        <w:rPr>
          <w:rFonts w:ascii="Arial" w:hAnsi="Arial" w:cs="Arial"/>
          <w:sz w:val="20"/>
          <w:szCs w:val="20"/>
        </w:rPr>
      </w:pPr>
    </w:p>
    <w:p w14:paraId="719E259C" w14:textId="77777777" w:rsidR="00C35D6A" w:rsidRPr="00970766" w:rsidRDefault="00C35D6A" w:rsidP="00F07E4F">
      <w:pPr>
        <w:rPr>
          <w:rFonts w:ascii="Arial" w:hAnsi="Arial" w:cs="Arial"/>
          <w:color w:val="2E74B5" w:themeColor="accent1" w:themeShade="BF"/>
          <w:sz w:val="20"/>
        </w:rPr>
      </w:pPr>
      <w:r w:rsidRPr="00970766">
        <w:rPr>
          <w:rFonts w:ascii="Arial" w:hAnsi="Arial" w:cs="Arial"/>
          <w:color w:val="2E74B5" w:themeColor="accent1" w:themeShade="BF"/>
          <w:sz w:val="20"/>
        </w:rPr>
        <w:t>Qui déclare ?</w:t>
      </w:r>
    </w:p>
    <w:p w14:paraId="5B15B7DF" w14:textId="77777777" w:rsidR="00C35D6A" w:rsidRPr="00970766" w:rsidRDefault="00C35D6A" w:rsidP="008534CB">
      <w:pPr>
        <w:spacing w:line="240" w:lineRule="auto"/>
        <w:ind w:right="21"/>
        <w:jc w:val="both"/>
        <w:rPr>
          <w:rFonts w:ascii="Arial" w:eastAsia="Calibri" w:hAnsi="Arial" w:cs="Arial"/>
          <w:sz w:val="20"/>
        </w:rPr>
      </w:pPr>
      <w:r w:rsidRPr="00970766">
        <w:rPr>
          <w:rFonts w:ascii="Arial" w:eastAsia="Calibri" w:hAnsi="Arial" w:cs="Arial"/>
          <w:sz w:val="20"/>
        </w:rPr>
        <w:t xml:space="preserve">Tout médecin, chirurgien-dentiste, sage-femme ou pharmacien ayant eu connaissance d’un effet </w:t>
      </w:r>
      <w:r w:rsidR="00732874" w:rsidRPr="00970766">
        <w:rPr>
          <w:rFonts w:ascii="Arial" w:eastAsia="Calibri" w:hAnsi="Arial" w:cs="Arial"/>
          <w:sz w:val="20"/>
        </w:rPr>
        <w:t>indésirable susceptible</w:t>
      </w:r>
      <w:r w:rsidRPr="00970766">
        <w:rPr>
          <w:rFonts w:ascii="Arial" w:eastAsia="Calibri" w:hAnsi="Arial" w:cs="Arial"/>
          <w:sz w:val="20"/>
        </w:rPr>
        <w:t xml:space="preserve"> d’être dû au médicament, doit en faire la déclaration. </w:t>
      </w:r>
    </w:p>
    <w:p w14:paraId="6B3BDCEC" w14:textId="77777777" w:rsidR="00C35D6A" w:rsidRPr="00970766" w:rsidRDefault="00C35D6A" w:rsidP="008534CB">
      <w:pPr>
        <w:spacing w:line="240" w:lineRule="auto"/>
        <w:ind w:right="21"/>
        <w:jc w:val="both"/>
        <w:rPr>
          <w:rFonts w:ascii="Arial" w:eastAsia="Calibri" w:hAnsi="Arial" w:cs="Arial"/>
          <w:sz w:val="20"/>
        </w:rPr>
      </w:pPr>
      <w:r w:rsidRPr="00970766">
        <w:rPr>
          <w:rFonts w:ascii="Arial" w:hAnsi="Arial" w:cs="Arial"/>
          <w:sz w:val="20"/>
          <w:szCs w:val="20"/>
        </w:rPr>
        <w:t>Les autres profe</w:t>
      </w:r>
      <w:r w:rsidR="005241F1" w:rsidRPr="00970766">
        <w:rPr>
          <w:rFonts w:ascii="Arial" w:hAnsi="Arial" w:cs="Arial"/>
          <w:sz w:val="20"/>
          <w:szCs w:val="20"/>
        </w:rPr>
        <w:t xml:space="preserve">ssionnels de santé, </w:t>
      </w:r>
      <w:r w:rsidRPr="00970766">
        <w:rPr>
          <w:rFonts w:ascii="Arial" w:hAnsi="Arial" w:cs="Arial"/>
          <w:sz w:val="20"/>
          <w:szCs w:val="20"/>
        </w:rPr>
        <w:t>peuvent également déclarer tout effet indésirable suspecté d'être dû au médicament</w:t>
      </w:r>
      <w:r w:rsidR="00D03581" w:rsidRPr="00970766">
        <w:rPr>
          <w:rFonts w:ascii="Arial" w:hAnsi="Arial" w:cs="Arial"/>
          <w:sz w:val="20"/>
          <w:szCs w:val="20"/>
        </w:rPr>
        <w:t>,</w:t>
      </w:r>
      <w:r w:rsidRPr="00970766">
        <w:rPr>
          <w:rFonts w:ascii="Arial" w:hAnsi="Arial" w:cs="Arial"/>
          <w:sz w:val="20"/>
          <w:szCs w:val="20"/>
        </w:rPr>
        <w:t xml:space="preserve"> dont ils ont connaissance.</w:t>
      </w:r>
    </w:p>
    <w:p w14:paraId="72972DB0" w14:textId="77777777" w:rsidR="002A79D5" w:rsidRPr="00970766" w:rsidRDefault="00732874" w:rsidP="002A79D5">
      <w:pPr>
        <w:ind w:right="21"/>
        <w:jc w:val="both"/>
        <w:rPr>
          <w:rFonts w:ascii="Arial" w:eastAsia="Calibri" w:hAnsi="Arial" w:cs="Arial"/>
          <w:sz w:val="20"/>
        </w:rPr>
      </w:pPr>
      <w:r w:rsidRPr="00970766">
        <w:rPr>
          <w:rFonts w:ascii="Arial" w:eastAsia="Calibri" w:hAnsi="Arial" w:cs="Arial"/>
          <w:sz w:val="20"/>
        </w:rPr>
        <w:t>En</w:t>
      </w:r>
      <w:r w:rsidR="002A79D5" w:rsidRPr="00970766">
        <w:rPr>
          <w:rFonts w:ascii="Arial" w:eastAsia="Calibri" w:hAnsi="Arial" w:cs="Arial"/>
          <w:sz w:val="20"/>
        </w:rPr>
        <w:t xml:space="preserve"> outre, les professionnels de santé sont encouragés à déclarer toute situation particulière</w:t>
      </w:r>
      <w:r w:rsidR="00841BF1" w:rsidRPr="00970766">
        <w:rPr>
          <w:rFonts w:ascii="Arial" w:eastAsia="Calibri" w:hAnsi="Arial" w:cs="Arial"/>
          <w:sz w:val="20"/>
        </w:rPr>
        <w:t xml:space="preserve"> </w:t>
      </w:r>
      <w:r w:rsidR="00841BF1" w:rsidRPr="00970766">
        <w:rPr>
          <w:rFonts w:ascii="Arial" w:hAnsi="Arial" w:cs="Arial"/>
          <w:sz w:val="20"/>
          <w:szCs w:val="20"/>
        </w:rPr>
        <w:t>(cf</w:t>
      </w:r>
      <w:r w:rsidR="00891E34" w:rsidRPr="00970766">
        <w:rPr>
          <w:rFonts w:ascii="Arial" w:hAnsi="Arial" w:cs="Arial"/>
          <w:sz w:val="20"/>
          <w:szCs w:val="20"/>
        </w:rPr>
        <w:t>.</w:t>
      </w:r>
      <w:r w:rsidR="00841BF1" w:rsidRPr="00970766">
        <w:rPr>
          <w:rFonts w:ascii="Arial" w:hAnsi="Arial" w:cs="Arial"/>
          <w:sz w:val="20"/>
          <w:szCs w:val="20"/>
        </w:rPr>
        <w:t xml:space="preserve"> paragraphe ci-dessous « Que déclarer ? »)</w:t>
      </w:r>
      <w:r w:rsidR="002A79D5" w:rsidRPr="00970766">
        <w:rPr>
          <w:rFonts w:ascii="Arial" w:eastAsia="Calibri" w:hAnsi="Arial" w:cs="Arial"/>
          <w:sz w:val="20"/>
        </w:rPr>
        <w:t>.</w:t>
      </w:r>
    </w:p>
    <w:p w14:paraId="2CC09EC4" w14:textId="77777777" w:rsidR="00C35D6A" w:rsidRPr="00970766" w:rsidRDefault="00C35D6A" w:rsidP="00CE72F6">
      <w:pPr>
        <w:ind w:right="21"/>
        <w:jc w:val="both"/>
        <w:rPr>
          <w:rFonts w:ascii="Arial" w:eastAsia="Calibri" w:hAnsi="Arial" w:cs="Arial"/>
          <w:sz w:val="20"/>
        </w:rPr>
      </w:pPr>
      <w:r w:rsidRPr="00970766">
        <w:rPr>
          <w:rFonts w:ascii="Arial" w:eastAsia="Calibri" w:hAnsi="Arial" w:cs="Arial"/>
          <w:sz w:val="20"/>
        </w:rPr>
        <w:t>L</w:t>
      </w:r>
      <w:r w:rsidR="005241F1" w:rsidRPr="00970766">
        <w:rPr>
          <w:rFonts w:ascii="Arial" w:eastAsia="Calibri" w:hAnsi="Arial" w:cs="Arial"/>
          <w:sz w:val="20"/>
        </w:rPr>
        <w:t>e patient</w:t>
      </w:r>
      <w:r w:rsidRPr="00970766">
        <w:rPr>
          <w:rFonts w:ascii="Arial" w:eastAsia="Calibri" w:hAnsi="Arial" w:cs="Arial"/>
          <w:sz w:val="20"/>
        </w:rPr>
        <w:t xml:space="preserve"> ou son représentant légal ou la personne de confiance qu’il a désignée ou les associations agréées que pourrait solliciter l</w:t>
      </w:r>
      <w:r w:rsidR="005241F1" w:rsidRPr="00970766">
        <w:rPr>
          <w:rFonts w:ascii="Arial" w:eastAsia="Calibri" w:hAnsi="Arial" w:cs="Arial"/>
          <w:sz w:val="20"/>
        </w:rPr>
        <w:t>e</w:t>
      </w:r>
      <w:r w:rsidRPr="00970766">
        <w:rPr>
          <w:rFonts w:ascii="Arial" w:eastAsia="Calibri" w:hAnsi="Arial" w:cs="Arial"/>
          <w:sz w:val="20"/>
        </w:rPr>
        <w:t xml:space="preserve"> </w:t>
      </w:r>
      <w:r w:rsidR="005241F1" w:rsidRPr="00970766">
        <w:rPr>
          <w:rFonts w:ascii="Arial" w:eastAsia="Calibri" w:hAnsi="Arial" w:cs="Arial"/>
          <w:sz w:val="20"/>
        </w:rPr>
        <w:t xml:space="preserve">patient peut </w:t>
      </w:r>
      <w:r w:rsidR="005241F1" w:rsidRPr="00970766">
        <w:rPr>
          <w:rFonts w:ascii="Arial" w:hAnsi="Arial" w:cs="Arial"/>
          <w:sz w:val="20"/>
          <w:szCs w:val="20"/>
        </w:rPr>
        <w:t>déclarer les effets indésirables/ situations particulières</w:t>
      </w:r>
      <w:r w:rsidR="007420A2" w:rsidRPr="00970766">
        <w:rPr>
          <w:rFonts w:ascii="Arial" w:hAnsi="Arial" w:cs="Arial"/>
          <w:sz w:val="20"/>
          <w:szCs w:val="20"/>
        </w:rPr>
        <w:t xml:space="preserve"> (cf</w:t>
      </w:r>
      <w:r w:rsidR="00891E34" w:rsidRPr="00970766">
        <w:rPr>
          <w:rFonts w:ascii="Arial" w:hAnsi="Arial" w:cs="Arial"/>
          <w:sz w:val="20"/>
          <w:szCs w:val="20"/>
        </w:rPr>
        <w:t>.</w:t>
      </w:r>
      <w:r w:rsidR="007420A2" w:rsidRPr="00970766">
        <w:rPr>
          <w:rFonts w:ascii="Arial" w:hAnsi="Arial" w:cs="Arial"/>
          <w:sz w:val="20"/>
          <w:szCs w:val="20"/>
        </w:rPr>
        <w:t xml:space="preserve"> paragraphe ci-dessous</w:t>
      </w:r>
      <w:r w:rsidR="005D5849" w:rsidRPr="00970766">
        <w:rPr>
          <w:rFonts w:ascii="Arial" w:hAnsi="Arial" w:cs="Arial"/>
          <w:sz w:val="20"/>
          <w:szCs w:val="20"/>
        </w:rPr>
        <w:t xml:space="preserve"> « Que déclarer ? »</w:t>
      </w:r>
      <w:r w:rsidR="007420A2" w:rsidRPr="00970766">
        <w:rPr>
          <w:rFonts w:ascii="Arial" w:hAnsi="Arial" w:cs="Arial"/>
          <w:sz w:val="20"/>
          <w:szCs w:val="20"/>
        </w:rPr>
        <w:t>)</w:t>
      </w:r>
      <w:r w:rsidR="005241F1" w:rsidRPr="00970766">
        <w:rPr>
          <w:rFonts w:ascii="Arial" w:hAnsi="Arial" w:cs="Arial"/>
          <w:sz w:val="20"/>
          <w:szCs w:val="20"/>
        </w:rPr>
        <w:t xml:space="preserve"> qu’il, ou son entourage, suspecte d’être liés à l’utilisation du médicament</w:t>
      </w:r>
      <w:r w:rsidRPr="00970766">
        <w:rPr>
          <w:rFonts w:ascii="Arial" w:eastAsia="Calibri" w:hAnsi="Arial" w:cs="Arial"/>
          <w:sz w:val="20"/>
        </w:rPr>
        <w:t>.</w:t>
      </w:r>
    </w:p>
    <w:p w14:paraId="74979958" w14:textId="77777777" w:rsidR="00C35D6A" w:rsidRPr="00970766" w:rsidRDefault="00C35D6A" w:rsidP="00F07E4F">
      <w:pPr>
        <w:rPr>
          <w:rFonts w:ascii="Arial" w:hAnsi="Arial" w:cs="Arial"/>
          <w:color w:val="2E74B5" w:themeColor="accent1" w:themeShade="BF"/>
          <w:sz w:val="20"/>
        </w:rPr>
      </w:pPr>
      <w:r w:rsidRPr="00970766">
        <w:rPr>
          <w:rFonts w:ascii="Arial" w:hAnsi="Arial" w:cs="Arial"/>
          <w:color w:val="2E74B5" w:themeColor="accent1" w:themeShade="BF"/>
          <w:sz w:val="20"/>
        </w:rPr>
        <w:t>Que déclarer ? </w:t>
      </w:r>
    </w:p>
    <w:p w14:paraId="76E2C47E" w14:textId="77777777" w:rsidR="008D5B2B" w:rsidRPr="00970766" w:rsidRDefault="008D5B2B" w:rsidP="008534CB">
      <w:pPr>
        <w:jc w:val="both"/>
        <w:rPr>
          <w:rFonts w:ascii="Arial" w:hAnsi="Arial" w:cs="Arial"/>
          <w:sz w:val="20"/>
          <w:szCs w:val="20"/>
        </w:rPr>
      </w:pPr>
      <w:r w:rsidRPr="00970766">
        <w:rPr>
          <w:rFonts w:ascii="Arial" w:hAnsi="Arial" w:cs="Arial"/>
          <w:sz w:val="20"/>
          <w:szCs w:val="20"/>
        </w:rPr>
        <w:t>Tous les effets indésirables, graves et non graves, survenant dans des conditions d’utilisation conformes ou non conformes aux termes de l’autorisation, y compris en cas de surdosage, de mésusage, d’usage détourné, d’abus, d’erreur médicamenteuse, d’exposition professionnelle, d’interaction médicamenteuse, d’un défaut de qualité d’un médicament ou de médicaments falsifiés, d’une exposition en cours de grossesse (maternelle ou via le sperme), d’une exposition paternelle (altération potentielle des spermatozoïdes), d’une exposition au cours de l’allaitement.</w:t>
      </w:r>
    </w:p>
    <w:p w14:paraId="74991BF8" w14:textId="77777777" w:rsidR="008D5B2B" w:rsidRPr="00970766" w:rsidRDefault="008D5B2B" w:rsidP="008534CB">
      <w:pPr>
        <w:jc w:val="both"/>
        <w:rPr>
          <w:rFonts w:ascii="Arial" w:hAnsi="Arial" w:cs="Arial"/>
          <w:sz w:val="20"/>
          <w:szCs w:val="20"/>
        </w:rPr>
      </w:pPr>
      <w:r w:rsidRPr="00970766">
        <w:rPr>
          <w:rFonts w:ascii="Arial" w:hAnsi="Arial" w:cs="Arial"/>
          <w:sz w:val="20"/>
          <w:szCs w:val="20"/>
        </w:rPr>
        <w:t>En outre, il convient également de déclarer toute situation particulière :</w:t>
      </w:r>
    </w:p>
    <w:p w14:paraId="30D2DF39" w14:textId="77777777" w:rsidR="008D5B2B" w:rsidRPr="00970766" w:rsidRDefault="008D5B2B" w:rsidP="008534CB">
      <w:pPr>
        <w:pStyle w:val="Paragraphedeliste"/>
        <w:numPr>
          <w:ilvl w:val="0"/>
          <w:numId w:val="10"/>
        </w:numPr>
        <w:spacing w:before="40" w:after="20" w:line="288" w:lineRule="auto"/>
        <w:contextualSpacing w:val="0"/>
        <w:jc w:val="both"/>
        <w:rPr>
          <w:rFonts w:ascii="Arial" w:hAnsi="Arial" w:cs="Arial"/>
          <w:sz w:val="20"/>
          <w:szCs w:val="20"/>
        </w:rPr>
      </w:pPr>
      <w:r w:rsidRPr="00970766">
        <w:rPr>
          <w:rFonts w:ascii="Arial" w:hAnsi="Arial" w:cs="Arial"/>
          <w:sz w:val="20"/>
          <w:szCs w:val="20"/>
        </w:rPr>
        <w:t xml:space="preserve">toute erreur médicamenteuse sans effet indésirable, qu’elle soit avérée, potentielle ou latente, </w:t>
      </w:r>
    </w:p>
    <w:p w14:paraId="24CA575D" w14:textId="77777777" w:rsidR="008D5B2B" w:rsidRPr="00970766" w:rsidRDefault="008D5B2B" w:rsidP="008534CB">
      <w:pPr>
        <w:pStyle w:val="Paragraphedeliste"/>
        <w:numPr>
          <w:ilvl w:val="0"/>
          <w:numId w:val="10"/>
        </w:numPr>
        <w:spacing w:before="40" w:after="20" w:line="288" w:lineRule="auto"/>
        <w:contextualSpacing w:val="0"/>
        <w:jc w:val="both"/>
        <w:rPr>
          <w:rFonts w:ascii="Arial" w:hAnsi="Arial" w:cs="Arial"/>
          <w:sz w:val="20"/>
          <w:szCs w:val="20"/>
        </w:rPr>
      </w:pPr>
      <w:r w:rsidRPr="00970766">
        <w:rPr>
          <w:rFonts w:ascii="Arial" w:hAnsi="Arial" w:cs="Arial"/>
          <w:sz w:val="20"/>
          <w:szCs w:val="20"/>
        </w:rPr>
        <w:t xml:space="preserve">toute suspicion d’inefficacité thérapeutique (partielle ou totale), en dehors des progressions naturelles de la maladie sous-jacente (en particulier avec les vaccins, les contraceptifs, les traitements de pathologies mettant en jeu le pronostic vital, les résistances inattendues à des traitements médicamenteux ou toute autre situation jugée cliniquement pertinente), </w:t>
      </w:r>
    </w:p>
    <w:p w14:paraId="01865378" w14:textId="77777777" w:rsidR="008D5B2B" w:rsidRPr="00970766" w:rsidRDefault="008D5B2B" w:rsidP="008534CB">
      <w:pPr>
        <w:pStyle w:val="Paragraphedeliste"/>
        <w:numPr>
          <w:ilvl w:val="0"/>
          <w:numId w:val="10"/>
        </w:numPr>
        <w:spacing w:before="40" w:after="20" w:line="288" w:lineRule="auto"/>
        <w:contextualSpacing w:val="0"/>
        <w:jc w:val="both"/>
        <w:rPr>
          <w:rFonts w:ascii="Arial" w:hAnsi="Arial" w:cs="Arial"/>
          <w:sz w:val="20"/>
          <w:szCs w:val="20"/>
        </w:rPr>
      </w:pPr>
      <w:r w:rsidRPr="00970766">
        <w:rPr>
          <w:rFonts w:ascii="Arial" w:hAnsi="Arial" w:cs="Arial"/>
          <w:sz w:val="20"/>
          <w:szCs w:val="20"/>
        </w:rPr>
        <w:t xml:space="preserve">toute suspicion de transmission d’agents infectieux liée à un médicament ou à un produit, </w:t>
      </w:r>
    </w:p>
    <w:p w14:paraId="193CDD6A" w14:textId="77777777" w:rsidR="008D5B2B" w:rsidRPr="00970766" w:rsidRDefault="008D5B2B" w:rsidP="008534CB">
      <w:pPr>
        <w:pStyle w:val="Paragraphedeliste"/>
        <w:numPr>
          <w:ilvl w:val="0"/>
          <w:numId w:val="10"/>
        </w:numPr>
        <w:spacing w:before="40" w:after="20" w:line="288" w:lineRule="auto"/>
        <w:contextualSpacing w:val="0"/>
        <w:jc w:val="both"/>
        <w:rPr>
          <w:rFonts w:ascii="Arial" w:hAnsi="Arial" w:cs="Arial"/>
          <w:sz w:val="20"/>
          <w:szCs w:val="20"/>
        </w:rPr>
      </w:pPr>
      <w:r w:rsidRPr="00970766">
        <w:rPr>
          <w:rFonts w:ascii="Arial" w:hAnsi="Arial" w:cs="Arial"/>
          <w:sz w:val="20"/>
          <w:szCs w:val="20"/>
        </w:rPr>
        <w:t>toute exposition à un médicament au cours de la grossesse ou de l’allaitement sans survenue d’effet indésirable ;</w:t>
      </w:r>
    </w:p>
    <w:p w14:paraId="4F06F58A" w14:textId="77777777" w:rsidR="008D5B2B" w:rsidRPr="00970766" w:rsidRDefault="008D5B2B" w:rsidP="008D5B2B">
      <w:pPr>
        <w:pStyle w:val="Paragraphedeliste"/>
        <w:numPr>
          <w:ilvl w:val="0"/>
          <w:numId w:val="10"/>
        </w:numPr>
        <w:spacing w:before="40" w:after="20" w:line="288" w:lineRule="auto"/>
        <w:contextualSpacing w:val="0"/>
        <w:jc w:val="both"/>
        <w:rPr>
          <w:rFonts w:ascii="Arial" w:hAnsi="Arial" w:cs="Arial"/>
          <w:sz w:val="20"/>
          <w:szCs w:val="20"/>
        </w:rPr>
      </w:pPr>
      <w:r w:rsidRPr="00970766">
        <w:rPr>
          <w:rFonts w:ascii="Arial" w:hAnsi="Arial" w:cs="Arial"/>
          <w:sz w:val="20"/>
          <w:szCs w:val="20"/>
        </w:rPr>
        <w:t>toute situation jugée pertinente de déclarer.</w:t>
      </w:r>
    </w:p>
    <w:p w14:paraId="59067FCB" w14:textId="77777777" w:rsidR="00C35D6A" w:rsidRPr="00970766" w:rsidRDefault="00C35D6A" w:rsidP="00C35D6A">
      <w:pPr>
        <w:ind w:right="260"/>
        <w:jc w:val="both"/>
        <w:rPr>
          <w:rFonts w:ascii="Arial" w:eastAsia="Calibri" w:hAnsi="Arial" w:cs="Arial"/>
          <w:sz w:val="20"/>
          <w:szCs w:val="20"/>
        </w:rPr>
      </w:pPr>
    </w:p>
    <w:p w14:paraId="69616A02" w14:textId="77777777" w:rsidR="00C35D6A" w:rsidRPr="00970766" w:rsidRDefault="00C35D6A" w:rsidP="00F07E4F">
      <w:pPr>
        <w:rPr>
          <w:rFonts w:ascii="Arial" w:hAnsi="Arial" w:cs="Arial"/>
          <w:color w:val="2E74B5" w:themeColor="accent1" w:themeShade="BF"/>
          <w:sz w:val="20"/>
        </w:rPr>
      </w:pPr>
      <w:r w:rsidRPr="00970766">
        <w:rPr>
          <w:rFonts w:ascii="Arial" w:hAnsi="Arial" w:cs="Arial"/>
          <w:color w:val="2E74B5" w:themeColor="accent1" w:themeShade="BF"/>
          <w:sz w:val="20"/>
        </w:rPr>
        <w:t>Quand déclarer ?</w:t>
      </w:r>
    </w:p>
    <w:p w14:paraId="592CB1B5" w14:textId="77777777" w:rsidR="00C35D6A" w:rsidRPr="00970766" w:rsidRDefault="00C35D6A" w:rsidP="001357A0">
      <w:pPr>
        <w:adjustRightInd w:val="0"/>
        <w:spacing w:before="120" w:after="200" w:line="276" w:lineRule="auto"/>
        <w:ind w:right="21"/>
        <w:jc w:val="both"/>
        <w:rPr>
          <w:rFonts w:ascii="Arial" w:hAnsi="Arial" w:cs="Arial"/>
          <w:sz w:val="20"/>
          <w:szCs w:val="20"/>
          <w:u w:val="single"/>
        </w:rPr>
      </w:pPr>
      <w:r w:rsidRPr="00970766">
        <w:rPr>
          <w:rFonts w:ascii="Arial" w:eastAsia="Calibri" w:hAnsi="Arial" w:cs="Arial"/>
          <w:sz w:val="20"/>
          <w:szCs w:val="20"/>
        </w:rPr>
        <w:t>Tous les effets indésirables</w:t>
      </w:r>
      <w:r w:rsidR="008D5B2B" w:rsidRPr="00970766">
        <w:rPr>
          <w:rFonts w:ascii="Arial" w:eastAsia="Calibri" w:hAnsi="Arial" w:cs="Arial"/>
          <w:sz w:val="20"/>
          <w:szCs w:val="20"/>
        </w:rPr>
        <w:t>/</w:t>
      </w:r>
      <w:r w:rsidR="008D5B2B" w:rsidRPr="00970766">
        <w:rPr>
          <w:rFonts w:ascii="Arial" w:hAnsi="Arial" w:cs="Arial"/>
          <w:sz w:val="20"/>
          <w:szCs w:val="20"/>
        </w:rPr>
        <w:t xml:space="preserve"> situations particulières </w:t>
      </w:r>
      <w:r w:rsidRPr="00970766">
        <w:rPr>
          <w:rFonts w:ascii="Arial" w:eastAsia="Calibri" w:hAnsi="Arial" w:cs="Arial"/>
          <w:sz w:val="20"/>
          <w:szCs w:val="20"/>
        </w:rPr>
        <w:t>doivent être déclarés dès que le professionnel de santé o</w:t>
      </w:r>
      <w:r w:rsidR="002D1081" w:rsidRPr="00970766">
        <w:rPr>
          <w:rFonts w:ascii="Arial" w:eastAsia="Calibri" w:hAnsi="Arial" w:cs="Arial"/>
          <w:sz w:val="20"/>
          <w:szCs w:val="20"/>
        </w:rPr>
        <w:t>u le patient</w:t>
      </w:r>
      <w:r w:rsidRPr="00970766">
        <w:rPr>
          <w:rFonts w:ascii="Arial" w:eastAsia="Calibri" w:hAnsi="Arial" w:cs="Arial"/>
          <w:sz w:val="20"/>
          <w:szCs w:val="20"/>
        </w:rPr>
        <w:t xml:space="preserve"> en a connaissance.</w:t>
      </w:r>
    </w:p>
    <w:p w14:paraId="22AA4492" w14:textId="77777777" w:rsidR="00C35D6A" w:rsidRPr="00970766" w:rsidRDefault="00C35D6A" w:rsidP="00F07E4F">
      <w:pPr>
        <w:rPr>
          <w:rFonts w:ascii="Arial" w:hAnsi="Arial" w:cs="Arial"/>
          <w:color w:val="2E74B5" w:themeColor="accent1" w:themeShade="BF"/>
          <w:sz w:val="20"/>
        </w:rPr>
      </w:pPr>
      <w:r w:rsidRPr="00970766">
        <w:rPr>
          <w:rFonts w:ascii="Arial" w:hAnsi="Arial" w:cs="Arial"/>
          <w:color w:val="2E74B5" w:themeColor="accent1" w:themeShade="BF"/>
          <w:sz w:val="20"/>
        </w:rPr>
        <w:t>Comment</w:t>
      </w:r>
      <w:r w:rsidR="008D5B2B" w:rsidRPr="00970766">
        <w:rPr>
          <w:rFonts w:ascii="Arial" w:hAnsi="Arial" w:cs="Arial"/>
          <w:color w:val="2E74B5" w:themeColor="accent1" w:themeShade="BF"/>
          <w:sz w:val="20"/>
        </w:rPr>
        <w:t xml:space="preserve"> et à qui </w:t>
      </w:r>
      <w:r w:rsidRPr="00970766">
        <w:rPr>
          <w:rFonts w:ascii="Arial" w:hAnsi="Arial" w:cs="Arial"/>
          <w:color w:val="2E74B5" w:themeColor="accent1" w:themeShade="BF"/>
          <w:sz w:val="20"/>
        </w:rPr>
        <w:t>déclarer ?</w:t>
      </w:r>
    </w:p>
    <w:p w14:paraId="79156A61" w14:textId="77777777" w:rsidR="00C35D6A" w:rsidRPr="00970766" w:rsidRDefault="00C35D6A" w:rsidP="00C35D6A">
      <w:pPr>
        <w:tabs>
          <w:tab w:val="left" w:pos="-1238"/>
          <w:tab w:val="left" w:pos="-720"/>
          <w:tab w:val="left" w:pos="0"/>
          <w:tab w:val="left" w:pos="142"/>
          <w:tab w:val="left" w:pos="826"/>
          <w:tab w:val="left" w:pos="940"/>
          <w:tab w:val="left" w:pos="2160"/>
          <w:tab w:val="left" w:pos="2880"/>
          <w:tab w:val="left" w:pos="3600"/>
          <w:tab w:val="left" w:pos="4320"/>
          <w:tab w:val="left" w:pos="5040"/>
          <w:tab w:val="left" w:pos="5760"/>
          <w:tab w:val="left" w:pos="6480"/>
          <w:tab w:val="left" w:pos="7200"/>
          <w:tab w:val="left" w:pos="7920"/>
          <w:tab w:val="left" w:pos="8640"/>
        </w:tabs>
        <w:spacing w:before="120" w:after="200" w:line="276" w:lineRule="auto"/>
        <w:ind w:left="720" w:right="-546"/>
        <w:jc w:val="both"/>
        <w:rPr>
          <w:rFonts w:ascii="Arial" w:eastAsia="Calibri" w:hAnsi="Arial" w:cs="Arial"/>
          <w:sz w:val="20"/>
          <w:szCs w:val="20"/>
        </w:rPr>
      </w:pPr>
      <w:r w:rsidRPr="00970766">
        <w:rPr>
          <w:rFonts w:ascii="Wingdings" w:eastAsia="Wingdings" w:hAnsi="Wingdings" w:cs="Wingdings"/>
          <w:sz w:val="20"/>
          <w:szCs w:val="20"/>
        </w:rPr>
        <w:sym w:font="Wingdings" w:char="F0C4"/>
      </w:r>
      <w:r w:rsidRPr="00970766">
        <w:rPr>
          <w:rFonts w:ascii="Arial" w:eastAsia="Calibri" w:hAnsi="Arial" w:cs="Arial"/>
          <w:sz w:val="20"/>
          <w:szCs w:val="20"/>
        </w:rPr>
        <w:t xml:space="preserve"> Pour les professionnels de santé :</w:t>
      </w:r>
    </w:p>
    <w:p w14:paraId="459F072B" w14:textId="77777777" w:rsidR="00C35D6A" w:rsidRPr="00970766" w:rsidRDefault="00C35D6A" w:rsidP="00C35D6A">
      <w:pPr>
        <w:ind w:left="709" w:right="260"/>
        <w:jc w:val="both"/>
        <w:rPr>
          <w:rFonts w:ascii="Arial" w:eastAsia="Calibri" w:hAnsi="Arial" w:cs="Arial"/>
          <w:sz w:val="20"/>
          <w:szCs w:val="20"/>
        </w:rPr>
      </w:pPr>
      <w:r w:rsidRPr="00970766">
        <w:rPr>
          <w:rFonts w:ascii="Arial" w:eastAsia="Calibri" w:hAnsi="Arial" w:cs="Arial"/>
          <w:sz w:val="20"/>
          <w:szCs w:val="20"/>
        </w:rPr>
        <w:t xml:space="preserve">La déclaration se fait </w:t>
      </w:r>
      <w:r w:rsidR="003735EC" w:rsidRPr="00970766">
        <w:rPr>
          <w:rFonts w:ascii="Arial" w:eastAsia="Calibri" w:hAnsi="Arial" w:cs="Arial"/>
          <w:sz w:val="20"/>
          <w:szCs w:val="20"/>
        </w:rPr>
        <w:t xml:space="preserve">préférentiellement </w:t>
      </w:r>
      <w:r w:rsidRPr="00970766">
        <w:rPr>
          <w:rFonts w:ascii="Arial" w:eastAsia="Calibri" w:hAnsi="Arial" w:cs="Arial"/>
          <w:sz w:val="20"/>
          <w:szCs w:val="20"/>
        </w:rPr>
        <w:t xml:space="preserve">directement sur le </w:t>
      </w:r>
      <w:r w:rsidR="008D5B2B" w:rsidRPr="00970766">
        <w:rPr>
          <w:rFonts w:ascii="Arial" w:eastAsia="Calibri" w:hAnsi="Arial" w:cs="Arial"/>
          <w:sz w:val="20"/>
          <w:szCs w:val="20"/>
        </w:rPr>
        <w:t>portail de signalement </w:t>
      </w:r>
      <w:r w:rsidRPr="00970766">
        <w:rPr>
          <w:rFonts w:ascii="Arial" w:eastAsia="Calibri" w:hAnsi="Arial" w:cs="Arial"/>
          <w:sz w:val="20"/>
          <w:szCs w:val="20"/>
        </w:rPr>
        <w:t xml:space="preserve">: </w:t>
      </w:r>
      <w:r w:rsidRPr="00970766">
        <w:rPr>
          <w:rFonts w:ascii="Arial" w:eastAsia="Calibri" w:hAnsi="Arial" w:cs="Arial"/>
          <w:color w:val="0000FF"/>
          <w:sz w:val="20"/>
          <w:szCs w:val="20"/>
          <w:u w:val="single"/>
        </w:rPr>
        <w:t>signalement.social-sante.gouv.fr/</w:t>
      </w:r>
      <w:r w:rsidRPr="00970766">
        <w:rPr>
          <w:rFonts w:ascii="Arial" w:eastAsia="Calibri" w:hAnsi="Arial" w:cs="Arial"/>
          <w:sz w:val="20"/>
          <w:szCs w:val="20"/>
        </w:rPr>
        <w:t xml:space="preserve">). La déclaration doit clairement indiquer que la prescription a été faite dans </w:t>
      </w:r>
      <w:r w:rsidR="00536FC7" w:rsidRPr="00970766">
        <w:rPr>
          <w:rFonts w:ascii="Arial" w:eastAsia="Calibri" w:hAnsi="Arial" w:cs="Arial"/>
          <w:sz w:val="20"/>
          <w:szCs w:val="20"/>
        </w:rPr>
        <w:t>le contexte d’</w:t>
      </w:r>
      <w:r w:rsidR="002D1081" w:rsidRPr="00970766">
        <w:rPr>
          <w:rFonts w:ascii="Arial" w:eastAsia="Calibri" w:hAnsi="Arial" w:cs="Arial"/>
          <w:sz w:val="20"/>
          <w:szCs w:val="20"/>
        </w:rPr>
        <w:t>un</w:t>
      </w:r>
      <w:r w:rsidRPr="00970766">
        <w:rPr>
          <w:rFonts w:ascii="Arial" w:eastAsia="Calibri" w:hAnsi="Arial" w:cs="Arial"/>
          <w:sz w:val="20"/>
          <w:szCs w:val="20"/>
        </w:rPr>
        <w:t xml:space="preserve"> cadre </w:t>
      </w:r>
      <w:r w:rsidR="002D1081" w:rsidRPr="00970766">
        <w:rPr>
          <w:rFonts w:ascii="Arial" w:eastAsia="Calibri" w:hAnsi="Arial" w:cs="Arial"/>
          <w:sz w:val="20"/>
          <w:szCs w:val="20"/>
        </w:rPr>
        <w:t>de prescription</w:t>
      </w:r>
      <w:r w:rsidRPr="00970766">
        <w:rPr>
          <w:rFonts w:ascii="Arial" w:eastAsia="Calibri" w:hAnsi="Arial" w:cs="Arial"/>
          <w:sz w:val="20"/>
          <w:szCs w:val="20"/>
        </w:rPr>
        <w:t xml:space="preserve"> </w:t>
      </w:r>
      <w:r w:rsidR="002D1081" w:rsidRPr="00970766">
        <w:rPr>
          <w:rFonts w:ascii="Arial" w:eastAsia="Calibri" w:hAnsi="Arial" w:cs="Arial"/>
          <w:sz w:val="20"/>
          <w:szCs w:val="20"/>
        </w:rPr>
        <w:t>compassionnelle (</w:t>
      </w:r>
      <w:r w:rsidRPr="00970766">
        <w:rPr>
          <w:rFonts w:ascii="Arial" w:eastAsia="Calibri" w:hAnsi="Arial" w:cs="Arial"/>
          <w:sz w:val="20"/>
          <w:szCs w:val="20"/>
        </w:rPr>
        <w:t>CPC</w:t>
      </w:r>
      <w:r w:rsidR="002D1081" w:rsidRPr="00970766">
        <w:rPr>
          <w:rFonts w:ascii="Arial" w:eastAsia="Calibri" w:hAnsi="Arial" w:cs="Arial"/>
          <w:sz w:val="20"/>
          <w:szCs w:val="20"/>
        </w:rPr>
        <w:t>).</w:t>
      </w:r>
    </w:p>
    <w:p w14:paraId="00E2E740" w14:textId="77777777" w:rsidR="002A79D5" w:rsidRPr="00970766" w:rsidRDefault="002A79D5" w:rsidP="00C35D6A">
      <w:pPr>
        <w:ind w:left="709" w:right="260"/>
        <w:jc w:val="both"/>
        <w:rPr>
          <w:rFonts w:ascii="Arial" w:eastAsia="Calibri" w:hAnsi="Arial" w:cs="Arial"/>
          <w:sz w:val="20"/>
          <w:szCs w:val="20"/>
        </w:rPr>
      </w:pPr>
      <w:r w:rsidRPr="00970766">
        <w:rPr>
          <w:rFonts w:ascii="Arial" w:eastAsia="Calibri" w:hAnsi="Arial" w:cs="Arial"/>
          <w:sz w:val="20"/>
          <w:szCs w:val="20"/>
        </w:rPr>
        <w:t>D’autres supports de déclaration peuvent être utilisés, tels qu’un courrier, un compte rendu d’hospitalisation, un fax, un courriel ou un appel téléphonique, adressés directement au CRPV du territoire duquel dépend le professionnel de santé. La liste indiquant l’adresse et les départements couverts par chaque CRPV est disponible sur le site Internet de l’ANSM. </w:t>
      </w:r>
    </w:p>
    <w:p w14:paraId="1BCE2193" w14:textId="77777777" w:rsidR="00C35D6A" w:rsidRPr="00970766" w:rsidRDefault="00C35D6A" w:rsidP="00C35D6A">
      <w:pPr>
        <w:ind w:left="709" w:right="260"/>
        <w:jc w:val="both"/>
        <w:rPr>
          <w:rFonts w:ascii="Arial" w:eastAsia="Calibri" w:hAnsi="Arial" w:cs="Arial"/>
          <w:sz w:val="20"/>
          <w:szCs w:val="20"/>
          <w:u w:val="single"/>
        </w:rPr>
      </w:pPr>
      <w:r w:rsidRPr="00970766">
        <w:rPr>
          <w:rFonts w:ascii="Wingdings" w:eastAsia="Wingdings" w:hAnsi="Wingdings" w:cs="Wingdings"/>
          <w:sz w:val="20"/>
          <w:szCs w:val="20"/>
        </w:rPr>
        <w:lastRenderedPageBreak/>
        <w:sym w:font="Wingdings" w:char="F0C4"/>
      </w:r>
      <w:r w:rsidRPr="00970766">
        <w:rPr>
          <w:rFonts w:ascii="Arial" w:eastAsia="Calibri" w:hAnsi="Arial" w:cs="Arial"/>
          <w:sz w:val="20"/>
          <w:szCs w:val="20"/>
        </w:rPr>
        <w:t xml:space="preserve"> Pour les patients</w:t>
      </w:r>
      <w:r w:rsidR="008D5B2B" w:rsidRPr="00970766">
        <w:rPr>
          <w:rFonts w:ascii="Arial" w:hAnsi="Arial" w:cs="Arial"/>
          <w:sz w:val="20"/>
          <w:szCs w:val="20"/>
        </w:rPr>
        <w:t xml:space="preserve"> et/ou les associations de patients </w:t>
      </w:r>
    </w:p>
    <w:p w14:paraId="4DEAB508" w14:textId="77777777" w:rsidR="002A79D5" w:rsidRPr="00970766" w:rsidRDefault="008D5B2B" w:rsidP="00B82838">
      <w:pPr>
        <w:ind w:left="709"/>
        <w:jc w:val="both"/>
        <w:rPr>
          <w:rFonts w:ascii="Arial" w:hAnsi="Arial" w:cs="Arial"/>
          <w:sz w:val="20"/>
          <w:szCs w:val="20"/>
        </w:rPr>
      </w:pPr>
      <w:r w:rsidRPr="00970766">
        <w:rPr>
          <w:rFonts w:ascii="Arial" w:hAnsi="Arial" w:cs="Arial"/>
          <w:sz w:val="20"/>
          <w:szCs w:val="20"/>
        </w:rPr>
        <w:t>Le plus tôt possible, après la survenue du ou des effets indésirables / situations particulières auprès du médecin, du pharmacien ou de l’infirmier/ère. Il est également possible de déclarer les effets</w:t>
      </w:r>
      <w:r w:rsidRPr="00970766">
        <w:t xml:space="preserve"> </w:t>
      </w:r>
      <w:r w:rsidRPr="00970766">
        <w:rPr>
          <w:rFonts w:ascii="Arial" w:hAnsi="Arial" w:cs="Arial"/>
          <w:sz w:val="20"/>
          <w:szCs w:val="20"/>
        </w:rPr>
        <w:t>indésirables/situations particulières directement via le portail de signalement</w:t>
      </w:r>
      <w:r w:rsidRPr="00970766">
        <w:t xml:space="preserve"> : </w:t>
      </w:r>
      <w:r w:rsidR="009171FC" w:rsidRPr="00970766">
        <w:rPr>
          <w:rFonts w:ascii="Arial" w:eastAsia="Calibri" w:hAnsi="Arial" w:cs="Arial"/>
          <w:color w:val="0000FF"/>
          <w:sz w:val="20"/>
          <w:szCs w:val="20"/>
          <w:u w:val="single"/>
        </w:rPr>
        <w:t>signalement.social-sante.gouv.fr</w:t>
      </w:r>
      <w:r w:rsidRPr="00970766">
        <w:t xml:space="preserve"> </w:t>
      </w:r>
      <w:r w:rsidRPr="00970766">
        <w:rPr>
          <w:rFonts w:ascii="Arial" w:hAnsi="Arial" w:cs="Arial"/>
          <w:sz w:val="20"/>
          <w:szCs w:val="20"/>
        </w:rPr>
        <w:t xml:space="preserve">en précisant que le traitement est </w:t>
      </w:r>
      <w:r w:rsidR="00536FC7" w:rsidRPr="00970766">
        <w:rPr>
          <w:rFonts w:ascii="Arial" w:hAnsi="Arial" w:cs="Arial"/>
          <w:sz w:val="20"/>
          <w:szCs w:val="20"/>
        </w:rPr>
        <w:t xml:space="preserve">administré </w:t>
      </w:r>
      <w:r w:rsidRPr="00970766">
        <w:rPr>
          <w:rFonts w:ascii="Arial" w:hAnsi="Arial" w:cs="Arial"/>
          <w:sz w:val="20"/>
          <w:szCs w:val="20"/>
        </w:rPr>
        <w:t xml:space="preserve">dans le </w:t>
      </w:r>
      <w:r w:rsidR="00536FC7" w:rsidRPr="00970766">
        <w:rPr>
          <w:rFonts w:ascii="Arial" w:hAnsi="Arial" w:cs="Arial"/>
          <w:sz w:val="20"/>
          <w:szCs w:val="20"/>
        </w:rPr>
        <w:t xml:space="preserve">contexte d’un </w:t>
      </w:r>
      <w:r w:rsidRPr="00970766">
        <w:rPr>
          <w:rFonts w:ascii="Arial" w:hAnsi="Arial" w:cs="Arial"/>
          <w:sz w:val="20"/>
          <w:szCs w:val="20"/>
        </w:rPr>
        <w:t xml:space="preserve">cadre de prescription compassionnelle (CPC). </w:t>
      </w:r>
    </w:p>
    <w:p w14:paraId="402FD4D4" w14:textId="77777777" w:rsidR="002D5F3A" w:rsidRPr="00970766" w:rsidRDefault="002A79D5" w:rsidP="00320C6F">
      <w:pPr>
        <w:jc w:val="both"/>
        <w:rPr>
          <w:rFonts w:ascii="Arial" w:eastAsia="Calibri" w:hAnsi="Arial" w:cs="Arial"/>
          <w:color w:val="000000"/>
          <w:sz w:val="20"/>
        </w:rPr>
      </w:pPr>
      <w:r w:rsidRPr="00970766">
        <w:rPr>
          <w:rFonts w:ascii="Arial" w:eastAsia="Calibri" w:hAnsi="Arial" w:cs="Arial"/>
          <w:color w:val="000000"/>
          <w:sz w:val="20"/>
        </w:rPr>
        <w:t xml:space="preserve">D’autres supports de déclaration peuvent être utilisés, tels qu’un courrier, un </w:t>
      </w:r>
      <w:r w:rsidR="00371883" w:rsidRPr="00970766">
        <w:rPr>
          <w:rFonts w:ascii="Arial" w:eastAsia="Calibri" w:hAnsi="Arial" w:cs="Arial"/>
          <w:color w:val="000000"/>
          <w:sz w:val="20"/>
        </w:rPr>
        <w:t>courriel</w:t>
      </w:r>
      <w:r w:rsidRPr="00970766">
        <w:rPr>
          <w:rFonts w:ascii="Arial" w:eastAsia="Calibri" w:hAnsi="Arial" w:cs="Arial"/>
          <w:color w:val="000000"/>
          <w:sz w:val="20"/>
        </w:rPr>
        <w:t>, ou un appel téléphonique,</w:t>
      </w:r>
      <w:r w:rsidR="00732874" w:rsidRPr="00970766">
        <w:rPr>
          <w:rFonts w:ascii="Arial" w:eastAsia="Calibri" w:hAnsi="Arial" w:cs="Arial"/>
          <w:color w:val="000000"/>
          <w:sz w:val="20"/>
        </w:rPr>
        <w:t xml:space="preserve"> </w:t>
      </w:r>
      <w:r w:rsidRPr="00970766">
        <w:rPr>
          <w:rFonts w:ascii="Arial" w:eastAsia="Calibri" w:hAnsi="Arial" w:cs="Arial"/>
          <w:color w:val="000000"/>
          <w:sz w:val="20"/>
        </w:rPr>
        <w:t>adressés directement au CRPV dont la personne ayant présenté l’effet indésirable dépend géographiquement. La liste indiquant l’adresse et les départements couverts par chaque CRPV est disponible sur le site Internet de l’ANSM.</w:t>
      </w:r>
      <w:r w:rsidR="002D5F3A" w:rsidRPr="00970766">
        <w:rPr>
          <w:rFonts w:ascii="Arial" w:eastAsia="Calibri" w:hAnsi="Arial" w:cs="Arial"/>
          <w:color w:val="000000"/>
          <w:sz w:val="20"/>
        </w:rPr>
        <w:br w:type="page"/>
      </w:r>
    </w:p>
    <w:p w14:paraId="06048DCE" w14:textId="77777777" w:rsidR="002D5F3A" w:rsidRPr="00970766" w:rsidRDefault="00693E0C" w:rsidP="00AC4958">
      <w:pPr>
        <w:pStyle w:val="Titre2"/>
        <w:rPr>
          <w:rFonts w:ascii="Arial Narrow" w:hAnsi="Arial Narrow"/>
        </w:rPr>
      </w:pPr>
      <w:bookmarkStart w:id="21" w:name="_Toc158900887"/>
      <w:r w:rsidRPr="00970766">
        <w:rPr>
          <w:rFonts w:ascii="Arial Narrow" w:hAnsi="Arial Narrow"/>
        </w:rPr>
        <w:lastRenderedPageBreak/>
        <w:t>ANNEXE</w:t>
      </w:r>
      <w:r w:rsidR="002D5F3A" w:rsidRPr="00970766">
        <w:rPr>
          <w:rFonts w:ascii="Arial Narrow" w:hAnsi="Arial Narrow"/>
        </w:rPr>
        <w:t xml:space="preserve"> </w:t>
      </w:r>
      <w:r w:rsidR="00D651FB" w:rsidRPr="00970766">
        <w:rPr>
          <w:rFonts w:ascii="Arial Narrow" w:hAnsi="Arial Narrow"/>
        </w:rPr>
        <w:t>6 </w:t>
      </w:r>
      <w:r w:rsidR="005B3210" w:rsidRPr="00970766">
        <w:rPr>
          <w:rFonts w:ascii="Arial Narrow" w:hAnsi="Arial Narrow"/>
        </w:rPr>
        <w:t>:</w:t>
      </w:r>
      <w:r w:rsidR="00F65B11" w:rsidRPr="00970766">
        <w:rPr>
          <w:rFonts w:ascii="Arial Narrow" w:hAnsi="Arial Narrow"/>
        </w:rPr>
        <w:t xml:space="preserve"> </w:t>
      </w:r>
      <w:r w:rsidR="002D5F3A" w:rsidRPr="00970766">
        <w:rPr>
          <w:rFonts w:ascii="Arial Narrow" w:hAnsi="Arial Narrow"/>
        </w:rPr>
        <w:t>Disposition législatives et r</w:t>
      </w:r>
      <w:r w:rsidR="00536FC7" w:rsidRPr="00970766">
        <w:rPr>
          <w:rFonts w:ascii="Arial Narrow" w:hAnsi="Arial Narrow"/>
        </w:rPr>
        <w:t>é</w:t>
      </w:r>
      <w:r w:rsidR="002D5F3A" w:rsidRPr="00970766">
        <w:rPr>
          <w:rFonts w:ascii="Arial Narrow" w:hAnsi="Arial Narrow"/>
        </w:rPr>
        <w:t xml:space="preserve">glementaires </w:t>
      </w:r>
      <w:r w:rsidR="00536FC7" w:rsidRPr="00970766">
        <w:rPr>
          <w:rFonts w:ascii="Arial Narrow" w:hAnsi="Arial Narrow"/>
        </w:rPr>
        <w:t>relatives au</w:t>
      </w:r>
      <w:r w:rsidR="002D5F3A" w:rsidRPr="00970766">
        <w:rPr>
          <w:rFonts w:ascii="Arial Narrow" w:hAnsi="Arial Narrow"/>
        </w:rPr>
        <w:t xml:space="preserve"> CPC</w:t>
      </w:r>
      <w:bookmarkEnd w:id="21"/>
    </w:p>
    <w:p w14:paraId="77C0C191" w14:textId="77777777" w:rsidR="00276EE1" w:rsidRPr="00970766" w:rsidRDefault="00276EE1" w:rsidP="002D5F3A">
      <w:pPr>
        <w:ind w:right="260"/>
        <w:jc w:val="center"/>
        <w:rPr>
          <w:rFonts w:ascii="Arial" w:hAnsi="Arial" w:cs="Arial"/>
          <w:bCs/>
          <w:sz w:val="21"/>
          <w:szCs w:val="21"/>
        </w:rPr>
      </w:pPr>
    </w:p>
    <w:p w14:paraId="38CEDE8C" w14:textId="77777777" w:rsidR="00276EE1" w:rsidRPr="00970766" w:rsidRDefault="00671CAF" w:rsidP="00F07E4F">
      <w:pPr>
        <w:rPr>
          <w:rFonts w:ascii="Arial" w:hAnsi="Arial" w:cs="Arial"/>
          <w:b/>
          <w:color w:val="2E74B5" w:themeColor="accent1" w:themeShade="BF"/>
          <w:sz w:val="20"/>
        </w:rPr>
      </w:pPr>
      <w:r w:rsidRPr="00970766">
        <w:rPr>
          <w:rFonts w:ascii="Arial" w:hAnsi="Arial" w:cs="Arial"/>
          <w:b/>
          <w:color w:val="2E74B5" w:themeColor="accent1" w:themeShade="BF"/>
          <w:sz w:val="20"/>
        </w:rPr>
        <w:t>Généralités</w:t>
      </w:r>
    </w:p>
    <w:p w14:paraId="733C78E6" w14:textId="77777777" w:rsidR="00671CAF" w:rsidRPr="00970766" w:rsidRDefault="00671CAF" w:rsidP="00671CAF">
      <w:pPr>
        <w:pStyle w:val="Corpsdetexte"/>
        <w:spacing w:after="160" w:line="259" w:lineRule="auto"/>
        <w:jc w:val="both"/>
        <w:rPr>
          <w:rFonts w:ascii="Arial" w:hAnsi="Arial" w:cs="Arial"/>
          <w:sz w:val="20"/>
          <w:szCs w:val="20"/>
        </w:rPr>
      </w:pPr>
      <w:r w:rsidRPr="00970766">
        <w:rPr>
          <w:rFonts w:ascii="Arial" w:hAnsi="Arial" w:cs="Arial"/>
          <w:sz w:val="20"/>
          <w:szCs w:val="20"/>
        </w:rPr>
        <w:t>L’article</w:t>
      </w:r>
      <w:r w:rsidRPr="00970766">
        <w:rPr>
          <w:rFonts w:ascii="Arial" w:hAnsi="Arial" w:cs="Arial"/>
          <w:spacing w:val="1"/>
          <w:sz w:val="20"/>
          <w:szCs w:val="20"/>
        </w:rPr>
        <w:t xml:space="preserve"> </w:t>
      </w:r>
      <w:r w:rsidRPr="00970766">
        <w:rPr>
          <w:rFonts w:ascii="Arial" w:hAnsi="Arial" w:cs="Arial"/>
          <w:sz w:val="20"/>
          <w:szCs w:val="20"/>
        </w:rPr>
        <w:t>L.5121-12-1</w:t>
      </w:r>
      <w:r w:rsidRPr="00970766">
        <w:rPr>
          <w:rFonts w:ascii="Arial" w:hAnsi="Arial" w:cs="Arial"/>
          <w:spacing w:val="1"/>
          <w:sz w:val="20"/>
          <w:szCs w:val="20"/>
        </w:rPr>
        <w:t xml:space="preserve"> </w:t>
      </w:r>
      <w:r w:rsidRPr="00970766">
        <w:rPr>
          <w:rFonts w:ascii="Arial" w:hAnsi="Arial" w:cs="Arial"/>
          <w:sz w:val="20"/>
          <w:szCs w:val="20"/>
        </w:rPr>
        <w:t>III du</w:t>
      </w:r>
      <w:r w:rsidRPr="00970766">
        <w:rPr>
          <w:rFonts w:ascii="Arial" w:hAnsi="Arial" w:cs="Arial"/>
          <w:spacing w:val="1"/>
          <w:sz w:val="20"/>
          <w:szCs w:val="20"/>
        </w:rPr>
        <w:t xml:space="preserve"> </w:t>
      </w:r>
      <w:r w:rsidR="00A12A3C" w:rsidRPr="00970766">
        <w:rPr>
          <w:rFonts w:ascii="Arial" w:hAnsi="Arial" w:cs="Arial"/>
          <w:sz w:val="20"/>
          <w:szCs w:val="20"/>
        </w:rPr>
        <w:t>c</w:t>
      </w:r>
      <w:r w:rsidRPr="00970766">
        <w:rPr>
          <w:rFonts w:ascii="Arial" w:hAnsi="Arial" w:cs="Arial"/>
          <w:sz w:val="20"/>
          <w:szCs w:val="20"/>
        </w:rPr>
        <w:t>ode</w:t>
      </w:r>
      <w:r w:rsidRPr="00970766">
        <w:rPr>
          <w:rFonts w:ascii="Arial" w:hAnsi="Arial" w:cs="Arial"/>
          <w:spacing w:val="1"/>
          <w:sz w:val="20"/>
          <w:szCs w:val="20"/>
        </w:rPr>
        <w:t xml:space="preserve"> </w:t>
      </w:r>
      <w:r w:rsidRPr="00970766">
        <w:rPr>
          <w:rFonts w:ascii="Arial" w:hAnsi="Arial" w:cs="Arial"/>
          <w:sz w:val="20"/>
          <w:szCs w:val="20"/>
        </w:rPr>
        <w:t>de</w:t>
      </w:r>
      <w:r w:rsidRPr="00970766">
        <w:rPr>
          <w:rFonts w:ascii="Arial" w:hAnsi="Arial" w:cs="Arial"/>
          <w:spacing w:val="1"/>
          <w:sz w:val="20"/>
          <w:szCs w:val="20"/>
        </w:rPr>
        <w:t xml:space="preserve"> </w:t>
      </w:r>
      <w:r w:rsidRPr="00970766">
        <w:rPr>
          <w:rFonts w:ascii="Arial" w:hAnsi="Arial" w:cs="Arial"/>
          <w:sz w:val="20"/>
          <w:szCs w:val="20"/>
        </w:rPr>
        <w:t>la</w:t>
      </w:r>
      <w:r w:rsidRPr="00970766">
        <w:rPr>
          <w:rFonts w:ascii="Arial" w:hAnsi="Arial" w:cs="Arial"/>
          <w:spacing w:val="1"/>
          <w:sz w:val="20"/>
          <w:szCs w:val="20"/>
        </w:rPr>
        <w:t xml:space="preserve"> </w:t>
      </w:r>
      <w:r w:rsidRPr="00970766">
        <w:rPr>
          <w:rFonts w:ascii="Arial" w:hAnsi="Arial" w:cs="Arial"/>
          <w:sz w:val="20"/>
          <w:szCs w:val="20"/>
        </w:rPr>
        <w:t>santé</w:t>
      </w:r>
      <w:r w:rsidRPr="00970766">
        <w:rPr>
          <w:rFonts w:ascii="Arial" w:hAnsi="Arial" w:cs="Arial"/>
          <w:spacing w:val="1"/>
          <w:sz w:val="20"/>
          <w:szCs w:val="20"/>
        </w:rPr>
        <w:t xml:space="preserve"> </w:t>
      </w:r>
      <w:r w:rsidRPr="00970766">
        <w:rPr>
          <w:rFonts w:ascii="Arial" w:hAnsi="Arial" w:cs="Arial"/>
          <w:sz w:val="20"/>
          <w:szCs w:val="20"/>
        </w:rPr>
        <w:t>publique</w:t>
      </w:r>
      <w:r w:rsidRPr="00970766">
        <w:rPr>
          <w:rFonts w:ascii="Arial" w:hAnsi="Arial" w:cs="Arial"/>
          <w:spacing w:val="1"/>
          <w:sz w:val="20"/>
          <w:szCs w:val="20"/>
        </w:rPr>
        <w:t xml:space="preserve"> </w:t>
      </w:r>
      <w:r w:rsidRPr="00970766">
        <w:rPr>
          <w:rFonts w:ascii="Arial" w:hAnsi="Arial" w:cs="Arial"/>
          <w:sz w:val="20"/>
          <w:szCs w:val="20"/>
        </w:rPr>
        <w:t>permet</w:t>
      </w:r>
      <w:r w:rsidRPr="00970766">
        <w:rPr>
          <w:rFonts w:ascii="Arial" w:hAnsi="Arial" w:cs="Arial"/>
          <w:spacing w:val="1"/>
          <w:sz w:val="20"/>
          <w:szCs w:val="20"/>
        </w:rPr>
        <w:t xml:space="preserve"> </w:t>
      </w:r>
      <w:r w:rsidRPr="00970766">
        <w:rPr>
          <w:rFonts w:ascii="Arial" w:hAnsi="Arial" w:cs="Arial"/>
          <w:sz w:val="20"/>
          <w:szCs w:val="20"/>
        </w:rPr>
        <w:t>à</w:t>
      </w:r>
      <w:r w:rsidRPr="00970766">
        <w:rPr>
          <w:rFonts w:ascii="Arial" w:hAnsi="Arial" w:cs="Arial"/>
          <w:spacing w:val="1"/>
          <w:sz w:val="20"/>
          <w:szCs w:val="20"/>
        </w:rPr>
        <w:t xml:space="preserve"> </w:t>
      </w:r>
      <w:r w:rsidRPr="00970766">
        <w:rPr>
          <w:rFonts w:ascii="Arial" w:hAnsi="Arial" w:cs="Arial"/>
          <w:sz w:val="20"/>
          <w:szCs w:val="20"/>
        </w:rPr>
        <w:t>l’Agence</w:t>
      </w:r>
      <w:r w:rsidRPr="00970766">
        <w:rPr>
          <w:rFonts w:ascii="Arial" w:hAnsi="Arial" w:cs="Arial"/>
          <w:spacing w:val="1"/>
          <w:sz w:val="20"/>
          <w:szCs w:val="20"/>
        </w:rPr>
        <w:t xml:space="preserve"> </w:t>
      </w:r>
      <w:r w:rsidRPr="00970766">
        <w:rPr>
          <w:rFonts w:ascii="Arial" w:hAnsi="Arial" w:cs="Arial"/>
          <w:sz w:val="20"/>
          <w:szCs w:val="20"/>
        </w:rPr>
        <w:t>nationale</w:t>
      </w:r>
      <w:r w:rsidRPr="00970766">
        <w:rPr>
          <w:rFonts w:ascii="Arial" w:hAnsi="Arial" w:cs="Arial"/>
          <w:spacing w:val="60"/>
          <w:sz w:val="20"/>
          <w:szCs w:val="20"/>
        </w:rPr>
        <w:t xml:space="preserve"> </w:t>
      </w:r>
      <w:r w:rsidRPr="00970766">
        <w:rPr>
          <w:rFonts w:ascii="Arial" w:hAnsi="Arial" w:cs="Arial"/>
          <w:sz w:val="20"/>
          <w:szCs w:val="20"/>
        </w:rPr>
        <w:t>de</w:t>
      </w:r>
      <w:r w:rsidRPr="00970766">
        <w:rPr>
          <w:rFonts w:ascii="Arial" w:hAnsi="Arial" w:cs="Arial"/>
          <w:spacing w:val="1"/>
          <w:sz w:val="20"/>
          <w:szCs w:val="20"/>
        </w:rPr>
        <w:t xml:space="preserve"> </w:t>
      </w:r>
      <w:r w:rsidRPr="00970766">
        <w:rPr>
          <w:rFonts w:ascii="Arial" w:hAnsi="Arial" w:cs="Arial"/>
          <w:sz w:val="20"/>
          <w:szCs w:val="20"/>
        </w:rPr>
        <w:t>sécurité du médicament et des produits de santé (ANSM) d’élaborer un</w:t>
      </w:r>
      <w:r w:rsidR="00BB379E" w:rsidRPr="00970766">
        <w:t xml:space="preserve"> </w:t>
      </w:r>
      <w:r w:rsidR="00BB379E" w:rsidRPr="00970766">
        <w:rPr>
          <w:rFonts w:ascii="Arial" w:hAnsi="Arial" w:cs="Arial"/>
          <w:sz w:val="20"/>
          <w:szCs w:val="20"/>
        </w:rPr>
        <w:t>cadre de prescription compassionnelle</w:t>
      </w:r>
      <w:r w:rsidRPr="00970766">
        <w:rPr>
          <w:rFonts w:ascii="Arial" w:hAnsi="Arial" w:cs="Arial"/>
          <w:sz w:val="20"/>
          <w:szCs w:val="20"/>
        </w:rPr>
        <w:t xml:space="preserve"> </w:t>
      </w:r>
      <w:r w:rsidR="00BB379E" w:rsidRPr="00970766">
        <w:rPr>
          <w:rFonts w:ascii="Arial" w:hAnsi="Arial" w:cs="Arial"/>
          <w:sz w:val="20"/>
          <w:szCs w:val="20"/>
        </w:rPr>
        <w:t>(</w:t>
      </w:r>
      <w:r w:rsidRPr="00970766">
        <w:rPr>
          <w:rFonts w:ascii="Arial" w:hAnsi="Arial" w:cs="Arial"/>
          <w:sz w:val="20"/>
          <w:szCs w:val="20"/>
        </w:rPr>
        <w:t>CPC</w:t>
      </w:r>
      <w:r w:rsidR="00BB379E" w:rsidRPr="00970766">
        <w:rPr>
          <w:rFonts w:ascii="Arial" w:hAnsi="Arial" w:cs="Arial"/>
          <w:sz w:val="20"/>
          <w:szCs w:val="20"/>
        </w:rPr>
        <w:t>)</w:t>
      </w:r>
      <w:r w:rsidRPr="00970766">
        <w:rPr>
          <w:rFonts w:ascii="Arial" w:hAnsi="Arial" w:cs="Arial"/>
          <w:sz w:val="20"/>
          <w:szCs w:val="20"/>
        </w:rPr>
        <w:t xml:space="preserve"> afin de sécuriser la</w:t>
      </w:r>
      <w:r w:rsidRPr="00970766">
        <w:rPr>
          <w:rFonts w:ascii="Arial" w:hAnsi="Arial" w:cs="Arial"/>
          <w:spacing w:val="1"/>
          <w:sz w:val="20"/>
          <w:szCs w:val="20"/>
        </w:rPr>
        <w:t xml:space="preserve"> </w:t>
      </w:r>
      <w:r w:rsidRPr="00970766">
        <w:rPr>
          <w:rFonts w:ascii="Arial" w:hAnsi="Arial" w:cs="Arial"/>
          <w:sz w:val="20"/>
          <w:szCs w:val="20"/>
        </w:rPr>
        <w:t>prescription</w:t>
      </w:r>
      <w:r w:rsidRPr="00970766">
        <w:rPr>
          <w:rFonts w:ascii="Arial" w:hAnsi="Arial" w:cs="Arial"/>
          <w:spacing w:val="1"/>
          <w:sz w:val="20"/>
          <w:szCs w:val="20"/>
        </w:rPr>
        <w:t xml:space="preserve"> </w:t>
      </w:r>
      <w:r w:rsidRPr="00970766">
        <w:rPr>
          <w:rFonts w:ascii="Arial" w:hAnsi="Arial" w:cs="Arial"/>
          <w:sz w:val="20"/>
          <w:szCs w:val="20"/>
        </w:rPr>
        <w:t>d’une</w:t>
      </w:r>
      <w:r w:rsidRPr="00970766">
        <w:rPr>
          <w:rFonts w:ascii="Arial" w:hAnsi="Arial" w:cs="Arial"/>
          <w:spacing w:val="1"/>
          <w:sz w:val="20"/>
          <w:szCs w:val="20"/>
        </w:rPr>
        <w:t xml:space="preserve"> </w:t>
      </w:r>
      <w:r w:rsidRPr="00970766">
        <w:rPr>
          <w:rFonts w:ascii="Arial" w:hAnsi="Arial" w:cs="Arial"/>
          <w:sz w:val="20"/>
          <w:szCs w:val="20"/>
        </w:rPr>
        <w:t>spécialité</w:t>
      </w:r>
      <w:r w:rsidRPr="00970766">
        <w:rPr>
          <w:rFonts w:ascii="Arial" w:hAnsi="Arial" w:cs="Arial"/>
          <w:spacing w:val="1"/>
          <w:sz w:val="20"/>
          <w:szCs w:val="20"/>
        </w:rPr>
        <w:t xml:space="preserve"> </w:t>
      </w:r>
      <w:r w:rsidRPr="00970766">
        <w:rPr>
          <w:rFonts w:ascii="Arial" w:hAnsi="Arial" w:cs="Arial"/>
          <w:sz w:val="20"/>
          <w:szCs w:val="20"/>
        </w:rPr>
        <w:t>pharmaceutique</w:t>
      </w:r>
      <w:r w:rsidRPr="00970766">
        <w:rPr>
          <w:rFonts w:ascii="Arial" w:hAnsi="Arial" w:cs="Arial"/>
          <w:spacing w:val="1"/>
          <w:sz w:val="20"/>
          <w:szCs w:val="20"/>
        </w:rPr>
        <w:t xml:space="preserve"> </w:t>
      </w:r>
      <w:r w:rsidRPr="00970766">
        <w:rPr>
          <w:rFonts w:ascii="Arial" w:hAnsi="Arial" w:cs="Arial"/>
          <w:sz w:val="20"/>
          <w:szCs w:val="20"/>
        </w:rPr>
        <w:t>disposant</w:t>
      </w:r>
      <w:r w:rsidRPr="00970766">
        <w:rPr>
          <w:rFonts w:ascii="Arial" w:hAnsi="Arial" w:cs="Arial"/>
          <w:spacing w:val="1"/>
          <w:sz w:val="20"/>
          <w:szCs w:val="20"/>
        </w:rPr>
        <w:t xml:space="preserve"> </w:t>
      </w:r>
      <w:r w:rsidRPr="00970766">
        <w:rPr>
          <w:rFonts w:ascii="Arial" w:hAnsi="Arial" w:cs="Arial"/>
          <w:sz w:val="20"/>
          <w:szCs w:val="20"/>
        </w:rPr>
        <w:t>d’une</w:t>
      </w:r>
      <w:r w:rsidRPr="00970766">
        <w:rPr>
          <w:rFonts w:ascii="Arial" w:hAnsi="Arial" w:cs="Arial"/>
          <w:spacing w:val="1"/>
          <w:sz w:val="20"/>
          <w:szCs w:val="20"/>
        </w:rPr>
        <w:t xml:space="preserve"> </w:t>
      </w:r>
      <w:r w:rsidRPr="00970766">
        <w:rPr>
          <w:rFonts w:ascii="Arial" w:hAnsi="Arial" w:cs="Arial"/>
          <w:sz w:val="20"/>
          <w:szCs w:val="20"/>
        </w:rPr>
        <w:t>autorisation</w:t>
      </w:r>
      <w:r w:rsidRPr="00970766">
        <w:rPr>
          <w:rFonts w:ascii="Arial" w:hAnsi="Arial" w:cs="Arial"/>
          <w:spacing w:val="1"/>
          <w:sz w:val="20"/>
          <w:szCs w:val="20"/>
        </w:rPr>
        <w:t xml:space="preserve"> </w:t>
      </w:r>
      <w:r w:rsidRPr="00970766">
        <w:rPr>
          <w:rFonts w:ascii="Arial" w:hAnsi="Arial" w:cs="Arial"/>
          <w:sz w:val="20"/>
          <w:szCs w:val="20"/>
        </w:rPr>
        <w:t>de</w:t>
      </w:r>
      <w:r w:rsidRPr="00970766">
        <w:rPr>
          <w:rFonts w:ascii="Arial" w:hAnsi="Arial" w:cs="Arial"/>
          <w:spacing w:val="1"/>
          <w:sz w:val="20"/>
          <w:szCs w:val="20"/>
        </w:rPr>
        <w:t xml:space="preserve"> </w:t>
      </w:r>
      <w:r w:rsidRPr="00970766">
        <w:rPr>
          <w:rFonts w:ascii="Arial" w:hAnsi="Arial" w:cs="Arial"/>
          <w:sz w:val="20"/>
          <w:szCs w:val="20"/>
        </w:rPr>
        <w:t>mise</w:t>
      </w:r>
      <w:r w:rsidRPr="00970766">
        <w:rPr>
          <w:rFonts w:ascii="Arial" w:hAnsi="Arial" w:cs="Arial"/>
          <w:spacing w:val="1"/>
          <w:sz w:val="20"/>
          <w:szCs w:val="20"/>
        </w:rPr>
        <w:t xml:space="preserve"> </w:t>
      </w:r>
      <w:r w:rsidRPr="00970766">
        <w:rPr>
          <w:rFonts w:ascii="Arial" w:hAnsi="Arial" w:cs="Arial"/>
          <w:sz w:val="20"/>
          <w:szCs w:val="20"/>
        </w:rPr>
        <w:t>sur</w:t>
      </w:r>
      <w:r w:rsidRPr="00970766">
        <w:rPr>
          <w:rFonts w:ascii="Arial" w:hAnsi="Arial" w:cs="Arial"/>
          <w:spacing w:val="1"/>
          <w:sz w:val="20"/>
          <w:szCs w:val="20"/>
        </w:rPr>
        <w:t xml:space="preserve"> </w:t>
      </w:r>
      <w:r w:rsidRPr="00970766">
        <w:rPr>
          <w:rFonts w:ascii="Arial" w:hAnsi="Arial" w:cs="Arial"/>
          <w:sz w:val="20"/>
          <w:szCs w:val="20"/>
        </w:rPr>
        <w:t>le</w:t>
      </w:r>
      <w:r w:rsidR="008E79B7" w:rsidRPr="00970766">
        <w:rPr>
          <w:rFonts w:ascii="Arial" w:hAnsi="Arial" w:cs="Arial"/>
          <w:sz w:val="20"/>
          <w:szCs w:val="20"/>
        </w:rPr>
        <w:t xml:space="preserve"> </w:t>
      </w:r>
      <w:r w:rsidRPr="00970766">
        <w:rPr>
          <w:rFonts w:ascii="Arial" w:hAnsi="Arial" w:cs="Arial"/>
          <w:spacing w:val="-57"/>
          <w:sz w:val="20"/>
          <w:szCs w:val="20"/>
        </w:rPr>
        <w:t xml:space="preserve"> </w:t>
      </w:r>
      <w:r w:rsidRPr="00970766">
        <w:rPr>
          <w:rFonts w:ascii="Arial" w:hAnsi="Arial" w:cs="Arial"/>
          <w:sz w:val="20"/>
          <w:szCs w:val="20"/>
        </w:rPr>
        <w:t>marché (AMM)</w:t>
      </w:r>
      <w:r w:rsidRPr="00970766">
        <w:rPr>
          <w:rFonts w:ascii="Arial" w:hAnsi="Arial" w:cs="Arial"/>
          <w:spacing w:val="-1"/>
          <w:sz w:val="20"/>
          <w:szCs w:val="20"/>
        </w:rPr>
        <w:t xml:space="preserve"> </w:t>
      </w:r>
      <w:r w:rsidRPr="00970766">
        <w:rPr>
          <w:rFonts w:ascii="Arial" w:hAnsi="Arial" w:cs="Arial"/>
          <w:sz w:val="20"/>
          <w:szCs w:val="20"/>
        </w:rPr>
        <w:t>en</w:t>
      </w:r>
      <w:r w:rsidRPr="00970766">
        <w:rPr>
          <w:rFonts w:ascii="Arial" w:hAnsi="Arial" w:cs="Arial"/>
          <w:spacing w:val="1"/>
          <w:sz w:val="20"/>
          <w:szCs w:val="20"/>
        </w:rPr>
        <w:t xml:space="preserve"> </w:t>
      </w:r>
      <w:r w:rsidRPr="00970766">
        <w:rPr>
          <w:rFonts w:ascii="Arial" w:hAnsi="Arial" w:cs="Arial"/>
          <w:sz w:val="20"/>
          <w:szCs w:val="20"/>
        </w:rPr>
        <w:t>France, dans une</w:t>
      </w:r>
      <w:r w:rsidRPr="00970766">
        <w:rPr>
          <w:rFonts w:ascii="Arial" w:hAnsi="Arial" w:cs="Arial"/>
          <w:spacing w:val="-2"/>
          <w:sz w:val="20"/>
          <w:szCs w:val="20"/>
        </w:rPr>
        <w:t xml:space="preserve"> </w:t>
      </w:r>
      <w:r w:rsidRPr="00970766">
        <w:rPr>
          <w:rFonts w:ascii="Arial" w:hAnsi="Arial" w:cs="Arial"/>
          <w:sz w:val="20"/>
          <w:szCs w:val="20"/>
        </w:rPr>
        <w:t>indication non</w:t>
      </w:r>
      <w:r w:rsidRPr="00970766">
        <w:rPr>
          <w:rFonts w:ascii="Arial" w:hAnsi="Arial" w:cs="Arial"/>
          <w:spacing w:val="-1"/>
          <w:sz w:val="20"/>
          <w:szCs w:val="20"/>
        </w:rPr>
        <w:t xml:space="preserve"> </w:t>
      </w:r>
      <w:r w:rsidRPr="00970766">
        <w:rPr>
          <w:rFonts w:ascii="Arial" w:hAnsi="Arial" w:cs="Arial"/>
          <w:sz w:val="20"/>
          <w:szCs w:val="20"/>
        </w:rPr>
        <w:t>conforme</w:t>
      </w:r>
      <w:r w:rsidRPr="00970766">
        <w:rPr>
          <w:rFonts w:ascii="Arial" w:hAnsi="Arial" w:cs="Arial"/>
          <w:spacing w:val="1"/>
          <w:sz w:val="20"/>
          <w:szCs w:val="20"/>
        </w:rPr>
        <w:t xml:space="preserve"> </w:t>
      </w:r>
      <w:r w:rsidRPr="00970766">
        <w:rPr>
          <w:rFonts w:ascii="Arial" w:hAnsi="Arial" w:cs="Arial"/>
          <w:sz w:val="20"/>
          <w:szCs w:val="20"/>
        </w:rPr>
        <w:t>à</w:t>
      </w:r>
      <w:r w:rsidRPr="00970766">
        <w:rPr>
          <w:rFonts w:ascii="Arial" w:hAnsi="Arial" w:cs="Arial"/>
          <w:spacing w:val="-1"/>
          <w:sz w:val="20"/>
          <w:szCs w:val="20"/>
        </w:rPr>
        <w:t xml:space="preserve"> </w:t>
      </w:r>
      <w:r w:rsidRPr="00970766">
        <w:rPr>
          <w:rFonts w:ascii="Arial" w:hAnsi="Arial" w:cs="Arial"/>
          <w:sz w:val="20"/>
          <w:szCs w:val="20"/>
        </w:rPr>
        <w:t>son</w:t>
      </w:r>
      <w:r w:rsidRPr="00970766">
        <w:rPr>
          <w:rFonts w:ascii="Arial" w:hAnsi="Arial" w:cs="Arial"/>
          <w:spacing w:val="-1"/>
          <w:sz w:val="20"/>
          <w:szCs w:val="20"/>
        </w:rPr>
        <w:t xml:space="preserve"> </w:t>
      </w:r>
      <w:r w:rsidRPr="00970766">
        <w:rPr>
          <w:rFonts w:ascii="Arial" w:hAnsi="Arial" w:cs="Arial"/>
          <w:sz w:val="20"/>
          <w:szCs w:val="20"/>
        </w:rPr>
        <w:t>AMM.</w:t>
      </w:r>
    </w:p>
    <w:p w14:paraId="71F6F9CD" w14:textId="77777777" w:rsidR="00671CAF" w:rsidRPr="00970766" w:rsidRDefault="00671CAF" w:rsidP="00671CAF">
      <w:pPr>
        <w:pStyle w:val="Corpsdetexte"/>
        <w:jc w:val="both"/>
        <w:rPr>
          <w:rFonts w:ascii="Arial" w:hAnsi="Arial" w:cs="Arial"/>
          <w:sz w:val="20"/>
          <w:szCs w:val="20"/>
        </w:rPr>
      </w:pPr>
    </w:p>
    <w:p w14:paraId="2ADA1D31" w14:textId="77777777" w:rsidR="00671CAF" w:rsidRPr="00970766" w:rsidRDefault="00671CAF" w:rsidP="00671CAF">
      <w:pPr>
        <w:pStyle w:val="Corpsdetexte"/>
        <w:jc w:val="both"/>
        <w:rPr>
          <w:rFonts w:ascii="Arial" w:hAnsi="Arial" w:cs="Arial"/>
          <w:sz w:val="20"/>
          <w:szCs w:val="20"/>
        </w:rPr>
      </w:pPr>
      <w:r w:rsidRPr="00970766">
        <w:rPr>
          <w:rFonts w:ascii="Arial" w:hAnsi="Arial" w:cs="Arial"/>
          <w:sz w:val="20"/>
          <w:szCs w:val="20"/>
        </w:rPr>
        <w:t>Il</w:t>
      </w:r>
      <w:r w:rsidRPr="00970766">
        <w:rPr>
          <w:rFonts w:ascii="Arial" w:hAnsi="Arial" w:cs="Arial"/>
          <w:spacing w:val="1"/>
          <w:sz w:val="20"/>
          <w:szCs w:val="20"/>
        </w:rPr>
        <w:t xml:space="preserve"> </w:t>
      </w:r>
      <w:r w:rsidRPr="00970766">
        <w:rPr>
          <w:rFonts w:ascii="Arial" w:hAnsi="Arial" w:cs="Arial"/>
          <w:sz w:val="20"/>
          <w:szCs w:val="20"/>
        </w:rPr>
        <w:t>s’agit</w:t>
      </w:r>
      <w:r w:rsidRPr="00970766">
        <w:rPr>
          <w:rFonts w:ascii="Arial" w:hAnsi="Arial" w:cs="Arial"/>
          <w:spacing w:val="1"/>
          <w:sz w:val="20"/>
          <w:szCs w:val="20"/>
        </w:rPr>
        <w:t xml:space="preserve"> </w:t>
      </w:r>
      <w:r w:rsidRPr="00970766">
        <w:rPr>
          <w:rFonts w:ascii="Arial" w:hAnsi="Arial" w:cs="Arial"/>
          <w:sz w:val="20"/>
          <w:szCs w:val="20"/>
        </w:rPr>
        <w:t>d’une</w:t>
      </w:r>
      <w:r w:rsidRPr="00970766">
        <w:rPr>
          <w:rFonts w:ascii="Arial" w:hAnsi="Arial" w:cs="Arial"/>
          <w:spacing w:val="1"/>
          <w:sz w:val="20"/>
          <w:szCs w:val="20"/>
        </w:rPr>
        <w:t xml:space="preserve"> </w:t>
      </w:r>
      <w:r w:rsidRPr="00970766">
        <w:rPr>
          <w:rFonts w:ascii="Arial" w:hAnsi="Arial" w:cs="Arial"/>
          <w:sz w:val="20"/>
          <w:szCs w:val="20"/>
        </w:rPr>
        <w:t>procédure</w:t>
      </w:r>
      <w:r w:rsidRPr="00970766">
        <w:rPr>
          <w:rFonts w:ascii="Arial" w:hAnsi="Arial" w:cs="Arial"/>
          <w:spacing w:val="1"/>
          <w:sz w:val="20"/>
          <w:szCs w:val="20"/>
        </w:rPr>
        <w:t xml:space="preserve"> </w:t>
      </w:r>
      <w:r w:rsidRPr="00970766">
        <w:rPr>
          <w:rFonts w:ascii="Arial" w:hAnsi="Arial" w:cs="Arial"/>
          <w:sz w:val="20"/>
          <w:szCs w:val="20"/>
        </w:rPr>
        <w:t>dérogatoire</w:t>
      </w:r>
      <w:r w:rsidRPr="00970766">
        <w:rPr>
          <w:rFonts w:ascii="Arial" w:hAnsi="Arial" w:cs="Arial"/>
          <w:spacing w:val="1"/>
          <w:sz w:val="20"/>
          <w:szCs w:val="20"/>
        </w:rPr>
        <w:t xml:space="preserve"> </w:t>
      </w:r>
      <w:r w:rsidRPr="00970766">
        <w:rPr>
          <w:rFonts w:ascii="Arial" w:hAnsi="Arial" w:cs="Arial"/>
          <w:sz w:val="20"/>
          <w:szCs w:val="20"/>
        </w:rPr>
        <w:t>exceptionnelle,</w:t>
      </w:r>
      <w:r w:rsidRPr="00970766">
        <w:rPr>
          <w:rFonts w:ascii="Arial" w:hAnsi="Arial" w:cs="Arial"/>
          <w:spacing w:val="1"/>
          <w:sz w:val="20"/>
          <w:szCs w:val="20"/>
        </w:rPr>
        <w:t xml:space="preserve"> </w:t>
      </w:r>
      <w:r w:rsidRPr="00970766">
        <w:rPr>
          <w:rFonts w:ascii="Arial" w:hAnsi="Arial" w:cs="Arial"/>
          <w:sz w:val="20"/>
          <w:szCs w:val="20"/>
        </w:rPr>
        <w:t>d’une</w:t>
      </w:r>
      <w:r w:rsidRPr="00970766">
        <w:rPr>
          <w:rFonts w:ascii="Arial" w:hAnsi="Arial" w:cs="Arial"/>
          <w:spacing w:val="1"/>
          <w:sz w:val="20"/>
          <w:szCs w:val="20"/>
        </w:rPr>
        <w:t xml:space="preserve"> </w:t>
      </w:r>
      <w:r w:rsidRPr="00970766">
        <w:rPr>
          <w:rFonts w:ascii="Arial" w:hAnsi="Arial" w:cs="Arial"/>
          <w:sz w:val="20"/>
          <w:szCs w:val="20"/>
        </w:rPr>
        <w:t>durée</w:t>
      </w:r>
      <w:r w:rsidRPr="00970766">
        <w:rPr>
          <w:rFonts w:ascii="Arial" w:hAnsi="Arial" w:cs="Arial"/>
          <w:spacing w:val="1"/>
          <w:sz w:val="20"/>
          <w:szCs w:val="20"/>
        </w:rPr>
        <w:t xml:space="preserve"> </w:t>
      </w:r>
      <w:r w:rsidRPr="00970766">
        <w:rPr>
          <w:rFonts w:ascii="Arial" w:hAnsi="Arial" w:cs="Arial"/>
          <w:sz w:val="20"/>
          <w:szCs w:val="20"/>
        </w:rPr>
        <w:t>limitée</w:t>
      </w:r>
      <w:r w:rsidRPr="00970766">
        <w:rPr>
          <w:rFonts w:ascii="Arial" w:hAnsi="Arial" w:cs="Arial"/>
          <w:spacing w:val="1"/>
          <w:sz w:val="20"/>
          <w:szCs w:val="20"/>
        </w:rPr>
        <w:t xml:space="preserve"> </w:t>
      </w:r>
      <w:r w:rsidRPr="00970766">
        <w:rPr>
          <w:rFonts w:ascii="Arial" w:hAnsi="Arial" w:cs="Arial"/>
          <w:sz w:val="20"/>
          <w:szCs w:val="20"/>
        </w:rPr>
        <w:t>à</w:t>
      </w:r>
      <w:r w:rsidRPr="00970766">
        <w:rPr>
          <w:rFonts w:ascii="Arial" w:hAnsi="Arial" w:cs="Arial"/>
          <w:spacing w:val="1"/>
          <w:sz w:val="20"/>
          <w:szCs w:val="20"/>
        </w:rPr>
        <w:t xml:space="preserve"> </w:t>
      </w:r>
      <w:r w:rsidRPr="00970766">
        <w:rPr>
          <w:rFonts w:ascii="Arial" w:hAnsi="Arial" w:cs="Arial"/>
          <w:sz w:val="20"/>
          <w:szCs w:val="20"/>
        </w:rPr>
        <w:t>3</w:t>
      </w:r>
      <w:r w:rsidRPr="00970766">
        <w:rPr>
          <w:rFonts w:ascii="Arial" w:hAnsi="Arial" w:cs="Arial"/>
          <w:spacing w:val="61"/>
          <w:sz w:val="20"/>
          <w:szCs w:val="20"/>
        </w:rPr>
        <w:t xml:space="preserve"> </w:t>
      </w:r>
      <w:r w:rsidRPr="00970766">
        <w:rPr>
          <w:rFonts w:ascii="Arial" w:hAnsi="Arial" w:cs="Arial"/>
          <w:sz w:val="20"/>
          <w:szCs w:val="20"/>
        </w:rPr>
        <w:t>ans,</w:t>
      </w:r>
      <w:r w:rsidR="00B13345" w:rsidRPr="00970766">
        <w:rPr>
          <w:rFonts w:ascii="Arial" w:hAnsi="Arial" w:cs="Arial"/>
          <w:sz w:val="20"/>
          <w:szCs w:val="20"/>
        </w:rPr>
        <w:t xml:space="preserve"> </w:t>
      </w:r>
      <w:r w:rsidRPr="00970766">
        <w:rPr>
          <w:rFonts w:ascii="Arial" w:hAnsi="Arial" w:cs="Arial"/>
          <w:spacing w:val="-58"/>
          <w:sz w:val="20"/>
          <w:szCs w:val="20"/>
        </w:rPr>
        <w:t xml:space="preserve"> </w:t>
      </w:r>
      <w:r w:rsidRPr="00970766">
        <w:rPr>
          <w:rFonts w:ascii="Arial" w:hAnsi="Arial" w:cs="Arial"/>
          <w:sz w:val="20"/>
          <w:szCs w:val="20"/>
        </w:rPr>
        <w:t>renouvelable.</w:t>
      </w:r>
    </w:p>
    <w:p w14:paraId="0C9EB40D" w14:textId="77777777" w:rsidR="00671CAF" w:rsidRPr="00970766" w:rsidRDefault="00671CAF" w:rsidP="00671CAF">
      <w:pPr>
        <w:pStyle w:val="Corpsdetexte"/>
        <w:jc w:val="both"/>
        <w:rPr>
          <w:rFonts w:ascii="Arial" w:hAnsi="Arial" w:cs="Arial"/>
          <w:sz w:val="20"/>
          <w:szCs w:val="20"/>
        </w:rPr>
      </w:pPr>
    </w:p>
    <w:p w14:paraId="3F6E02A2" w14:textId="77777777" w:rsidR="00671CAF" w:rsidRPr="00970766" w:rsidRDefault="00671CAF" w:rsidP="005E6B0E">
      <w:pPr>
        <w:pStyle w:val="Corpsdetexte"/>
        <w:spacing w:after="160" w:line="259" w:lineRule="auto"/>
        <w:jc w:val="both"/>
        <w:rPr>
          <w:rFonts w:ascii="Arial" w:hAnsi="Arial" w:cs="Arial"/>
          <w:sz w:val="20"/>
          <w:szCs w:val="20"/>
        </w:rPr>
      </w:pPr>
      <w:r w:rsidRPr="00970766">
        <w:rPr>
          <w:rFonts w:ascii="Arial" w:hAnsi="Arial" w:cs="Arial"/>
          <w:sz w:val="20"/>
          <w:szCs w:val="20"/>
        </w:rPr>
        <w:t>Le CPC permet de répondre à un besoin thérapeutique dès lors que le rapport bénéfice/risque du médicament est présumé favorable. Précisément, une spécialité pharmaceutique peut faire l'objet d'une prescription</w:t>
      </w:r>
      <w:r w:rsidR="00C54838" w:rsidRPr="00970766">
        <w:rPr>
          <w:rFonts w:ascii="Arial" w:hAnsi="Arial" w:cs="Arial"/>
          <w:sz w:val="20"/>
          <w:szCs w:val="20"/>
        </w:rPr>
        <w:t xml:space="preserve"> au titre </w:t>
      </w:r>
      <w:r w:rsidR="00F65B11" w:rsidRPr="00970766">
        <w:rPr>
          <w:rFonts w:ascii="Arial" w:hAnsi="Arial" w:cs="Arial"/>
          <w:sz w:val="20"/>
          <w:szCs w:val="20"/>
        </w:rPr>
        <w:t>d’un</w:t>
      </w:r>
      <w:r w:rsidRPr="00970766">
        <w:rPr>
          <w:rFonts w:ascii="Arial" w:hAnsi="Arial" w:cs="Arial"/>
          <w:sz w:val="20"/>
          <w:szCs w:val="20"/>
        </w:rPr>
        <w:t xml:space="preserve"> CPC en l'absence de spécialité de même principe actif, de même dosage et de même forme pharmaceutique disposant d'une AMM ou d'une </w:t>
      </w:r>
      <w:r w:rsidR="00DC392B" w:rsidRPr="00970766">
        <w:rPr>
          <w:rFonts w:ascii="Arial" w:hAnsi="Arial" w:cs="Arial"/>
          <w:sz w:val="20"/>
          <w:szCs w:val="20"/>
        </w:rPr>
        <w:t xml:space="preserve">autorisation </w:t>
      </w:r>
      <w:r w:rsidRPr="00970766">
        <w:rPr>
          <w:rFonts w:ascii="Arial" w:hAnsi="Arial" w:cs="Arial"/>
          <w:sz w:val="20"/>
          <w:szCs w:val="20"/>
        </w:rPr>
        <w:t>d’accès précoce (AAP) dans l'indication ou les conditions d'utilisation considérées. Le prescripteur peut ainsi recourir au médicament dans le CPC pour répondre aux besoins spéciaux de son patient, appréciés à l'issue d'un examen effectif de ce dernier, et en se fondant sur les considérations thérapeutiques qui lui sont propres.</w:t>
      </w:r>
    </w:p>
    <w:p w14:paraId="7A67C542" w14:textId="77777777" w:rsidR="00671CAF" w:rsidRPr="00970766" w:rsidRDefault="00671CAF" w:rsidP="00671CAF">
      <w:pPr>
        <w:pStyle w:val="Corpsdetexte"/>
        <w:jc w:val="both"/>
        <w:rPr>
          <w:rFonts w:ascii="Arial" w:hAnsi="Arial" w:cs="Arial"/>
          <w:sz w:val="20"/>
          <w:szCs w:val="20"/>
        </w:rPr>
      </w:pPr>
    </w:p>
    <w:p w14:paraId="7A076EF5" w14:textId="77777777" w:rsidR="00671CAF" w:rsidRPr="00970766" w:rsidRDefault="00671CAF" w:rsidP="005E6B0E">
      <w:pPr>
        <w:pStyle w:val="Corpsdetexte"/>
        <w:spacing w:after="160" w:line="259" w:lineRule="auto"/>
        <w:jc w:val="both"/>
        <w:rPr>
          <w:rFonts w:ascii="Arial" w:hAnsi="Arial" w:cs="Arial"/>
          <w:sz w:val="20"/>
          <w:szCs w:val="20"/>
        </w:rPr>
      </w:pPr>
      <w:r w:rsidRPr="00970766">
        <w:rPr>
          <w:rFonts w:ascii="Arial" w:hAnsi="Arial" w:cs="Arial"/>
          <w:sz w:val="20"/>
          <w:szCs w:val="20"/>
        </w:rPr>
        <w:t>Il peut s’accompagner le cas échéant d’un suivi des patients traités dans l’indication considérée</w:t>
      </w:r>
      <w:r w:rsidR="00536FC7" w:rsidRPr="00970766">
        <w:rPr>
          <w:rFonts w:ascii="Arial" w:hAnsi="Arial" w:cs="Arial"/>
          <w:sz w:val="20"/>
          <w:szCs w:val="20"/>
        </w:rPr>
        <w:t>,</w:t>
      </w:r>
      <w:r w:rsidRPr="00970766">
        <w:rPr>
          <w:rFonts w:ascii="Arial" w:hAnsi="Arial" w:cs="Arial"/>
          <w:sz w:val="20"/>
          <w:szCs w:val="20"/>
        </w:rPr>
        <w:t xml:space="preserve"> permettant de recueillir davantage d’informations sur l’efficacité, les effets indésirables, les conditions réelles d’utilisation ou les caractéristiques de la population de patients concernée.</w:t>
      </w:r>
    </w:p>
    <w:p w14:paraId="0A38A21F" w14:textId="77777777" w:rsidR="0056441E" w:rsidRPr="00970766" w:rsidRDefault="0056441E" w:rsidP="00F07E4F">
      <w:pPr>
        <w:rPr>
          <w:rFonts w:ascii="Arial" w:hAnsi="Arial" w:cs="Arial"/>
          <w:b/>
          <w:color w:val="2E74B5" w:themeColor="accent1" w:themeShade="BF"/>
          <w:sz w:val="20"/>
        </w:rPr>
      </w:pPr>
      <w:r w:rsidRPr="00970766">
        <w:rPr>
          <w:rFonts w:ascii="Arial" w:hAnsi="Arial" w:cs="Arial"/>
          <w:b/>
          <w:color w:val="2E74B5" w:themeColor="accent1" w:themeShade="BF"/>
          <w:sz w:val="20"/>
        </w:rPr>
        <w:t xml:space="preserve">Engagement des </w:t>
      </w:r>
      <w:r w:rsidR="008A661C" w:rsidRPr="00970766">
        <w:rPr>
          <w:rFonts w:ascii="Arial" w:hAnsi="Arial" w:cs="Arial"/>
          <w:b/>
          <w:color w:val="2E74B5" w:themeColor="accent1" w:themeShade="BF"/>
          <w:sz w:val="20"/>
        </w:rPr>
        <w:t>professionnels de santé</w:t>
      </w:r>
    </w:p>
    <w:p w14:paraId="39B02F24" w14:textId="77777777" w:rsidR="00671CAF" w:rsidRPr="00970766" w:rsidRDefault="0056441E" w:rsidP="00E3178B">
      <w:pPr>
        <w:autoSpaceDE w:val="0"/>
        <w:autoSpaceDN w:val="0"/>
        <w:adjustRightInd w:val="0"/>
        <w:jc w:val="both"/>
        <w:rPr>
          <w:rFonts w:ascii="Arial" w:eastAsia="Times New Roman" w:hAnsi="Arial" w:cs="Arial"/>
          <w:sz w:val="20"/>
          <w:szCs w:val="20"/>
        </w:rPr>
      </w:pPr>
      <w:r w:rsidRPr="00970766">
        <w:rPr>
          <w:rFonts w:ascii="Arial" w:eastAsia="Times New Roman" w:hAnsi="Arial" w:cs="Arial"/>
          <w:sz w:val="20"/>
          <w:szCs w:val="20"/>
        </w:rPr>
        <w:t xml:space="preserve">Les </w:t>
      </w:r>
      <w:r w:rsidR="007E08CD" w:rsidRPr="00970766">
        <w:rPr>
          <w:rFonts w:ascii="Arial" w:eastAsia="Times New Roman" w:hAnsi="Arial" w:cs="Arial"/>
          <w:sz w:val="20"/>
          <w:szCs w:val="20"/>
        </w:rPr>
        <w:t xml:space="preserve">professionnels de santé en charge de la prescription et de la </w:t>
      </w:r>
      <w:r w:rsidR="00C40F11" w:rsidRPr="00970766">
        <w:rPr>
          <w:rFonts w:ascii="Arial" w:eastAsia="Times New Roman" w:hAnsi="Arial" w:cs="Arial"/>
          <w:sz w:val="20"/>
          <w:szCs w:val="20"/>
        </w:rPr>
        <w:t>délivrance d’</w:t>
      </w:r>
      <w:r w:rsidRPr="00970766">
        <w:rPr>
          <w:rFonts w:ascii="Arial" w:eastAsia="Times New Roman" w:hAnsi="Arial" w:cs="Arial"/>
          <w:sz w:val="20"/>
          <w:szCs w:val="20"/>
        </w:rPr>
        <w:t xml:space="preserve">une spécialité dans l’indication faisant l’objet </w:t>
      </w:r>
      <w:r w:rsidR="0014170F" w:rsidRPr="00970766">
        <w:rPr>
          <w:rFonts w:ascii="Arial" w:eastAsia="Times New Roman" w:hAnsi="Arial" w:cs="Arial"/>
          <w:sz w:val="20"/>
          <w:szCs w:val="20"/>
        </w:rPr>
        <w:t>d</w:t>
      </w:r>
      <w:r w:rsidR="00C40F11" w:rsidRPr="00970766">
        <w:rPr>
          <w:rFonts w:ascii="Arial" w:eastAsia="Times New Roman" w:hAnsi="Arial" w:cs="Arial"/>
          <w:sz w:val="20"/>
          <w:szCs w:val="20"/>
        </w:rPr>
        <w:t>’</w:t>
      </w:r>
      <w:r w:rsidR="0014170F" w:rsidRPr="00970766">
        <w:rPr>
          <w:rFonts w:ascii="Arial" w:eastAsia="Times New Roman" w:hAnsi="Arial" w:cs="Arial"/>
          <w:sz w:val="20"/>
          <w:szCs w:val="20"/>
        </w:rPr>
        <w:t>u</w:t>
      </w:r>
      <w:r w:rsidR="00C40F11" w:rsidRPr="00970766">
        <w:rPr>
          <w:rFonts w:ascii="Arial" w:eastAsia="Times New Roman" w:hAnsi="Arial" w:cs="Arial"/>
          <w:sz w:val="20"/>
          <w:szCs w:val="20"/>
        </w:rPr>
        <w:t>n</w:t>
      </w:r>
      <w:r w:rsidR="0014170F" w:rsidRPr="00970766">
        <w:rPr>
          <w:rFonts w:ascii="Arial" w:eastAsia="Times New Roman" w:hAnsi="Arial" w:cs="Arial"/>
          <w:sz w:val="20"/>
          <w:szCs w:val="20"/>
        </w:rPr>
        <w:t xml:space="preserve"> CPC</w:t>
      </w:r>
      <w:r w:rsidRPr="00970766">
        <w:rPr>
          <w:rFonts w:ascii="Arial" w:eastAsia="Times New Roman" w:hAnsi="Arial" w:cs="Arial"/>
          <w:sz w:val="20"/>
          <w:szCs w:val="20"/>
        </w:rPr>
        <w:t xml:space="preserve"> s’engagent à respecter le protocole</w:t>
      </w:r>
      <w:r w:rsidR="00C40F11" w:rsidRPr="00970766">
        <w:rPr>
          <w:rFonts w:ascii="Arial" w:eastAsia="Times New Roman" w:hAnsi="Arial" w:cs="Arial"/>
          <w:sz w:val="20"/>
          <w:szCs w:val="20"/>
        </w:rPr>
        <w:t xml:space="preserve"> d’utilisation thérapeutique et</w:t>
      </w:r>
      <w:r w:rsidRPr="00970766">
        <w:rPr>
          <w:rFonts w:ascii="Arial" w:eastAsia="Times New Roman" w:hAnsi="Arial" w:cs="Arial"/>
          <w:sz w:val="20"/>
          <w:szCs w:val="20"/>
        </w:rPr>
        <w:t xml:space="preserve"> de suivi </w:t>
      </w:r>
      <w:r w:rsidR="00D651FB" w:rsidRPr="00970766">
        <w:rPr>
          <w:rFonts w:ascii="Arial" w:eastAsia="Times New Roman" w:hAnsi="Arial" w:cs="Arial"/>
          <w:sz w:val="20"/>
          <w:szCs w:val="20"/>
        </w:rPr>
        <w:t xml:space="preserve">des patients </w:t>
      </w:r>
      <w:r w:rsidRPr="00970766">
        <w:rPr>
          <w:rFonts w:ascii="Arial" w:eastAsia="Times New Roman" w:hAnsi="Arial" w:cs="Arial"/>
          <w:sz w:val="20"/>
          <w:szCs w:val="20"/>
        </w:rPr>
        <w:t>joint</w:t>
      </w:r>
      <w:r w:rsidR="008A661C" w:rsidRPr="00970766">
        <w:rPr>
          <w:rFonts w:ascii="Arial" w:eastAsia="Times New Roman" w:hAnsi="Arial" w:cs="Arial"/>
          <w:sz w:val="20"/>
          <w:szCs w:val="20"/>
        </w:rPr>
        <w:t xml:space="preserve"> au</w:t>
      </w:r>
      <w:r w:rsidRPr="00970766">
        <w:rPr>
          <w:rFonts w:ascii="Arial" w:eastAsia="Times New Roman" w:hAnsi="Arial" w:cs="Arial"/>
          <w:sz w:val="20"/>
          <w:szCs w:val="20"/>
        </w:rPr>
        <w:t xml:space="preserve"> </w:t>
      </w:r>
      <w:r w:rsidR="0014170F" w:rsidRPr="00970766">
        <w:rPr>
          <w:rFonts w:ascii="Arial" w:eastAsia="Times New Roman" w:hAnsi="Arial" w:cs="Arial"/>
          <w:sz w:val="20"/>
          <w:szCs w:val="20"/>
        </w:rPr>
        <w:t>CPC</w:t>
      </w:r>
      <w:r w:rsidRPr="00970766">
        <w:rPr>
          <w:rFonts w:ascii="Arial" w:eastAsia="Times New Roman" w:hAnsi="Arial" w:cs="Arial"/>
          <w:sz w:val="20"/>
          <w:szCs w:val="20"/>
        </w:rPr>
        <w:t xml:space="preserve"> </w:t>
      </w:r>
      <w:r w:rsidR="008A661C" w:rsidRPr="00970766">
        <w:rPr>
          <w:rFonts w:ascii="Arial" w:eastAsia="Times New Roman" w:hAnsi="Arial" w:cs="Arial"/>
          <w:sz w:val="20"/>
          <w:szCs w:val="20"/>
        </w:rPr>
        <w:t>(</w:t>
      </w:r>
      <w:r w:rsidR="00747F8A" w:rsidRPr="00970766">
        <w:rPr>
          <w:rFonts w:ascii="Arial" w:eastAsia="Times New Roman" w:hAnsi="Arial" w:cs="Arial"/>
          <w:sz w:val="20"/>
          <w:szCs w:val="20"/>
        </w:rPr>
        <w:t>cf.</w:t>
      </w:r>
      <w:r w:rsidR="00FD4073">
        <w:rPr>
          <w:rFonts w:ascii="Arial" w:eastAsia="Times New Roman" w:hAnsi="Arial" w:cs="Arial"/>
          <w:sz w:val="20"/>
          <w:szCs w:val="20"/>
        </w:rPr>
        <w:t xml:space="preserve"> </w:t>
      </w:r>
      <w:r w:rsidR="008E79B7" w:rsidRPr="00970766">
        <w:rPr>
          <w:rFonts w:ascii="Arial" w:eastAsia="Times New Roman" w:hAnsi="Arial" w:cs="Arial"/>
          <w:sz w:val="20"/>
          <w:szCs w:val="20"/>
        </w:rPr>
        <w:t>« </w:t>
      </w:r>
      <w:r w:rsidR="0099376C" w:rsidRPr="00970766">
        <w:rPr>
          <w:rFonts w:ascii="Arial" w:eastAsia="Times New Roman" w:hAnsi="Arial" w:cs="Arial"/>
          <w:sz w:val="20"/>
          <w:szCs w:val="20"/>
        </w:rPr>
        <w:t>N</w:t>
      </w:r>
      <w:r w:rsidR="008E79B7" w:rsidRPr="00970766">
        <w:rPr>
          <w:rFonts w:ascii="Arial" w:eastAsia="Times New Roman" w:hAnsi="Arial" w:cs="Arial"/>
          <w:sz w:val="20"/>
          <w:szCs w:val="20"/>
        </w:rPr>
        <w:t>ote d’information destinée aux professionnels de santé</w:t>
      </w:r>
      <w:r w:rsidR="0099376C" w:rsidRPr="00970766">
        <w:rPr>
          <w:rFonts w:ascii="Arial" w:eastAsia="Times New Roman" w:hAnsi="Arial" w:cs="Arial"/>
          <w:sz w:val="20"/>
          <w:szCs w:val="20"/>
        </w:rPr>
        <w:t xml:space="preserve"> intervenant dans le CPC</w:t>
      </w:r>
      <w:r w:rsidR="008E79B7" w:rsidRPr="00970766">
        <w:rPr>
          <w:rFonts w:ascii="Arial" w:eastAsia="Times New Roman" w:hAnsi="Arial" w:cs="Arial"/>
          <w:sz w:val="20"/>
          <w:szCs w:val="20"/>
        </w:rPr>
        <w:t> »</w:t>
      </w:r>
      <w:r w:rsidR="008A661C" w:rsidRPr="00970766">
        <w:rPr>
          <w:rFonts w:ascii="Arial" w:eastAsia="Times New Roman" w:hAnsi="Arial" w:cs="Arial"/>
          <w:sz w:val="20"/>
          <w:szCs w:val="20"/>
        </w:rPr>
        <w:t xml:space="preserve">) et le cas échéant à participer </w:t>
      </w:r>
      <w:r w:rsidR="0099376C" w:rsidRPr="00970766">
        <w:rPr>
          <w:rFonts w:ascii="Arial" w:eastAsia="Times New Roman" w:hAnsi="Arial" w:cs="Arial"/>
          <w:sz w:val="20"/>
          <w:szCs w:val="20"/>
        </w:rPr>
        <w:t>à la collecte</w:t>
      </w:r>
      <w:r w:rsidR="00C40F11" w:rsidRPr="00970766">
        <w:rPr>
          <w:rFonts w:ascii="Arial" w:eastAsia="Times New Roman" w:hAnsi="Arial" w:cs="Arial"/>
          <w:sz w:val="20"/>
          <w:szCs w:val="20"/>
        </w:rPr>
        <w:t xml:space="preserve"> de donnée</w:t>
      </w:r>
      <w:r w:rsidR="004B721F" w:rsidRPr="00970766">
        <w:rPr>
          <w:rFonts w:ascii="Arial" w:eastAsia="Times New Roman" w:hAnsi="Arial" w:cs="Arial"/>
          <w:sz w:val="20"/>
          <w:szCs w:val="20"/>
        </w:rPr>
        <w:t>s</w:t>
      </w:r>
      <w:r w:rsidR="00C40F11" w:rsidRPr="00970766">
        <w:rPr>
          <w:rFonts w:ascii="Arial" w:eastAsia="Times New Roman" w:hAnsi="Arial" w:cs="Arial"/>
          <w:sz w:val="20"/>
          <w:szCs w:val="20"/>
        </w:rPr>
        <w:t>.</w:t>
      </w:r>
    </w:p>
    <w:p w14:paraId="370D548A" w14:textId="77777777" w:rsidR="0056441E" w:rsidRPr="00970766" w:rsidRDefault="0056441E" w:rsidP="0056441E">
      <w:pPr>
        <w:pStyle w:val="Corpsdetexte"/>
        <w:spacing w:before="2"/>
        <w:rPr>
          <w:rFonts w:ascii="Arial" w:hAnsi="Arial" w:cs="Arial"/>
          <w:sz w:val="20"/>
          <w:szCs w:val="20"/>
          <w:highlight w:val="green"/>
        </w:rPr>
      </w:pPr>
    </w:p>
    <w:p w14:paraId="15711185" w14:textId="77777777" w:rsidR="0056441E" w:rsidRPr="00970766" w:rsidRDefault="0056441E" w:rsidP="003A3FC4">
      <w:pPr>
        <w:rPr>
          <w:rFonts w:ascii="Arial" w:hAnsi="Arial" w:cs="Arial"/>
          <w:b/>
          <w:color w:val="2E74B5" w:themeColor="accent1" w:themeShade="BF"/>
          <w:sz w:val="20"/>
        </w:rPr>
      </w:pPr>
      <w:r w:rsidRPr="00970766">
        <w:rPr>
          <w:rFonts w:ascii="Arial" w:hAnsi="Arial" w:cs="Arial"/>
          <w:b/>
          <w:color w:val="2E74B5" w:themeColor="accent1" w:themeShade="BF"/>
          <w:sz w:val="20"/>
        </w:rPr>
        <w:t xml:space="preserve">Protocole d’utilisation thérapeutique et de </w:t>
      </w:r>
      <w:r w:rsidR="00C27436" w:rsidRPr="00970766">
        <w:rPr>
          <w:rFonts w:ascii="Arial" w:hAnsi="Arial" w:cs="Arial"/>
          <w:b/>
          <w:color w:val="2E74B5" w:themeColor="accent1" w:themeShade="BF"/>
          <w:sz w:val="20"/>
        </w:rPr>
        <w:t>suivi</w:t>
      </w:r>
      <w:r w:rsidR="00292793" w:rsidRPr="00970766">
        <w:rPr>
          <w:rFonts w:ascii="Arial" w:hAnsi="Arial" w:cs="Arial"/>
          <w:b/>
          <w:color w:val="2E74B5" w:themeColor="accent1" w:themeShade="BF"/>
          <w:sz w:val="20"/>
        </w:rPr>
        <w:t xml:space="preserve"> </w:t>
      </w:r>
      <w:r w:rsidRPr="00970766">
        <w:rPr>
          <w:rFonts w:ascii="Arial" w:hAnsi="Arial" w:cs="Arial"/>
          <w:b/>
          <w:color w:val="2E74B5" w:themeColor="accent1" w:themeShade="BF"/>
          <w:sz w:val="20"/>
        </w:rPr>
        <w:t xml:space="preserve">des patients </w:t>
      </w:r>
    </w:p>
    <w:p w14:paraId="2DB9D78F" w14:textId="77777777" w:rsidR="0056441E" w:rsidRPr="00970766" w:rsidRDefault="0056441E" w:rsidP="003A3FC4">
      <w:pPr>
        <w:pStyle w:val="Corpsdetexte"/>
        <w:spacing w:before="1" w:after="160" w:line="259" w:lineRule="auto"/>
        <w:jc w:val="both"/>
        <w:rPr>
          <w:rFonts w:ascii="Arial" w:hAnsi="Arial" w:cs="Arial"/>
          <w:sz w:val="20"/>
          <w:szCs w:val="20"/>
        </w:rPr>
      </w:pPr>
      <w:r w:rsidRPr="00970766">
        <w:rPr>
          <w:rFonts w:ascii="Arial" w:hAnsi="Arial" w:cs="Arial"/>
          <w:sz w:val="20"/>
          <w:szCs w:val="20"/>
        </w:rPr>
        <w:t>Le</w:t>
      </w:r>
      <w:r w:rsidRPr="00970766">
        <w:rPr>
          <w:rFonts w:ascii="Arial" w:hAnsi="Arial" w:cs="Arial"/>
          <w:spacing w:val="1"/>
          <w:sz w:val="20"/>
          <w:szCs w:val="20"/>
        </w:rPr>
        <w:t xml:space="preserve"> </w:t>
      </w:r>
      <w:r w:rsidRPr="00970766">
        <w:rPr>
          <w:rFonts w:ascii="Arial" w:hAnsi="Arial" w:cs="Arial"/>
          <w:sz w:val="20"/>
          <w:szCs w:val="20"/>
        </w:rPr>
        <w:t>protocole</w:t>
      </w:r>
      <w:r w:rsidRPr="00970766">
        <w:rPr>
          <w:rFonts w:ascii="Arial" w:hAnsi="Arial" w:cs="Arial"/>
          <w:spacing w:val="1"/>
          <w:sz w:val="20"/>
          <w:szCs w:val="20"/>
        </w:rPr>
        <w:t xml:space="preserve"> </w:t>
      </w:r>
      <w:r w:rsidRPr="00970766">
        <w:rPr>
          <w:rFonts w:ascii="Arial" w:hAnsi="Arial" w:cs="Arial"/>
          <w:sz w:val="20"/>
          <w:szCs w:val="20"/>
        </w:rPr>
        <w:t>d’utilisation</w:t>
      </w:r>
      <w:r w:rsidRPr="00970766">
        <w:rPr>
          <w:rFonts w:ascii="Arial" w:hAnsi="Arial" w:cs="Arial"/>
          <w:spacing w:val="1"/>
          <w:sz w:val="20"/>
          <w:szCs w:val="20"/>
        </w:rPr>
        <w:t xml:space="preserve"> </w:t>
      </w:r>
      <w:r w:rsidRPr="00970766">
        <w:rPr>
          <w:rFonts w:ascii="Arial" w:hAnsi="Arial" w:cs="Arial"/>
          <w:sz w:val="20"/>
          <w:szCs w:val="20"/>
        </w:rPr>
        <w:t>thérapeutique</w:t>
      </w:r>
      <w:r w:rsidRPr="00970766">
        <w:rPr>
          <w:rFonts w:ascii="Arial" w:hAnsi="Arial" w:cs="Arial"/>
          <w:spacing w:val="1"/>
          <w:sz w:val="20"/>
          <w:szCs w:val="20"/>
        </w:rPr>
        <w:t xml:space="preserve"> </w:t>
      </w:r>
      <w:r w:rsidRPr="00970766">
        <w:rPr>
          <w:rFonts w:ascii="Arial" w:hAnsi="Arial" w:cs="Arial"/>
          <w:sz w:val="20"/>
          <w:szCs w:val="20"/>
        </w:rPr>
        <w:t>et</w:t>
      </w:r>
      <w:r w:rsidRPr="00970766">
        <w:rPr>
          <w:rFonts w:ascii="Arial" w:hAnsi="Arial" w:cs="Arial"/>
          <w:spacing w:val="1"/>
          <w:sz w:val="20"/>
          <w:szCs w:val="20"/>
        </w:rPr>
        <w:t xml:space="preserve"> </w:t>
      </w:r>
      <w:r w:rsidRPr="00970766">
        <w:rPr>
          <w:rFonts w:ascii="Arial" w:hAnsi="Arial" w:cs="Arial"/>
          <w:sz w:val="20"/>
          <w:szCs w:val="20"/>
        </w:rPr>
        <w:t>de</w:t>
      </w:r>
      <w:r w:rsidRPr="00970766">
        <w:rPr>
          <w:rFonts w:ascii="Arial" w:hAnsi="Arial" w:cs="Arial"/>
          <w:spacing w:val="1"/>
          <w:sz w:val="20"/>
          <w:szCs w:val="20"/>
        </w:rPr>
        <w:t xml:space="preserve"> </w:t>
      </w:r>
      <w:r w:rsidRPr="00970766">
        <w:rPr>
          <w:rFonts w:ascii="Arial" w:hAnsi="Arial" w:cs="Arial"/>
          <w:sz w:val="20"/>
          <w:szCs w:val="20"/>
        </w:rPr>
        <w:t>suivi</w:t>
      </w:r>
      <w:r w:rsidRPr="00970766">
        <w:rPr>
          <w:rFonts w:ascii="Arial" w:hAnsi="Arial" w:cs="Arial"/>
          <w:spacing w:val="1"/>
          <w:sz w:val="20"/>
          <w:szCs w:val="20"/>
        </w:rPr>
        <w:t xml:space="preserve"> </w:t>
      </w:r>
      <w:r w:rsidRPr="00970766">
        <w:rPr>
          <w:rFonts w:ascii="Arial" w:hAnsi="Arial" w:cs="Arial"/>
          <w:sz w:val="20"/>
          <w:szCs w:val="20"/>
        </w:rPr>
        <w:t>des</w:t>
      </w:r>
      <w:r w:rsidRPr="00970766">
        <w:rPr>
          <w:rFonts w:ascii="Arial" w:hAnsi="Arial" w:cs="Arial"/>
          <w:spacing w:val="1"/>
          <w:sz w:val="20"/>
          <w:szCs w:val="20"/>
        </w:rPr>
        <w:t xml:space="preserve"> </w:t>
      </w:r>
      <w:r w:rsidRPr="00970766">
        <w:rPr>
          <w:rFonts w:ascii="Arial" w:hAnsi="Arial" w:cs="Arial"/>
          <w:sz w:val="20"/>
          <w:szCs w:val="20"/>
        </w:rPr>
        <w:t>patients</w:t>
      </w:r>
      <w:r w:rsidRPr="00970766">
        <w:rPr>
          <w:rFonts w:ascii="Arial" w:hAnsi="Arial" w:cs="Arial"/>
          <w:spacing w:val="1"/>
          <w:sz w:val="20"/>
          <w:szCs w:val="20"/>
        </w:rPr>
        <w:t xml:space="preserve"> </w:t>
      </w:r>
      <w:r w:rsidRPr="00970766">
        <w:rPr>
          <w:rFonts w:ascii="Arial" w:hAnsi="Arial" w:cs="Arial"/>
          <w:sz w:val="20"/>
          <w:szCs w:val="20"/>
        </w:rPr>
        <w:t>définit</w:t>
      </w:r>
      <w:r w:rsidRPr="00970766">
        <w:rPr>
          <w:rFonts w:ascii="Arial" w:hAnsi="Arial" w:cs="Arial"/>
          <w:spacing w:val="1"/>
          <w:sz w:val="20"/>
          <w:szCs w:val="20"/>
        </w:rPr>
        <w:t xml:space="preserve"> </w:t>
      </w:r>
      <w:r w:rsidRPr="00970766">
        <w:rPr>
          <w:rFonts w:ascii="Arial" w:hAnsi="Arial" w:cs="Arial"/>
          <w:sz w:val="20"/>
          <w:szCs w:val="20"/>
        </w:rPr>
        <w:t>les</w:t>
      </w:r>
      <w:r w:rsidRPr="00970766">
        <w:rPr>
          <w:rFonts w:ascii="Arial" w:hAnsi="Arial" w:cs="Arial"/>
          <w:spacing w:val="1"/>
          <w:sz w:val="20"/>
          <w:szCs w:val="20"/>
        </w:rPr>
        <w:t xml:space="preserve"> </w:t>
      </w:r>
      <w:r w:rsidRPr="00970766">
        <w:rPr>
          <w:rFonts w:ascii="Arial" w:hAnsi="Arial" w:cs="Arial"/>
          <w:sz w:val="20"/>
          <w:szCs w:val="20"/>
        </w:rPr>
        <w:t>critères</w:t>
      </w:r>
      <w:r w:rsidRPr="00970766">
        <w:rPr>
          <w:rFonts w:ascii="Arial" w:hAnsi="Arial" w:cs="Arial"/>
          <w:spacing w:val="1"/>
          <w:sz w:val="20"/>
          <w:szCs w:val="20"/>
        </w:rPr>
        <w:t xml:space="preserve"> </w:t>
      </w:r>
      <w:r w:rsidRPr="00970766">
        <w:rPr>
          <w:rFonts w:ascii="Arial" w:hAnsi="Arial" w:cs="Arial"/>
          <w:sz w:val="20"/>
          <w:szCs w:val="20"/>
        </w:rPr>
        <w:t>de</w:t>
      </w:r>
      <w:r w:rsidRPr="00970766">
        <w:rPr>
          <w:rFonts w:ascii="Arial" w:hAnsi="Arial" w:cs="Arial"/>
          <w:spacing w:val="1"/>
          <w:sz w:val="20"/>
          <w:szCs w:val="20"/>
        </w:rPr>
        <w:t xml:space="preserve"> </w:t>
      </w:r>
      <w:r w:rsidRPr="00970766">
        <w:rPr>
          <w:rFonts w:ascii="Arial" w:hAnsi="Arial" w:cs="Arial"/>
          <w:sz w:val="20"/>
          <w:szCs w:val="20"/>
        </w:rPr>
        <w:t>prescription, de dispensation et d’administration du médicament ainsi que les modalités de</w:t>
      </w:r>
      <w:r w:rsidRPr="00970766">
        <w:rPr>
          <w:rFonts w:ascii="Arial" w:hAnsi="Arial" w:cs="Arial"/>
          <w:spacing w:val="1"/>
          <w:sz w:val="20"/>
          <w:szCs w:val="20"/>
        </w:rPr>
        <w:t xml:space="preserve"> </w:t>
      </w:r>
      <w:r w:rsidRPr="00970766">
        <w:rPr>
          <w:rFonts w:ascii="Arial" w:hAnsi="Arial" w:cs="Arial"/>
          <w:sz w:val="20"/>
          <w:szCs w:val="20"/>
        </w:rPr>
        <w:t>surveillance</w:t>
      </w:r>
      <w:r w:rsidRPr="00970766">
        <w:rPr>
          <w:rFonts w:ascii="Arial" w:hAnsi="Arial" w:cs="Arial"/>
          <w:spacing w:val="-2"/>
          <w:sz w:val="20"/>
          <w:szCs w:val="20"/>
        </w:rPr>
        <w:t xml:space="preserve"> </w:t>
      </w:r>
      <w:r w:rsidRPr="00970766">
        <w:rPr>
          <w:rFonts w:ascii="Arial" w:hAnsi="Arial" w:cs="Arial"/>
          <w:sz w:val="20"/>
          <w:szCs w:val="20"/>
        </w:rPr>
        <w:t>des patients</w:t>
      </w:r>
      <w:r w:rsidRPr="00970766">
        <w:rPr>
          <w:rFonts w:ascii="Arial" w:hAnsi="Arial" w:cs="Arial"/>
          <w:spacing w:val="2"/>
          <w:sz w:val="20"/>
          <w:szCs w:val="20"/>
        </w:rPr>
        <w:t xml:space="preserve"> </w:t>
      </w:r>
      <w:r w:rsidRPr="00970766">
        <w:rPr>
          <w:rFonts w:ascii="Arial" w:hAnsi="Arial" w:cs="Arial"/>
          <w:sz w:val="20"/>
          <w:szCs w:val="20"/>
        </w:rPr>
        <w:t>traités.</w:t>
      </w:r>
    </w:p>
    <w:p w14:paraId="4D8F6449" w14:textId="77777777" w:rsidR="0056441E" w:rsidRPr="00970766" w:rsidRDefault="0056441E" w:rsidP="003A3FC4">
      <w:pPr>
        <w:pStyle w:val="Corpsdetexte"/>
        <w:spacing w:after="160" w:line="259" w:lineRule="auto"/>
        <w:jc w:val="both"/>
        <w:rPr>
          <w:rFonts w:ascii="Arial" w:hAnsi="Arial" w:cs="Arial"/>
          <w:sz w:val="20"/>
          <w:szCs w:val="20"/>
        </w:rPr>
      </w:pPr>
      <w:r w:rsidRPr="00970766">
        <w:rPr>
          <w:rFonts w:ascii="Arial" w:hAnsi="Arial" w:cs="Arial"/>
          <w:sz w:val="20"/>
          <w:szCs w:val="20"/>
        </w:rPr>
        <w:t xml:space="preserve">Il décrit également les modalités de </w:t>
      </w:r>
      <w:r w:rsidR="0099376C" w:rsidRPr="00970766">
        <w:rPr>
          <w:rFonts w:ascii="Arial" w:hAnsi="Arial" w:cs="Arial"/>
          <w:sz w:val="20"/>
          <w:szCs w:val="20"/>
        </w:rPr>
        <w:t xml:space="preserve">collecte </w:t>
      </w:r>
      <w:r w:rsidRPr="00970766">
        <w:rPr>
          <w:rFonts w:ascii="Arial" w:hAnsi="Arial" w:cs="Arial"/>
          <w:sz w:val="20"/>
          <w:szCs w:val="20"/>
        </w:rPr>
        <w:t>des données issues de ce suivi et les conditions</w:t>
      </w:r>
      <w:r w:rsidRPr="00970766">
        <w:rPr>
          <w:rFonts w:ascii="Arial" w:hAnsi="Arial" w:cs="Arial"/>
          <w:spacing w:val="1"/>
          <w:sz w:val="20"/>
          <w:szCs w:val="20"/>
        </w:rPr>
        <w:t xml:space="preserve"> </w:t>
      </w:r>
      <w:r w:rsidRPr="00970766">
        <w:rPr>
          <w:rFonts w:ascii="Arial" w:hAnsi="Arial" w:cs="Arial"/>
          <w:sz w:val="20"/>
          <w:szCs w:val="20"/>
        </w:rPr>
        <w:t>réelles</w:t>
      </w:r>
      <w:r w:rsidRPr="00970766">
        <w:rPr>
          <w:rFonts w:ascii="Arial" w:hAnsi="Arial" w:cs="Arial"/>
          <w:spacing w:val="-1"/>
          <w:sz w:val="20"/>
          <w:szCs w:val="20"/>
        </w:rPr>
        <w:t xml:space="preserve"> </w:t>
      </w:r>
      <w:r w:rsidRPr="00970766">
        <w:rPr>
          <w:rFonts w:ascii="Arial" w:hAnsi="Arial" w:cs="Arial"/>
          <w:sz w:val="20"/>
          <w:szCs w:val="20"/>
        </w:rPr>
        <w:t>d’utilisation du médicament.</w:t>
      </w:r>
    </w:p>
    <w:p w14:paraId="11072E79" w14:textId="77777777" w:rsidR="0056441E" w:rsidRPr="00970766" w:rsidRDefault="0056441E" w:rsidP="003A3FC4">
      <w:pPr>
        <w:pStyle w:val="Corpsdetexte"/>
        <w:spacing w:after="160" w:line="259" w:lineRule="auto"/>
        <w:jc w:val="both"/>
        <w:rPr>
          <w:rFonts w:ascii="Arial" w:hAnsi="Arial" w:cs="Arial"/>
          <w:sz w:val="20"/>
          <w:szCs w:val="20"/>
        </w:rPr>
      </w:pPr>
      <w:r w:rsidRPr="00970766">
        <w:rPr>
          <w:rFonts w:ascii="Arial" w:hAnsi="Arial" w:cs="Arial"/>
          <w:sz w:val="20"/>
          <w:szCs w:val="20"/>
        </w:rPr>
        <w:t>Le</w:t>
      </w:r>
      <w:r w:rsidRPr="00970766">
        <w:rPr>
          <w:rFonts w:ascii="Arial" w:hAnsi="Arial" w:cs="Arial"/>
          <w:spacing w:val="-3"/>
          <w:sz w:val="20"/>
          <w:szCs w:val="20"/>
        </w:rPr>
        <w:t xml:space="preserve"> </w:t>
      </w:r>
      <w:r w:rsidRPr="00970766">
        <w:rPr>
          <w:rFonts w:ascii="Arial" w:hAnsi="Arial" w:cs="Arial"/>
          <w:sz w:val="20"/>
          <w:szCs w:val="20"/>
        </w:rPr>
        <w:t>protocole</w:t>
      </w:r>
      <w:r w:rsidR="00AF3D9A" w:rsidRPr="00970766">
        <w:rPr>
          <w:rFonts w:ascii="Arial" w:hAnsi="Arial" w:cs="Arial"/>
          <w:sz w:val="20"/>
          <w:szCs w:val="20"/>
        </w:rPr>
        <w:t xml:space="preserve"> d’utilisation</w:t>
      </w:r>
      <w:r w:rsidR="00AF3D9A" w:rsidRPr="00970766">
        <w:rPr>
          <w:rFonts w:ascii="Arial" w:hAnsi="Arial" w:cs="Arial"/>
          <w:spacing w:val="1"/>
          <w:sz w:val="20"/>
          <w:szCs w:val="20"/>
        </w:rPr>
        <w:t xml:space="preserve"> </w:t>
      </w:r>
      <w:r w:rsidR="00AF3D9A" w:rsidRPr="00970766">
        <w:rPr>
          <w:rFonts w:ascii="Arial" w:hAnsi="Arial" w:cs="Arial"/>
          <w:sz w:val="20"/>
          <w:szCs w:val="20"/>
        </w:rPr>
        <w:t>thérapeutique</w:t>
      </w:r>
      <w:r w:rsidR="00AF3D9A" w:rsidRPr="00970766">
        <w:rPr>
          <w:rFonts w:ascii="Arial" w:hAnsi="Arial" w:cs="Arial"/>
          <w:spacing w:val="1"/>
          <w:sz w:val="20"/>
          <w:szCs w:val="20"/>
        </w:rPr>
        <w:t xml:space="preserve"> </w:t>
      </w:r>
      <w:r w:rsidR="00AF3D9A" w:rsidRPr="00970766">
        <w:rPr>
          <w:rFonts w:ascii="Arial" w:hAnsi="Arial" w:cs="Arial"/>
          <w:sz w:val="20"/>
          <w:szCs w:val="20"/>
        </w:rPr>
        <w:t>et</w:t>
      </w:r>
      <w:r w:rsidRPr="00970766">
        <w:rPr>
          <w:rFonts w:ascii="Arial" w:hAnsi="Arial" w:cs="Arial"/>
          <w:spacing w:val="-2"/>
          <w:sz w:val="20"/>
          <w:szCs w:val="20"/>
        </w:rPr>
        <w:t xml:space="preserve"> </w:t>
      </w:r>
      <w:r w:rsidRPr="00970766">
        <w:rPr>
          <w:rFonts w:ascii="Arial" w:hAnsi="Arial" w:cs="Arial"/>
          <w:sz w:val="20"/>
          <w:szCs w:val="20"/>
        </w:rPr>
        <w:t>de</w:t>
      </w:r>
      <w:r w:rsidRPr="00970766">
        <w:rPr>
          <w:rFonts w:ascii="Arial" w:hAnsi="Arial" w:cs="Arial"/>
          <w:spacing w:val="-2"/>
          <w:sz w:val="20"/>
          <w:szCs w:val="20"/>
        </w:rPr>
        <w:t xml:space="preserve"> </w:t>
      </w:r>
      <w:r w:rsidRPr="00970766">
        <w:rPr>
          <w:rFonts w:ascii="Arial" w:hAnsi="Arial" w:cs="Arial"/>
          <w:sz w:val="20"/>
          <w:szCs w:val="20"/>
        </w:rPr>
        <w:t>suivi</w:t>
      </w:r>
      <w:r w:rsidR="00F43CE1" w:rsidRPr="00970766">
        <w:rPr>
          <w:rFonts w:ascii="Arial" w:hAnsi="Arial" w:cs="Arial"/>
          <w:sz w:val="20"/>
          <w:szCs w:val="20"/>
        </w:rPr>
        <w:t xml:space="preserve"> </w:t>
      </w:r>
      <w:r w:rsidR="00F43CE1" w:rsidRPr="00970766">
        <w:rPr>
          <w:rFonts w:ascii="Arial" w:hAnsi="Arial" w:cs="Arial"/>
          <w:sz w:val="20"/>
        </w:rPr>
        <w:t>des patients</w:t>
      </w:r>
      <w:r w:rsidRPr="00970766">
        <w:rPr>
          <w:rFonts w:ascii="Arial" w:hAnsi="Arial" w:cs="Arial"/>
          <w:spacing w:val="-1"/>
          <w:sz w:val="20"/>
          <w:szCs w:val="20"/>
        </w:rPr>
        <w:t xml:space="preserve"> </w:t>
      </w:r>
      <w:r w:rsidRPr="00970766">
        <w:rPr>
          <w:rFonts w:ascii="Arial" w:hAnsi="Arial" w:cs="Arial"/>
          <w:sz w:val="20"/>
          <w:szCs w:val="20"/>
        </w:rPr>
        <w:t>comporte</w:t>
      </w:r>
      <w:r w:rsidRPr="00970766">
        <w:rPr>
          <w:rFonts w:ascii="Arial" w:hAnsi="Arial" w:cs="Arial"/>
          <w:spacing w:val="-2"/>
          <w:sz w:val="20"/>
          <w:szCs w:val="20"/>
        </w:rPr>
        <w:t xml:space="preserve"> </w:t>
      </w:r>
      <w:r w:rsidRPr="00970766">
        <w:rPr>
          <w:rFonts w:ascii="Arial" w:hAnsi="Arial" w:cs="Arial"/>
          <w:sz w:val="20"/>
          <w:szCs w:val="20"/>
        </w:rPr>
        <w:t>les</w:t>
      </w:r>
      <w:r w:rsidRPr="00970766">
        <w:rPr>
          <w:rFonts w:ascii="Arial" w:hAnsi="Arial" w:cs="Arial"/>
          <w:spacing w:val="-1"/>
          <w:sz w:val="20"/>
          <w:szCs w:val="20"/>
        </w:rPr>
        <w:t xml:space="preserve"> </w:t>
      </w:r>
      <w:r w:rsidRPr="00970766">
        <w:rPr>
          <w:rFonts w:ascii="Arial" w:hAnsi="Arial" w:cs="Arial"/>
          <w:sz w:val="20"/>
          <w:szCs w:val="20"/>
        </w:rPr>
        <w:t>documents</w:t>
      </w:r>
      <w:r w:rsidRPr="00970766">
        <w:rPr>
          <w:rFonts w:ascii="Arial" w:hAnsi="Arial" w:cs="Arial"/>
          <w:spacing w:val="-1"/>
          <w:sz w:val="20"/>
          <w:szCs w:val="20"/>
        </w:rPr>
        <w:t xml:space="preserve"> </w:t>
      </w:r>
      <w:r w:rsidRPr="00970766">
        <w:rPr>
          <w:rFonts w:ascii="Arial" w:hAnsi="Arial" w:cs="Arial"/>
          <w:sz w:val="20"/>
          <w:szCs w:val="20"/>
        </w:rPr>
        <w:t>suivants</w:t>
      </w:r>
      <w:r w:rsidRPr="00970766">
        <w:rPr>
          <w:rFonts w:ascii="Arial" w:hAnsi="Arial" w:cs="Arial"/>
          <w:spacing w:val="-1"/>
          <w:sz w:val="20"/>
          <w:szCs w:val="20"/>
        </w:rPr>
        <w:t xml:space="preserve"> </w:t>
      </w:r>
      <w:r w:rsidRPr="00970766">
        <w:rPr>
          <w:rFonts w:ascii="Arial" w:hAnsi="Arial" w:cs="Arial"/>
          <w:sz w:val="20"/>
          <w:szCs w:val="20"/>
        </w:rPr>
        <w:t>:</w:t>
      </w:r>
    </w:p>
    <w:p w14:paraId="5B8E854A" w14:textId="6A9407A1" w:rsidR="0056441E" w:rsidRPr="00970766" w:rsidRDefault="0056441E" w:rsidP="003A3FC4">
      <w:pPr>
        <w:pStyle w:val="Corpsdetexte"/>
        <w:spacing w:before="90" w:after="160" w:line="259" w:lineRule="auto"/>
        <w:jc w:val="both"/>
        <w:rPr>
          <w:rFonts w:ascii="Arial" w:hAnsi="Arial" w:cs="Arial"/>
          <w:sz w:val="20"/>
          <w:szCs w:val="20"/>
        </w:rPr>
      </w:pPr>
      <w:r w:rsidRPr="00970766">
        <w:rPr>
          <w:rFonts w:ascii="Arial" w:hAnsi="Arial" w:cs="Arial"/>
          <w:sz w:val="20"/>
          <w:szCs w:val="20"/>
        </w:rPr>
        <w:t xml:space="preserve">- </w:t>
      </w:r>
      <w:r w:rsidR="00E06319" w:rsidRPr="00970766">
        <w:rPr>
          <w:rFonts w:ascii="Arial" w:hAnsi="Arial" w:cs="Arial"/>
          <w:color w:val="000000"/>
          <w:sz w:val="20"/>
          <w:lang w:eastAsia="fr-FR"/>
        </w:rPr>
        <w:t xml:space="preserve">Des fiches de suivi </w:t>
      </w:r>
      <w:r w:rsidR="00AC62F7" w:rsidRPr="00970766">
        <w:rPr>
          <w:rFonts w:ascii="Arial" w:hAnsi="Arial" w:cs="Arial"/>
          <w:sz w:val="20"/>
          <w:szCs w:val="20"/>
        </w:rPr>
        <w:t>(d’initiation, de suivi et d’arrêt de traitement)</w:t>
      </w:r>
      <w:r w:rsidR="00AC62F7" w:rsidRPr="00970766">
        <w:rPr>
          <w:rFonts w:ascii="Arial" w:hAnsi="Arial" w:cs="Arial"/>
          <w:color w:val="000000"/>
          <w:sz w:val="20"/>
          <w:lang w:eastAsia="fr-FR"/>
        </w:rPr>
        <w:t xml:space="preserve"> </w:t>
      </w:r>
      <w:r w:rsidR="00E06319" w:rsidRPr="00970766">
        <w:rPr>
          <w:rFonts w:ascii="Arial" w:hAnsi="Arial" w:cs="Arial"/>
          <w:color w:val="000000"/>
          <w:sz w:val="20"/>
          <w:lang w:eastAsia="fr-FR"/>
        </w:rPr>
        <w:t>permettant le recueil des données des patients traités</w:t>
      </w:r>
      <w:r w:rsidR="00E06319" w:rsidRPr="00970766">
        <w:rPr>
          <w:rFonts w:ascii="Arial" w:hAnsi="Arial" w:cs="Arial"/>
          <w:sz w:val="20"/>
          <w:szCs w:val="20"/>
        </w:rPr>
        <w:t xml:space="preserve"> dans le CPC)</w:t>
      </w:r>
      <w:r w:rsidRPr="00970766">
        <w:rPr>
          <w:rFonts w:ascii="Arial" w:hAnsi="Arial" w:cs="Arial"/>
          <w:sz w:val="20"/>
          <w:szCs w:val="20"/>
        </w:rPr>
        <w:t xml:space="preserve"> (cf. </w:t>
      </w:r>
      <w:r w:rsidR="00785084">
        <w:rPr>
          <w:rFonts w:ascii="Arial" w:hAnsi="Arial" w:cs="Arial"/>
          <w:sz w:val="20"/>
          <w:szCs w:val="20"/>
        </w:rPr>
        <w:t>A</w:t>
      </w:r>
      <w:r w:rsidRPr="00970766">
        <w:rPr>
          <w:rFonts w:ascii="Arial" w:hAnsi="Arial" w:cs="Arial"/>
          <w:sz w:val="20"/>
          <w:szCs w:val="20"/>
        </w:rPr>
        <w:t>nnexe</w:t>
      </w:r>
      <w:r w:rsidR="00DC4530">
        <w:rPr>
          <w:rFonts w:ascii="Arial" w:hAnsi="Arial" w:cs="Arial"/>
          <w:sz w:val="20"/>
          <w:szCs w:val="20"/>
        </w:rPr>
        <w:t>s</w:t>
      </w:r>
      <w:r w:rsidRPr="00970766">
        <w:rPr>
          <w:rFonts w:ascii="Arial" w:hAnsi="Arial" w:cs="Arial"/>
          <w:spacing w:val="1"/>
          <w:sz w:val="20"/>
          <w:szCs w:val="20"/>
        </w:rPr>
        <w:t xml:space="preserve"> </w:t>
      </w:r>
      <w:r w:rsidR="00E4007F" w:rsidRPr="00970766">
        <w:rPr>
          <w:rFonts w:ascii="Arial" w:hAnsi="Arial" w:cs="Arial"/>
          <w:sz w:val="20"/>
          <w:szCs w:val="20"/>
        </w:rPr>
        <w:t>1</w:t>
      </w:r>
      <w:r w:rsidRPr="00970766">
        <w:rPr>
          <w:rFonts w:ascii="Arial" w:hAnsi="Arial" w:cs="Arial"/>
          <w:sz w:val="20"/>
          <w:szCs w:val="20"/>
        </w:rPr>
        <w:t>).</w:t>
      </w:r>
    </w:p>
    <w:p w14:paraId="059C3D9B" w14:textId="132B21DE" w:rsidR="0056441E" w:rsidRPr="00970766" w:rsidRDefault="0056441E" w:rsidP="003A3FC4">
      <w:pPr>
        <w:pStyle w:val="Corpsdetexte"/>
        <w:spacing w:after="160" w:line="259" w:lineRule="auto"/>
        <w:jc w:val="both"/>
        <w:rPr>
          <w:rFonts w:ascii="Arial" w:hAnsi="Arial" w:cs="Arial"/>
          <w:sz w:val="20"/>
          <w:szCs w:val="20"/>
        </w:rPr>
      </w:pPr>
      <w:r w:rsidRPr="00970766">
        <w:rPr>
          <w:rFonts w:ascii="Arial" w:hAnsi="Arial" w:cs="Arial"/>
          <w:sz w:val="20"/>
          <w:szCs w:val="20"/>
        </w:rPr>
        <w:t xml:space="preserve">- Un argumentaire sur les données relatives à l’efficacité et à la sécurité de </w:t>
      </w:r>
      <w:r w:rsidR="00FD4073" w:rsidRPr="00FD4073">
        <w:rPr>
          <w:rFonts w:ascii="Arial" w:hAnsi="Arial" w:cs="Arial"/>
          <w:sz w:val="20"/>
          <w:szCs w:val="20"/>
        </w:rPr>
        <w:t xml:space="preserve">BOTOX </w:t>
      </w:r>
      <w:r w:rsidRPr="00970766">
        <w:rPr>
          <w:rFonts w:ascii="Arial" w:hAnsi="Arial" w:cs="Arial"/>
          <w:sz w:val="20"/>
          <w:szCs w:val="20"/>
        </w:rPr>
        <w:t xml:space="preserve"> dans</w:t>
      </w:r>
      <w:r w:rsidRPr="00970766">
        <w:rPr>
          <w:rFonts w:ascii="Arial" w:hAnsi="Arial" w:cs="Arial"/>
          <w:spacing w:val="1"/>
          <w:sz w:val="20"/>
          <w:szCs w:val="20"/>
        </w:rPr>
        <w:t xml:space="preserve"> </w:t>
      </w:r>
      <w:r w:rsidRPr="00970766">
        <w:rPr>
          <w:rFonts w:ascii="Arial" w:hAnsi="Arial" w:cs="Arial"/>
          <w:sz w:val="20"/>
          <w:szCs w:val="20"/>
        </w:rPr>
        <w:t>le</w:t>
      </w:r>
      <w:r w:rsidRPr="00970766">
        <w:rPr>
          <w:rFonts w:ascii="Arial" w:hAnsi="Arial" w:cs="Arial"/>
          <w:spacing w:val="-2"/>
          <w:sz w:val="20"/>
          <w:szCs w:val="20"/>
        </w:rPr>
        <w:t xml:space="preserve"> </w:t>
      </w:r>
      <w:r w:rsidRPr="00970766">
        <w:rPr>
          <w:rFonts w:ascii="Arial" w:hAnsi="Arial" w:cs="Arial"/>
          <w:sz w:val="20"/>
          <w:szCs w:val="20"/>
        </w:rPr>
        <w:t xml:space="preserve">CPC (cf. </w:t>
      </w:r>
      <w:r w:rsidR="00785084">
        <w:rPr>
          <w:rFonts w:ascii="Arial" w:hAnsi="Arial" w:cs="Arial"/>
          <w:sz w:val="20"/>
          <w:szCs w:val="20"/>
        </w:rPr>
        <w:t>A</w:t>
      </w:r>
      <w:r w:rsidRPr="00970766">
        <w:rPr>
          <w:rFonts w:ascii="Arial" w:hAnsi="Arial" w:cs="Arial"/>
          <w:sz w:val="20"/>
          <w:szCs w:val="20"/>
        </w:rPr>
        <w:t>nnexe</w:t>
      </w:r>
      <w:r w:rsidRPr="00970766">
        <w:rPr>
          <w:rFonts w:ascii="Arial" w:hAnsi="Arial" w:cs="Arial"/>
          <w:spacing w:val="1"/>
          <w:sz w:val="20"/>
          <w:szCs w:val="20"/>
        </w:rPr>
        <w:t xml:space="preserve"> </w:t>
      </w:r>
      <w:r w:rsidR="00E4007F" w:rsidRPr="00970766">
        <w:rPr>
          <w:rFonts w:ascii="Arial" w:hAnsi="Arial" w:cs="Arial"/>
          <w:sz w:val="20"/>
          <w:szCs w:val="20"/>
        </w:rPr>
        <w:t>2</w:t>
      </w:r>
      <w:r w:rsidRPr="00970766">
        <w:rPr>
          <w:rFonts w:ascii="Arial" w:hAnsi="Arial" w:cs="Arial"/>
          <w:sz w:val="20"/>
          <w:szCs w:val="20"/>
        </w:rPr>
        <w:t>).</w:t>
      </w:r>
    </w:p>
    <w:p w14:paraId="55F40EFE" w14:textId="6DB9F572" w:rsidR="0056441E" w:rsidRPr="00970766" w:rsidRDefault="0056441E" w:rsidP="003A3FC4">
      <w:pPr>
        <w:pStyle w:val="Corpsdetexte"/>
        <w:spacing w:after="160" w:line="259" w:lineRule="auto"/>
        <w:jc w:val="both"/>
        <w:rPr>
          <w:rFonts w:ascii="Arial" w:hAnsi="Arial" w:cs="Arial"/>
          <w:sz w:val="20"/>
          <w:szCs w:val="20"/>
        </w:rPr>
      </w:pPr>
      <w:r w:rsidRPr="00970766">
        <w:rPr>
          <w:rFonts w:ascii="Arial" w:hAnsi="Arial" w:cs="Arial"/>
          <w:sz w:val="20"/>
          <w:szCs w:val="20"/>
        </w:rPr>
        <w:t>- Une</w:t>
      </w:r>
      <w:r w:rsidRPr="00970766">
        <w:rPr>
          <w:rFonts w:ascii="Arial" w:hAnsi="Arial" w:cs="Arial"/>
          <w:spacing w:val="1"/>
          <w:sz w:val="20"/>
          <w:szCs w:val="20"/>
        </w:rPr>
        <w:t xml:space="preserve"> </w:t>
      </w:r>
      <w:r w:rsidRPr="00970766">
        <w:rPr>
          <w:rFonts w:ascii="Arial" w:hAnsi="Arial" w:cs="Arial"/>
          <w:sz w:val="20"/>
          <w:szCs w:val="20"/>
        </w:rPr>
        <w:t>note</w:t>
      </w:r>
      <w:r w:rsidRPr="00970766">
        <w:rPr>
          <w:rFonts w:ascii="Arial" w:hAnsi="Arial" w:cs="Arial"/>
          <w:spacing w:val="1"/>
          <w:sz w:val="20"/>
          <w:szCs w:val="20"/>
        </w:rPr>
        <w:t xml:space="preserve"> </w:t>
      </w:r>
      <w:r w:rsidRPr="00970766">
        <w:rPr>
          <w:rFonts w:ascii="Arial" w:hAnsi="Arial" w:cs="Arial"/>
          <w:sz w:val="20"/>
          <w:szCs w:val="20"/>
        </w:rPr>
        <w:t>d’information</w:t>
      </w:r>
      <w:r w:rsidRPr="00970766">
        <w:rPr>
          <w:rFonts w:ascii="Arial" w:hAnsi="Arial" w:cs="Arial"/>
          <w:spacing w:val="1"/>
          <w:sz w:val="20"/>
          <w:szCs w:val="20"/>
        </w:rPr>
        <w:t xml:space="preserve"> </w:t>
      </w:r>
      <w:r w:rsidRPr="00970766">
        <w:rPr>
          <w:rFonts w:ascii="Arial" w:hAnsi="Arial" w:cs="Arial"/>
          <w:sz w:val="20"/>
          <w:szCs w:val="20"/>
        </w:rPr>
        <w:t>à</w:t>
      </w:r>
      <w:r w:rsidRPr="00970766">
        <w:rPr>
          <w:rFonts w:ascii="Arial" w:hAnsi="Arial" w:cs="Arial"/>
          <w:spacing w:val="1"/>
          <w:sz w:val="20"/>
          <w:szCs w:val="20"/>
        </w:rPr>
        <w:t xml:space="preserve"> </w:t>
      </w:r>
      <w:r w:rsidRPr="00970766">
        <w:rPr>
          <w:rFonts w:ascii="Arial" w:hAnsi="Arial" w:cs="Arial"/>
          <w:sz w:val="20"/>
          <w:szCs w:val="20"/>
        </w:rPr>
        <w:t>destination</w:t>
      </w:r>
      <w:r w:rsidRPr="00970766">
        <w:rPr>
          <w:rFonts w:ascii="Arial" w:hAnsi="Arial" w:cs="Arial"/>
          <w:spacing w:val="1"/>
          <w:sz w:val="20"/>
          <w:szCs w:val="20"/>
        </w:rPr>
        <w:t xml:space="preserve"> </w:t>
      </w:r>
      <w:r w:rsidRPr="00970766">
        <w:rPr>
          <w:rFonts w:ascii="Arial" w:hAnsi="Arial" w:cs="Arial"/>
          <w:sz w:val="20"/>
          <w:szCs w:val="20"/>
        </w:rPr>
        <w:t>des</w:t>
      </w:r>
      <w:r w:rsidRPr="00970766">
        <w:rPr>
          <w:rFonts w:ascii="Arial" w:hAnsi="Arial" w:cs="Arial"/>
          <w:spacing w:val="1"/>
          <w:sz w:val="20"/>
          <w:szCs w:val="20"/>
        </w:rPr>
        <w:t xml:space="preserve"> </w:t>
      </w:r>
      <w:r w:rsidRPr="00970766">
        <w:rPr>
          <w:rFonts w:ascii="Arial" w:hAnsi="Arial" w:cs="Arial"/>
          <w:sz w:val="20"/>
          <w:szCs w:val="20"/>
        </w:rPr>
        <w:t>patients</w:t>
      </w:r>
      <w:r w:rsidRPr="00970766">
        <w:rPr>
          <w:rFonts w:ascii="Arial" w:hAnsi="Arial" w:cs="Arial"/>
          <w:spacing w:val="1"/>
          <w:sz w:val="20"/>
          <w:szCs w:val="20"/>
        </w:rPr>
        <w:t xml:space="preserve"> </w:t>
      </w:r>
      <w:r w:rsidRPr="00970766">
        <w:rPr>
          <w:rFonts w:ascii="Arial" w:hAnsi="Arial" w:cs="Arial"/>
          <w:sz w:val="20"/>
          <w:szCs w:val="20"/>
        </w:rPr>
        <w:t>sur</w:t>
      </w:r>
      <w:r w:rsidRPr="00970766">
        <w:rPr>
          <w:rFonts w:ascii="Arial" w:hAnsi="Arial" w:cs="Arial"/>
          <w:spacing w:val="1"/>
          <w:sz w:val="20"/>
          <w:szCs w:val="20"/>
        </w:rPr>
        <w:t xml:space="preserve"> </w:t>
      </w:r>
      <w:r w:rsidRPr="00970766">
        <w:rPr>
          <w:rFonts w:ascii="Arial" w:hAnsi="Arial" w:cs="Arial"/>
          <w:sz w:val="20"/>
          <w:szCs w:val="20"/>
        </w:rPr>
        <w:t>les</w:t>
      </w:r>
      <w:r w:rsidRPr="00970766">
        <w:rPr>
          <w:rFonts w:ascii="Arial" w:hAnsi="Arial" w:cs="Arial"/>
          <w:spacing w:val="1"/>
          <w:sz w:val="20"/>
          <w:szCs w:val="20"/>
        </w:rPr>
        <w:t xml:space="preserve"> </w:t>
      </w:r>
      <w:r w:rsidRPr="00970766">
        <w:rPr>
          <w:rFonts w:ascii="Arial" w:hAnsi="Arial" w:cs="Arial"/>
          <w:sz w:val="20"/>
          <w:szCs w:val="20"/>
        </w:rPr>
        <w:t>conditions</w:t>
      </w:r>
      <w:r w:rsidRPr="00970766">
        <w:rPr>
          <w:rFonts w:ascii="Arial" w:hAnsi="Arial" w:cs="Arial"/>
          <w:spacing w:val="1"/>
          <w:sz w:val="20"/>
          <w:szCs w:val="20"/>
        </w:rPr>
        <w:t xml:space="preserve"> </w:t>
      </w:r>
      <w:r w:rsidRPr="00970766">
        <w:rPr>
          <w:rFonts w:ascii="Arial" w:hAnsi="Arial" w:cs="Arial"/>
          <w:sz w:val="20"/>
          <w:szCs w:val="20"/>
        </w:rPr>
        <w:t>d’utilisation</w:t>
      </w:r>
      <w:r w:rsidRPr="00970766">
        <w:rPr>
          <w:rFonts w:ascii="Arial" w:hAnsi="Arial" w:cs="Arial"/>
          <w:spacing w:val="1"/>
          <w:sz w:val="20"/>
          <w:szCs w:val="20"/>
        </w:rPr>
        <w:t xml:space="preserve"> </w:t>
      </w:r>
      <w:r w:rsidRPr="00970766">
        <w:rPr>
          <w:rFonts w:ascii="Arial" w:hAnsi="Arial" w:cs="Arial"/>
          <w:sz w:val="20"/>
          <w:szCs w:val="20"/>
        </w:rPr>
        <w:t>du</w:t>
      </w:r>
      <w:r w:rsidRPr="00970766">
        <w:rPr>
          <w:rFonts w:ascii="Arial" w:hAnsi="Arial" w:cs="Arial"/>
          <w:spacing w:val="1"/>
          <w:sz w:val="20"/>
          <w:szCs w:val="20"/>
        </w:rPr>
        <w:t xml:space="preserve"> </w:t>
      </w:r>
      <w:r w:rsidRPr="00970766">
        <w:rPr>
          <w:rFonts w:ascii="Arial" w:hAnsi="Arial" w:cs="Arial"/>
          <w:sz w:val="20"/>
          <w:szCs w:val="20"/>
        </w:rPr>
        <w:t xml:space="preserve">médicament dans le CPC (cf. </w:t>
      </w:r>
      <w:r w:rsidR="00785084">
        <w:rPr>
          <w:rFonts w:ascii="Arial" w:hAnsi="Arial" w:cs="Arial"/>
          <w:sz w:val="20"/>
          <w:szCs w:val="20"/>
        </w:rPr>
        <w:t>A</w:t>
      </w:r>
      <w:r w:rsidRPr="00970766">
        <w:rPr>
          <w:rFonts w:ascii="Arial" w:hAnsi="Arial" w:cs="Arial"/>
          <w:sz w:val="20"/>
          <w:szCs w:val="20"/>
        </w:rPr>
        <w:t xml:space="preserve">nnexe </w:t>
      </w:r>
      <w:r w:rsidR="00E60AB7" w:rsidRPr="00970766">
        <w:rPr>
          <w:rFonts w:ascii="Arial" w:hAnsi="Arial" w:cs="Arial"/>
          <w:sz w:val="20"/>
          <w:szCs w:val="20"/>
        </w:rPr>
        <w:t>3</w:t>
      </w:r>
      <w:r w:rsidRPr="00970766">
        <w:rPr>
          <w:rFonts w:ascii="Arial" w:hAnsi="Arial" w:cs="Arial"/>
          <w:sz w:val="20"/>
          <w:szCs w:val="20"/>
        </w:rPr>
        <w:t>)</w:t>
      </w:r>
      <w:r w:rsidR="00785B8B" w:rsidRPr="00970766">
        <w:rPr>
          <w:rFonts w:ascii="Arial" w:hAnsi="Arial" w:cs="Arial"/>
          <w:sz w:val="20"/>
          <w:szCs w:val="20"/>
        </w:rPr>
        <w:t xml:space="preserve">. </w:t>
      </w:r>
      <w:r w:rsidRPr="00970766">
        <w:rPr>
          <w:rFonts w:ascii="Arial" w:hAnsi="Arial" w:cs="Arial"/>
          <w:sz w:val="20"/>
          <w:szCs w:val="20"/>
        </w:rPr>
        <w:t>Le patient peut également consulter la</w:t>
      </w:r>
      <w:r w:rsidRPr="00970766">
        <w:rPr>
          <w:rFonts w:ascii="Arial" w:hAnsi="Arial" w:cs="Arial"/>
          <w:spacing w:val="1"/>
          <w:sz w:val="20"/>
          <w:szCs w:val="20"/>
        </w:rPr>
        <w:t xml:space="preserve"> </w:t>
      </w:r>
      <w:r w:rsidRPr="00970766">
        <w:rPr>
          <w:rFonts w:ascii="Arial" w:hAnsi="Arial" w:cs="Arial"/>
          <w:sz w:val="20"/>
          <w:szCs w:val="20"/>
        </w:rPr>
        <w:t>notice annexée à l’AMM, présente dans les boites et également consultable sur le site internet</w:t>
      </w:r>
      <w:r w:rsidRPr="00970766">
        <w:rPr>
          <w:rFonts w:ascii="Arial" w:hAnsi="Arial" w:cs="Arial"/>
          <w:spacing w:val="1"/>
          <w:sz w:val="20"/>
          <w:szCs w:val="20"/>
        </w:rPr>
        <w:t xml:space="preserve"> </w:t>
      </w:r>
      <w:r w:rsidRPr="00970766">
        <w:rPr>
          <w:rFonts w:ascii="Arial" w:hAnsi="Arial" w:cs="Arial"/>
          <w:sz w:val="20"/>
          <w:szCs w:val="20"/>
        </w:rPr>
        <w:t>suivant</w:t>
      </w:r>
      <w:r w:rsidRPr="00970766">
        <w:rPr>
          <w:rFonts w:ascii="Arial" w:hAnsi="Arial" w:cs="Arial"/>
          <w:spacing w:val="-1"/>
          <w:sz w:val="20"/>
          <w:szCs w:val="20"/>
        </w:rPr>
        <w:t xml:space="preserve"> </w:t>
      </w:r>
      <w:r w:rsidRPr="00970766">
        <w:rPr>
          <w:rFonts w:ascii="Arial" w:hAnsi="Arial" w:cs="Arial"/>
          <w:sz w:val="20"/>
          <w:szCs w:val="20"/>
        </w:rPr>
        <w:t xml:space="preserve">: </w:t>
      </w:r>
      <w:hyperlink r:id="rId80" w:history="1">
        <w:r w:rsidR="00A32C2B" w:rsidRPr="00970766">
          <w:rPr>
            <w:rStyle w:val="Lienhypertexte"/>
            <w:rFonts w:ascii="Arial" w:hAnsi="Arial" w:cs="Arial"/>
            <w:sz w:val="20"/>
            <w:szCs w:val="20"/>
          </w:rPr>
          <w:t>https://base-donnees-publique.medicaments.gouv.fr</w:t>
        </w:r>
        <w:r w:rsidR="00A32C2B" w:rsidRPr="00970766">
          <w:rPr>
            <w:rStyle w:val="Lienhypertexte"/>
          </w:rPr>
          <w:t>/</w:t>
        </w:r>
      </w:hyperlink>
    </w:p>
    <w:p w14:paraId="0EEFFC25" w14:textId="77777777" w:rsidR="0056441E" w:rsidRPr="00970766" w:rsidRDefault="0056441E" w:rsidP="003A3FC4">
      <w:pPr>
        <w:pStyle w:val="Corpsdetexte"/>
        <w:spacing w:after="160" w:line="259" w:lineRule="auto"/>
        <w:jc w:val="both"/>
        <w:rPr>
          <w:rFonts w:ascii="Arial" w:hAnsi="Arial" w:cs="Arial"/>
          <w:sz w:val="20"/>
          <w:szCs w:val="20"/>
        </w:rPr>
      </w:pPr>
      <w:r w:rsidRPr="00970766">
        <w:rPr>
          <w:rFonts w:ascii="Arial" w:hAnsi="Arial" w:cs="Arial"/>
          <w:sz w:val="20"/>
          <w:szCs w:val="20"/>
        </w:rPr>
        <w:t>- Une</w:t>
      </w:r>
      <w:r w:rsidR="00237A2A" w:rsidRPr="00970766">
        <w:rPr>
          <w:rFonts w:ascii="Arial" w:hAnsi="Arial" w:cs="Arial"/>
          <w:sz w:val="20"/>
          <w:szCs w:val="20"/>
        </w:rPr>
        <w:t xml:space="preserve"> </w:t>
      </w:r>
      <w:r w:rsidRPr="00970766">
        <w:rPr>
          <w:rFonts w:ascii="Arial" w:hAnsi="Arial" w:cs="Arial"/>
          <w:sz w:val="20"/>
          <w:szCs w:val="20"/>
        </w:rPr>
        <w:t xml:space="preserve">information à destination des professionnels de santé </w:t>
      </w:r>
      <w:r w:rsidR="003D12FA" w:rsidRPr="00970766">
        <w:rPr>
          <w:rFonts w:ascii="Arial" w:hAnsi="Arial" w:cs="Arial"/>
          <w:sz w:val="20"/>
          <w:szCs w:val="20"/>
        </w:rPr>
        <w:t xml:space="preserve">sur les conditions d’utilisation du médicament dans le </w:t>
      </w:r>
      <w:r w:rsidR="00E35785" w:rsidRPr="00970766">
        <w:rPr>
          <w:rFonts w:ascii="Arial" w:hAnsi="Arial" w:cs="Arial"/>
          <w:sz w:val="20"/>
          <w:szCs w:val="20"/>
        </w:rPr>
        <w:t>CPC</w:t>
      </w:r>
      <w:r w:rsidR="003D12FA" w:rsidRPr="00970766">
        <w:rPr>
          <w:rFonts w:ascii="Arial" w:hAnsi="Arial" w:cs="Arial"/>
          <w:sz w:val="20"/>
          <w:szCs w:val="20"/>
        </w:rPr>
        <w:t xml:space="preserve">. Les prescripteurs sont par ailleurs invités à consulter le Résumé des Caractéristiques du Produit (RCP) annexé à l’AMM, consultable sur le site internet suivant : </w:t>
      </w:r>
      <w:hyperlink r:id="rId81" w:history="1">
        <w:r w:rsidR="00237A2A" w:rsidRPr="00970766">
          <w:rPr>
            <w:rStyle w:val="Lienhypertexte"/>
            <w:rFonts w:ascii="Arial" w:hAnsi="Arial" w:cs="Arial"/>
            <w:sz w:val="20"/>
            <w:szCs w:val="20"/>
          </w:rPr>
          <w:t>https://base-donnees-publique.medicaments.gouv.fr</w:t>
        </w:r>
        <w:r w:rsidR="00237A2A" w:rsidRPr="00970766">
          <w:rPr>
            <w:rStyle w:val="Lienhypertexte"/>
          </w:rPr>
          <w:t>/</w:t>
        </w:r>
      </w:hyperlink>
    </w:p>
    <w:p w14:paraId="27A8D110" w14:textId="269FADE8" w:rsidR="0056441E" w:rsidRPr="00970766" w:rsidRDefault="0056441E" w:rsidP="003A3FC4">
      <w:pPr>
        <w:pStyle w:val="Corpsdetexte"/>
        <w:spacing w:after="160" w:line="259" w:lineRule="auto"/>
        <w:ind w:right="283"/>
        <w:jc w:val="both"/>
        <w:rPr>
          <w:rFonts w:ascii="Arial" w:hAnsi="Arial" w:cs="Arial"/>
          <w:sz w:val="20"/>
          <w:szCs w:val="20"/>
        </w:rPr>
      </w:pPr>
      <w:r w:rsidRPr="00970766">
        <w:rPr>
          <w:rFonts w:ascii="Arial" w:hAnsi="Arial" w:cs="Arial"/>
          <w:sz w:val="20"/>
          <w:szCs w:val="20"/>
        </w:rPr>
        <w:lastRenderedPageBreak/>
        <w:t>- Un</w:t>
      </w:r>
      <w:r w:rsidRPr="00970766">
        <w:rPr>
          <w:rFonts w:ascii="Arial" w:hAnsi="Arial" w:cs="Arial"/>
          <w:spacing w:val="-1"/>
          <w:sz w:val="20"/>
          <w:szCs w:val="20"/>
        </w:rPr>
        <w:t xml:space="preserve"> </w:t>
      </w:r>
      <w:r w:rsidRPr="00970766">
        <w:rPr>
          <w:rFonts w:ascii="Arial" w:hAnsi="Arial" w:cs="Arial"/>
          <w:sz w:val="20"/>
          <w:szCs w:val="20"/>
        </w:rPr>
        <w:t>rappel</w:t>
      </w:r>
      <w:r w:rsidRPr="00970766">
        <w:rPr>
          <w:rFonts w:ascii="Arial" w:hAnsi="Arial" w:cs="Arial"/>
          <w:spacing w:val="-1"/>
          <w:sz w:val="20"/>
          <w:szCs w:val="20"/>
        </w:rPr>
        <w:t xml:space="preserve"> </w:t>
      </w:r>
      <w:r w:rsidRPr="00970766">
        <w:rPr>
          <w:rFonts w:ascii="Arial" w:hAnsi="Arial" w:cs="Arial"/>
          <w:sz w:val="20"/>
          <w:szCs w:val="20"/>
        </w:rPr>
        <w:t>des</w:t>
      </w:r>
      <w:r w:rsidRPr="00970766">
        <w:rPr>
          <w:rFonts w:ascii="Arial" w:hAnsi="Arial" w:cs="Arial"/>
          <w:spacing w:val="-1"/>
          <w:sz w:val="20"/>
          <w:szCs w:val="20"/>
        </w:rPr>
        <w:t xml:space="preserve"> </w:t>
      </w:r>
      <w:r w:rsidRPr="00970766">
        <w:rPr>
          <w:rFonts w:ascii="Arial" w:hAnsi="Arial" w:cs="Arial"/>
          <w:sz w:val="20"/>
          <w:szCs w:val="20"/>
        </w:rPr>
        <w:t>modalités</w:t>
      </w:r>
      <w:r w:rsidRPr="00970766">
        <w:rPr>
          <w:rFonts w:ascii="Arial" w:hAnsi="Arial" w:cs="Arial"/>
          <w:spacing w:val="-1"/>
          <w:sz w:val="20"/>
          <w:szCs w:val="20"/>
        </w:rPr>
        <w:t xml:space="preserve"> </w:t>
      </w:r>
      <w:r w:rsidRPr="00970766">
        <w:rPr>
          <w:rFonts w:ascii="Arial" w:hAnsi="Arial" w:cs="Arial"/>
          <w:sz w:val="20"/>
          <w:szCs w:val="20"/>
        </w:rPr>
        <w:t>de</w:t>
      </w:r>
      <w:r w:rsidRPr="00970766">
        <w:rPr>
          <w:rFonts w:ascii="Arial" w:hAnsi="Arial" w:cs="Arial"/>
          <w:spacing w:val="-2"/>
          <w:sz w:val="20"/>
          <w:szCs w:val="20"/>
        </w:rPr>
        <w:t xml:space="preserve"> </w:t>
      </w:r>
      <w:r w:rsidRPr="00970766">
        <w:rPr>
          <w:rFonts w:ascii="Arial" w:hAnsi="Arial" w:cs="Arial"/>
          <w:sz w:val="20"/>
          <w:szCs w:val="20"/>
        </w:rPr>
        <w:t>déclaration</w:t>
      </w:r>
      <w:r w:rsidRPr="00970766">
        <w:rPr>
          <w:rFonts w:ascii="Arial" w:hAnsi="Arial" w:cs="Arial"/>
          <w:spacing w:val="-1"/>
          <w:sz w:val="20"/>
          <w:szCs w:val="20"/>
        </w:rPr>
        <w:t xml:space="preserve"> </w:t>
      </w:r>
      <w:r w:rsidRPr="00970766">
        <w:rPr>
          <w:rFonts w:ascii="Arial" w:hAnsi="Arial" w:cs="Arial"/>
          <w:sz w:val="20"/>
          <w:szCs w:val="20"/>
        </w:rPr>
        <w:t>des</w:t>
      </w:r>
      <w:r w:rsidRPr="00970766">
        <w:rPr>
          <w:rFonts w:ascii="Arial" w:hAnsi="Arial" w:cs="Arial"/>
          <w:spacing w:val="-1"/>
          <w:sz w:val="20"/>
          <w:szCs w:val="20"/>
        </w:rPr>
        <w:t xml:space="preserve"> </w:t>
      </w:r>
      <w:r w:rsidRPr="00970766">
        <w:rPr>
          <w:rFonts w:ascii="Arial" w:hAnsi="Arial" w:cs="Arial"/>
          <w:sz w:val="20"/>
          <w:szCs w:val="20"/>
        </w:rPr>
        <w:t>effets indésirables</w:t>
      </w:r>
      <w:r w:rsidRPr="00970766">
        <w:rPr>
          <w:rFonts w:ascii="Arial" w:hAnsi="Arial" w:cs="Arial"/>
          <w:spacing w:val="-1"/>
          <w:sz w:val="20"/>
          <w:szCs w:val="20"/>
        </w:rPr>
        <w:t xml:space="preserve"> </w:t>
      </w:r>
      <w:r w:rsidRPr="00970766">
        <w:rPr>
          <w:rFonts w:ascii="Arial" w:hAnsi="Arial" w:cs="Arial"/>
          <w:sz w:val="20"/>
          <w:szCs w:val="20"/>
        </w:rPr>
        <w:t>(cf.</w:t>
      </w:r>
      <w:r w:rsidRPr="00970766">
        <w:rPr>
          <w:rFonts w:ascii="Arial" w:hAnsi="Arial" w:cs="Arial"/>
          <w:spacing w:val="-1"/>
          <w:sz w:val="20"/>
          <w:szCs w:val="20"/>
        </w:rPr>
        <w:t xml:space="preserve"> </w:t>
      </w:r>
      <w:r w:rsidR="00785084">
        <w:rPr>
          <w:rFonts w:ascii="Arial" w:hAnsi="Arial" w:cs="Arial"/>
          <w:sz w:val="20"/>
          <w:szCs w:val="20"/>
        </w:rPr>
        <w:t>A</w:t>
      </w:r>
      <w:r w:rsidRPr="00970766">
        <w:rPr>
          <w:rFonts w:ascii="Arial" w:hAnsi="Arial" w:cs="Arial"/>
          <w:sz w:val="20"/>
          <w:szCs w:val="20"/>
        </w:rPr>
        <w:t>nnexe</w:t>
      </w:r>
      <w:r w:rsidRPr="00970766">
        <w:rPr>
          <w:rFonts w:ascii="Arial" w:hAnsi="Arial" w:cs="Arial"/>
          <w:spacing w:val="-2"/>
          <w:sz w:val="20"/>
          <w:szCs w:val="20"/>
        </w:rPr>
        <w:t xml:space="preserve"> </w:t>
      </w:r>
      <w:r w:rsidR="00D651FB" w:rsidRPr="00970766">
        <w:rPr>
          <w:rFonts w:ascii="Arial" w:hAnsi="Arial" w:cs="Arial"/>
          <w:sz w:val="20"/>
          <w:szCs w:val="20"/>
        </w:rPr>
        <w:t>5</w:t>
      </w:r>
      <w:r w:rsidRPr="00970766">
        <w:rPr>
          <w:rFonts w:ascii="Arial" w:hAnsi="Arial" w:cs="Arial"/>
          <w:sz w:val="20"/>
          <w:szCs w:val="20"/>
        </w:rPr>
        <w:t>).</w:t>
      </w:r>
    </w:p>
    <w:p w14:paraId="12692071" w14:textId="77777777" w:rsidR="0056441E" w:rsidRPr="00970766" w:rsidRDefault="0056441E" w:rsidP="0056441E">
      <w:pPr>
        <w:pStyle w:val="Corpsdetexte"/>
        <w:rPr>
          <w:rFonts w:ascii="Arial" w:hAnsi="Arial" w:cs="Arial"/>
          <w:sz w:val="20"/>
          <w:szCs w:val="20"/>
        </w:rPr>
      </w:pPr>
    </w:p>
    <w:p w14:paraId="660E496B" w14:textId="515D864F" w:rsidR="0056441E" w:rsidRPr="00970766" w:rsidRDefault="0056441E" w:rsidP="003A3FC4">
      <w:pPr>
        <w:pStyle w:val="Corpsdetexte"/>
        <w:spacing w:after="160" w:line="259" w:lineRule="auto"/>
        <w:jc w:val="both"/>
        <w:rPr>
          <w:rFonts w:ascii="Arial" w:hAnsi="Arial" w:cs="Arial"/>
          <w:sz w:val="20"/>
          <w:szCs w:val="20"/>
        </w:rPr>
      </w:pPr>
      <w:r w:rsidRPr="00970766">
        <w:rPr>
          <w:rFonts w:ascii="Arial" w:hAnsi="Arial" w:cs="Arial"/>
          <w:sz w:val="20"/>
          <w:szCs w:val="20"/>
        </w:rPr>
        <w:t>Le</w:t>
      </w:r>
      <w:r w:rsidRPr="00970766">
        <w:rPr>
          <w:rFonts w:ascii="Arial" w:hAnsi="Arial" w:cs="Arial"/>
          <w:spacing w:val="1"/>
          <w:sz w:val="20"/>
          <w:szCs w:val="20"/>
        </w:rPr>
        <w:t xml:space="preserve"> </w:t>
      </w:r>
      <w:r w:rsidR="00557F99" w:rsidRPr="00970766">
        <w:rPr>
          <w:rFonts w:ascii="Arial" w:hAnsi="Arial" w:cs="Arial"/>
          <w:sz w:val="20"/>
          <w:szCs w:val="20"/>
        </w:rPr>
        <w:t>PUT-SP</w:t>
      </w:r>
      <w:r w:rsidRPr="00970766">
        <w:rPr>
          <w:rFonts w:ascii="Arial" w:hAnsi="Arial" w:cs="Arial"/>
          <w:spacing w:val="1"/>
          <w:sz w:val="20"/>
          <w:szCs w:val="20"/>
        </w:rPr>
        <w:t xml:space="preserve"> </w:t>
      </w:r>
      <w:r w:rsidRPr="00970766">
        <w:rPr>
          <w:rFonts w:ascii="Arial" w:hAnsi="Arial" w:cs="Arial"/>
          <w:sz w:val="20"/>
          <w:szCs w:val="20"/>
        </w:rPr>
        <w:t>et</w:t>
      </w:r>
      <w:r w:rsidRPr="00970766">
        <w:rPr>
          <w:rFonts w:ascii="Arial" w:hAnsi="Arial" w:cs="Arial"/>
          <w:spacing w:val="1"/>
          <w:sz w:val="20"/>
          <w:szCs w:val="20"/>
        </w:rPr>
        <w:t xml:space="preserve"> </w:t>
      </w:r>
      <w:r w:rsidRPr="00970766">
        <w:rPr>
          <w:rFonts w:ascii="Arial" w:hAnsi="Arial" w:cs="Arial"/>
          <w:sz w:val="20"/>
          <w:szCs w:val="20"/>
        </w:rPr>
        <w:t>ses</w:t>
      </w:r>
      <w:r w:rsidRPr="00970766">
        <w:rPr>
          <w:rFonts w:ascii="Arial" w:hAnsi="Arial" w:cs="Arial"/>
          <w:spacing w:val="1"/>
          <w:sz w:val="20"/>
          <w:szCs w:val="20"/>
        </w:rPr>
        <w:t xml:space="preserve"> </w:t>
      </w:r>
      <w:r w:rsidR="00785084">
        <w:rPr>
          <w:rFonts w:ascii="Arial" w:hAnsi="Arial" w:cs="Arial"/>
          <w:sz w:val="20"/>
          <w:szCs w:val="20"/>
        </w:rPr>
        <w:t>A</w:t>
      </w:r>
      <w:r w:rsidRPr="00970766">
        <w:rPr>
          <w:rFonts w:ascii="Arial" w:hAnsi="Arial" w:cs="Arial"/>
          <w:sz w:val="20"/>
          <w:szCs w:val="20"/>
        </w:rPr>
        <w:t>nnexes</w:t>
      </w:r>
      <w:r w:rsidRPr="00970766">
        <w:rPr>
          <w:rFonts w:ascii="Arial" w:hAnsi="Arial" w:cs="Arial"/>
          <w:spacing w:val="1"/>
          <w:sz w:val="20"/>
          <w:szCs w:val="20"/>
        </w:rPr>
        <w:t xml:space="preserve"> </w:t>
      </w:r>
      <w:r w:rsidRPr="00970766">
        <w:rPr>
          <w:rFonts w:ascii="Arial" w:hAnsi="Arial" w:cs="Arial"/>
          <w:sz w:val="20"/>
          <w:szCs w:val="20"/>
        </w:rPr>
        <w:t>sont</w:t>
      </w:r>
      <w:r w:rsidRPr="00970766">
        <w:rPr>
          <w:rFonts w:ascii="Arial" w:hAnsi="Arial" w:cs="Arial"/>
          <w:spacing w:val="1"/>
          <w:sz w:val="20"/>
          <w:szCs w:val="20"/>
        </w:rPr>
        <w:t xml:space="preserve"> </w:t>
      </w:r>
      <w:r w:rsidRPr="00970766">
        <w:rPr>
          <w:rFonts w:ascii="Arial" w:hAnsi="Arial" w:cs="Arial"/>
          <w:sz w:val="20"/>
          <w:szCs w:val="20"/>
        </w:rPr>
        <w:t>disponibles</w:t>
      </w:r>
      <w:r w:rsidRPr="00970766">
        <w:rPr>
          <w:rFonts w:ascii="Arial" w:hAnsi="Arial" w:cs="Arial"/>
          <w:spacing w:val="1"/>
          <w:sz w:val="20"/>
          <w:szCs w:val="20"/>
        </w:rPr>
        <w:t xml:space="preserve"> </w:t>
      </w:r>
      <w:r w:rsidRPr="00970766">
        <w:rPr>
          <w:rFonts w:ascii="Arial" w:hAnsi="Arial" w:cs="Arial"/>
          <w:sz w:val="20"/>
          <w:szCs w:val="20"/>
        </w:rPr>
        <w:t>sur</w:t>
      </w:r>
      <w:r w:rsidRPr="00970766">
        <w:rPr>
          <w:rFonts w:ascii="Arial" w:hAnsi="Arial" w:cs="Arial"/>
          <w:spacing w:val="1"/>
          <w:sz w:val="20"/>
          <w:szCs w:val="20"/>
        </w:rPr>
        <w:t xml:space="preserve"> </w:t>
      </w:r>
      <w:r w:rsidRPr="00970766">
        <w:rPr>
          <w:rFonts w:ascii="Arial" w:hAnsi="Arial" w:cs="Arial"/>
          <w:sz w:val="20"/>
          <w:szCs w:val="20"/>
        </w:rPr>
        <w:t>le</w:t>
      </w:r>
      <w:r w:rsidRPr="00970766">
        <w:rPr>
          <w:rFonts w:ascii="Arial" w:hAnsi="Arial" w:cs="Arial"/>
          <w:spacing w:val="1"/>
          <w:sz w:val="20"/>
          <w:szCs w:val="20"/>
        </w:rPr>
        <w:t xml:space="preserve"> </w:t>
      </w:r>
      <w:r w:rsidRPr="00970766">
        <w:rPr>
          <w:rFonts w:ascii="Arial" w:hAnsi="Arial" w:cs="Arial"/>
          <w:sz w:val="20"/>
          <w:szCs w:val="20"/>
        </w:rPr>
        <w:t>site</w:t>
      </w:r>
      <w:r w:rsidRPr="00970766">
        <w:rPr>
          <w:rFonts w:ascii="Arial" w:hAnsi="Arial" w:cs="Arial"/>
          <w:spacing w:val="1"/>
          <w:sz w:val="20"/>
          <w:szCs w:val="20"/>
        </w:rPr>
        <w:t xml:space="preserve"> </w:t>
      </w:r>
      <w:r w:rsidRPr="00970766">
        <w:rPr>
          <w:rFonts w:ascii="Arial" w:hAnsi="Arial" w:cs="Arial"/>
          <w:sz w:val="20"/>
          <w:szCs w:val="20"/>
        </w:rPr>
        <w:t>Internet</w:t>
      </w:r>
      <w:r w:rsidRPr="00970766">
        <w:rPr>
          <w:rFonts w:ascii="Arial" w:hAnsi="Arial" w:cs="Arial"/>
          <w:spacing w:val="1"/>
          <w:sz w:val="20"/>
          <w:szCs w:val="20"/>
        </w:rPr>
        <w:t xml:space="preserve"> </w:t>
      </w:r>
      <w:r w:rsidRPr="00970766">
        <w:rPr>
          <w:rFonts w:ascii="Arial" w:hAnsi="Arial" w:cs="Arial"/>
          <w:sz w:val="20"/>
          <w:szCs w:val="20"/>
        </w:rPr>
        <w:t>de</w:t>
      </w:r>
      <w:r w:rsidRPr="00970766">
        <w:rPr>
          <w:rFonts w:ascii="Arial" w:hAnsi="Arial" w:cs="Arial"/>
          <w:spacing w:val="1"/>
          <w:sz w:val="20"/>
          <w:szCs w:val="20"/>
        </w:rPr>
        <w:t xml:space="preserve"> </w:t>
      </w:r>
      <w:r w:rsidRPr="00970766">
        <w:rPr>
          <w:rFonts w:ascii="Arial" w:hAnsi="Arial" w:cs="Arial"/>
          <w:sz w:val="20"/>
          <w:szCs w:val="20"/>
        </w:rPr>
        <w:t>l’ANSM</w:t>
      </w:r>
      <w:r w:rsidRPr="00970766">
        <w:rPr>
          <w:rFonts w:ascii="Arial" w:hAnsi="Arial" w:cs="Arial"/>
          <w:spacing w:val="1"/>
          <w:sz w:val="20"/>
          <w:szCs w:val="20"/>
        </w:rPr>
        <w:t xml:space="preserve"> </w:t>
      </w:r>
      <w:r w:rsidR="00182C7E" w:rsidRPr="00970766">
        <w:rPr>
          <w:rFonts w:ascii="Arial" w:hAnsi="Arial" w:cs="Arial"/>
          <w:sz w:val="20"/>
          <w:szCs w:val="20"/>
        </w:rPr>
        <w:t>(</w:t>
      </w:r>
      <w:hyperlink r:id="rId82" w:history="1">
        <w:r w:rsidR="00E06319" w:rsidRPr="00970766">
          <w:rPr>
            <w:rStyle w:val="Lienhypertexte"/>
            <w:rFonts w:ascii="Arial" w:hAnsi="Arial" w:cs="Arial"/>
            <w:sz w:val="20"/>
            <w:szCs w:val="20"/>
          </w:rPr>
          <w:t>documents de référence</w:t>
        </w:r>
        <w:r w:rsidR="0014170F" w:rsidRPr="00970766">
          <w:rPr>
            <w:rStyle w:val="Lienhypertexte"/>
            <w:rFonts w:ascii="Arial" w:hAnsi="Arial" w:cs="Arial"/>
            <w:sz w:val="20"/>
            <w:szCs w:val="20"/>
          </w:rPr>
          <w:t xml:space="preserve"> – accès compassionnel/accès précoce –</w:t>
        </w:r>
        <w:r w:rsidR="00182C7E" w:rsidRPr="00970766">
          <w:rPr>
            <w:rStyle w:val="Lienhypertexte"/>
            <w:rFonts w:ascii="Arial" w:hAnsi="Arial" w:cs="Arial"/>
            <w:sz w:val="20"/>
            <w:szCs w:val="20"/>
          </w:rPr>
          <w:t xml:space="preserve"> Référentiel des spécialités en accès dérogatoire -</w:t>
        </w:r>
        <w:r w:rsidR="00E06319" w:rsidRPr="00970766">
          <w:rPr>
            <w:rStyle w:val="Lienhypertexte"/>
            <w:rFonts w:ascii="Arial" w:hAnsi="Arial" w:cs="Arial"/>
            <w:sz w:val="20"/>
            <w:szCs w:val="20"/>
          </w:rPr>
          <w:t xml:space="preserve"> </w:t>
        </w:r>
        <w:r w:rsidRPr="00970766">
          <w:rPr>
            <w:rStyle w:val="Lienhypertexte"/>
            <w:rFonts w:ascii="Arial" w:hAnsi="Arial" w:cs="Arial"/>
            <w:sz w:val="20"/>
            <w:szCs w:val="20"/>
          </w:rPr>
          <w:t>CPC</w:t>
        </w:r>
        <w:r w:rsidR="0014170F" w:rsidRPr="00970766">
          <w:rPr>
            <w:rStyle w:val="Lienhypertexte"/>
            <w:rFonts w:ascii="Arial" w:hAnsi="Arial" w:cs="Arial"/>
            <w:sz w:val="20"/>
            <w:szCs w:val="20"/>
          </w:rPr>
          <w:t xml:space="preserve"> en cours</w:t>
        </w:r>
      </w:hyperlink>
      <w:r w:rsidRPr="00970766">
        <w:rPr>
          <w:rFonts w:ascii="Arial" w:hAnsi="Arial" w:cs="Arial"/>
          <w:sz w:val="20"/>
          <w:szCs w:val="20"/>
        </w:rPr>
        <w:t>). Il est également mis à la disposition des</w:t>
      </w:r>
      <w:r w:rsidRPr="00970766">
        <w:rPr>
          <w:rFonts w:ascii="Arial" w:hAnsi="Arial" w:cs="Arial"/>
          <w:spacing w:val="1"/>
          <w:sz w:val="20"/>
          <w:szCs w:val="20"/>
        </w:rPr>
        <w:t xml:space="preserve"> </w:t>
      </w:r>
      <w:r w:rsidRPr="00970766">
        <w:rPr>
          <w:rFonts w:ascii="Arial" w:hAnsi="Arial" w:cs="Arial"/>
          <w:sz w:val="20"/>
          <w:szCs w:val="20"/>
        </w:rPr>
        <w:t>professionnels</w:t>
      </w:r>
      <w:r w:rsidRPr="00970766">
        <w:rPr>
          <w:rFonts w:ascii="Arial" w:hAnsi="Arial" w:cs="Arial"/>
          <w:spacing w:val="-1"/>
          <w:sz w:val="20"/>
          <w:szCs w:val="20"/>
        </w:rPr>
        <w:t xml:space="preserve"> </w:t>
      </w:r>
      <w:r w:rsidRPr="00970766">
        <w:rPr>
          <w:rFonts w:ascii="Arial" w:hAnsi="Arial" w:cs="Arial"/>
          <w:sz w:val="20"/>
          <w:szCs w:val="20"/>
        </w:rPr>
        <w:t>de</w:t>
      </w:r>
      <w:r w:rsidRPr="00970766">
        <w:rPr>
          <w:rFonts w:ascii="Arial" w:hAnsi="Arial" w:cs="Arial"/>
          <w:spacing w:val="-1"/>
          <w:sz w:val="20"/>
          <w:szCs w:val="20"/>
        </w:rPr>
        <w:t xml:space="preserve"> </w:t>
      </w:r>
      <w:r w:rsidRPr="00970766">
        <w:rPr>
          <w:rFonts w:ascii="Arial" w:hAnsi="Arial" w:cs="Arial"/>
          <w:sz w:val="20"/>
          <w:szCs w:val="20"/>
        </w:rPr>
        <w:t>santé</w:t>
      </w:r>
      <w:r w:rsidRPr="00970766">
        <w:rPr>
          <w:rFonts w:ascii="Arial" w:hAnsi="Arial" w:cs="Arial"/>
          <w:spacing w:val="-1"/>
          <w:sz w:val="20"/>
          <w:szCs w:val="20"/>
        </w:rPr>
        <w:t xml:space="preserve"> </w:t>
      </w:r>
      <w:r w:rsidRPr="00970766">
        <w:rPr>
          <w:rFonts w:ascii="Arial" w:hAnsi="Arial" w:cs="Arial"/>
          <w:sz w:val="20"/>
          <w:szCs w:val="20"/>
        </w:rPr>
        <w:t>concernés</w:t>
      </w:r>
      <w:r w:rsidR="004B721F" w:rsidRPr="00970766">
        <w:rPr>
          <w:rFonts w:ascii="Arial" w:hAnsi="Arial" w:cs="Arial"/>
          <w:sz w:val="20"/>
          <w:szCs w:val="20"/>
        </w:rPr>
        <w:t>,</w:t>
      </w:r>
      <w:r w:rsidRPr="00970766">
        <w:rPr>
          <w:rFonts w:ascii="Arial" w:hAnsi="Arial" w:cs="Arial"/>
          <w:sz w:val="20"/>
          <w:szCs w:val="20"/>
        </w:rPr>
        <w:t xml:space="preserve"> par</w:t>
      </w:r>
      <w:r w:rsidRPr="00970766">
        <w:rPr>
          <w:rFonts w:ascii="Arial" w:hAnsi="Arial" w:cs="Arial"/>
          <w:spacing w:val="-1"/>
          <w:sz w:val="20"/>
          <w:szCs w:val="20"/>
        </w:rPr>
        <w:t xml:space="preserve"> </w:t>
      </w:r>
      <w:r w:rsidRPr="00970766">
        <w:rPr>
          <w:rFonts w:ascii="Arial" w:hAnsi="Arial" w:cs="Arial"/>
          <w:sz w:val="20"/>
          <w:szCs w:val="20"/>
        </w:rPr>
        <w:t>le</w:t>
      </w:r>
      <w:r w:rsidRPr="00970766">
        <w:rPr>
          <w:rFonts w:ascii="Arial" w:hAnsi="Arial" w:cs="Arial"/>
          <w:spacing w:val="-1"/>
          <w:sz w:val="20"/>
          <w:szCs w:val="20"/>
        </w:rPr>
        <w:t xml:space="preserve"> </w:t>
      </w:r>
      <w:r w:rsidRPr="00970766">
        <w:rPr>
          <w:rFonts w:ascii="Arial" w:hAnsi="Arial" w:cs="Arial"/>
          <w:sz w:val="20"/>
          <w:szCs w:val="20"/>
        </w:rPr>
        <w:t>laboratoire.</w:t>
      </w:r>
    </w:p>
    <w:p w14:paraId="4D237AD1" w14:textId="77777777" w:rsidR="0056441E" w:rsidRPr="00970766" w:rsidRDefault="0056441E" w:rsidP="0056441E">
      <w:pPr>
        <w:pStyle w:val="Corpsdetexte"/>
        <w:spacing w:before="5"/>
        <w:rPr>
          <w:rFonts w:ascii="Arial" w:hAnsi="Arial" w:cs="Arial"/>
          <w:sz w:val="20"/>
          <w:szCs w:val="20"/>
        </w:rPr>
      </w:pPr>
    </w:p>
    <w:p w14:paraId="652B81CF" w14:textId="77777777" w:rsidR="00C40F11" w:rsidRPr="00970766" w:rsidRDefault="00C40F11" w:rsidP="00F07E4F">
      <w:pPr>
        <w:rPr>
          <w:rFonts w:ascii="Arial" w:hAnsi="Arial" w:cs="Arial"/>
          <w:b/>
          <w:color w:val="2E74B5" w:themeColor="accent1" w:themeShade="BF"/>
          <w:sz w:val="20"/>
        </w:rPr>
      </w:pPr>
      <w:r w:rsidRPr="00970766">
        <w:rPr>
          <w:rFonts w:ascii="Arial" w:hAnsi="Arial" w:cs="Arial"/>
          <w:b/>
          <w:color w:val="2E74B5" w:themeColor="accent1" w:themeShade="BF"/>
          <w:sz w:val="20"/>
        </w:rPr>
        <w:t xml:space="preserve">Rôle du laboratoire </w:t>
      </w:r>
    </w:p>
    <w:p w14:paraId="511FD2E4" w14:textId="77777777" w:rsidR="00FF5683" w:rsidRPr="00970766" w:rsidRDefault="008F0B2C" w:rsidP="008F0B2C">
      <w:pPr>
        <w:pStyle w:val="Corpsdetexte"/>
        <w:spacing w:before="5"/>
        <w:jc w:val="both"/>
        <w:rPr>
          <w:rFonts w:ascii="Arial" w:hAnsi="Arial" w:cs="Arial"/>
          <w:sz w:val="20"/>
          <w:szCs w:val="20"/>
        </w:rPr>
      </w:pPr>
      <w:r w:rsidRPr="00970766">
        <w:rPr>
          <w:rFonts w:ascii="Arial" w:hAnsi="Arial" w:cs="Arial"/>
          <w:sz w:val="20"/>
          <w:szCs w:val="20"/>
        </w:rPr>
        <w:t>Le titulaire de l’AMM du médicament ou l’entreprise en charge de son exploitation</w:t>
      </w:r>
      <w:r w:rsidR="001E3A80" w:rsidRPr="00970766">
        <w:rPr>
          <w:rFonts w:ascii="Arial" w:hAnsi="Arial" w:cs="Arial"/>
          <w:sz w:val="20"/>
          <w:szCs w:val="20"/>
        </w:rPr>
        <w:t xml:space="preserve"> </w:t>
      </w:r>
      <w:r w:rsidR="00FF5683" w:rsidRPr="00970766">
        <w:rPr>
          <w:rFonts w:ascii="Arial" w:hAnsi="Arial" w:cs="Arial"/>
          <w:sz w:val="20"/>
          <w:szCs w:val="20"/>
        </w:rPr>
        <w:t>:</w:t>
      </w:r>
    </w:p>
    <w:p w14:paraId="4CEA55DC" w14:textId="77777777" w:rsidR="008F0B2C" w:rsidRPr="00970766" w:rsidRDefault="008F0B2C" w:rsidP="00B07A19">
      <w:pPr>
        <w:pStyle w:val="Corpsdetexte"/>
        <w:numPr>
          <w:ilvl w:val="2"/>
          <w:numId w:val="10"/>
        </w:numPr>
        <w:spacing w:before="5"/>
        <w:ind w:left="567"/>
        <w:jc w:val="both"/>
        <w:rPr>
          <w:rFonts w:ascii="Arial" w:hAnsi="Arial" w:cs="Arial"/>
          <w:sz w:val="20"/>
          <w:szCs w:val="20"/>
        </w:rPr>
      </w:pPr>
      <w:r w:rsidRPr="00970766">
        <w:rPr>
          <w:rFonts w:ascii="Arial" w:hAnsi="Arial" w:cs="Arial"/>
          <w:sz w:val="20"/>
          <w:szCs w:val="20"/>
        </w:rPr>
        <w:t>prend en charge le coût du suivi du médicament et organise la collecte de données</w:t>
      </w:r>
      <w:r w:rsidR="0081580F" w:rsidRPr="00970766">
        <w:rPr>
          <w:rFonts w:ascii="Arial" w:hAnsi="Arial" w:cs="Arial"/>
          <w:sz w:val="20"/>
          <w:szCs w:val="20"/>
        </w:rPr>
        <w:t>, le cas échéant</w:t>
      </w:r>
      <w:r w:rsidRPr="00970766">
        <w:rPr>
          <w:rFonts w:ascii="Arial" w:hAnsi="Arial" w:cs="Arial"/>
          <w:sz w:val="20"/>
          <w:szCs w:val="20"/>
        </w:rPr>
        <w:t>.</w:t>
      </w:r>
    </w:p>
    <w:p w14:paraId="54ECBB60" w14:textId="77777777" w:rsidR="003A6110" w:rsidRPr="00970766" w:rsidRDefault="00785B8B" w:rsidP="003A6110">
      <w:pPr>
        <w:pStyle w:val="Corpsdetexte"/>
        <w:numPr>
          <w:ilvl w:val="2"/>
          <w:numId w:val="10"/>
        </w:numPr>
        <w:spacing w:before="5"/>
        <w:ind w:left="567"/>
        <w:jc w:val="both"/>
        <w:rPr>
          <w:rFonts w:ascii="Arial" w:hAnsi="Arial" w:cs="Arial"/>
          <w:sz w:val="20"/>
          <w:szCs w:val="20"/>
        </w:rPr>
      </w:pPr>
      <w:r w:rsidRPr="00970766">
        <w:rPr>
          <w:rFonts w:ascii="Arial" w:hAnsi="Arial" w:cs="Arial"/>
          <w:sz w:val="20"/>
          <w:szCs w:val="20"/>
        </w:rPr>
        <w:t xml:space="preserve">collecte </w:t>
      </w:r>
      <w:r w:rsidR="00FF5683" w:rsidRPr="00970766">
        <w:rPr>
          <w:rFonts w:ascii="Arial" w:hAnsi="Arial" w:cs="Arial"/>
          <w:sz w:val="20"/>
          <w:szCs w:val="20"/>
        </w:rPr>
        <w:t>les fiches, d’initiation</w:t>
      </w:r>
      <w:r w:rsidR="007A10C0" w:rsidRPr="00970766">
        <w:rPr>
          <w:rFonts w:ascii="Arial" w:hAnsi="Arial" w:cs="Arial"/>
          <w:sz w:val="20"/>
          <w:szCs w:val="20"/>
        </w:rPr>
        <w:t>,</w:t>
      </w:r>
      <w:r w:rsidR="00FF5683" w:rsidRPr="00970766">
        <w:rPr>
          <w:rFonts w:ascii="Arial" w:hAnsi="Arial" w:cs="Arial"/>
          <w:sz w:val="20"/>
          <w:szCs w:val="20"/>
        </w:rPr>
        <w:t xml:space="preserve"> de suivi,</w:t>
      </w:r>
      <w:r w:rsidR="007A10C0" w:rsidRPr="00970766">
        <w:rPr>
          <w:rFonts w:ascii="Arial" w:hAnsi="Arial" w:cs="Arial"/>
          <w:sz w:val="20"/>
          <w:szCs w:val="20"/>
        </w:rPr>
        <w:t xml:space="preserve"> de fin de traitement </w:t>
      </w:r>
    </w:p>
    <w:p w14:paraId="18DD45A4" w14:textId="77777777" w:rsidR="00FF5683" w:rsidRPr="00970766" w:rsidRDefault="00FF5683" w:rsidP="00EE2F3A">
      <w:pPr>
        <w:pStyle w:val="Corpsdetexte"/>
        <w:numPr>
          <w:ilvl w:val="2"/>
          <w:numId w:val="10"/>
        </w:numPr>
        <w:spacing w:before="5" w:after="160" w:line="259" w:lineRule="auto"/>
        <w:ind w:left="568" w:hanging="284"/>
        <w:jc w:val="both"/>
        <w:rPr>
          <w:rFonts w:ascii="Arial" w:hAnsi="Arial" w:cs="Arial"/>
          <w:sz w:val="20"/>
          <w:szCs w:val="20"/>
        </w:rPr>
      </w:pPr>
      <w:r w:rsidRPr="00970766">
        <w:rPr>
          <w:rFonts w:ascii="Arial" w:hAnsi="Arial" w:cs="Arial"/>
          <w:sz w:val="20"/>
          <w:szCs w:val="20"/>
        </w:rPr>
        <w:t>est responsable de traitement au sens du règlement général sur la protection des données (RGPD) ;</w:t>
      </w:r>
    </w:p>
    <w:p w14:paraId="7BC57067" w14:textId="77777777" w:rsidR="00331D5A" w:rsidRPr="00970766" w:rsidRDefault="00FF5683" w:rsidP="003778CA">
      <w:pPr>
        <w:pStyle w:val="Corpsdetexte"/>
        <w:numPr>
          <w:ilvl w:val="2"/>
          <w:numId w:val="10"/>
        </w:numPr>
        <w:spacing w:before="5"/>
        <w:ind w:left="567"/>
        <w:jc w:val="both"/>
        <w:rPr>
          <w:rFonts w:ascii="Arial" w:hAnsi="Arial" w:cs="Arial"/>
          <w:sz w:val="20"/>
          <w:szCs w:val="20"/>
        </w:rPr>
      </w:pPr>
      <w:r w:rsidRPr="00970766">
        <w:rPr>
          <w:rFonts w:ascii="Arial" w:hAnsi="Arial" w:cs="Arial"/>
          <w:sz w:val="20"/>
          <w:szCs w:val="20"/>
        </w:rPr>
        <w:t>collecte et analyse toutes les informations recueillies dans le cadre du PUT-</w:t>
      </w:r>
      <w:r w:rsidR="00536FC7" w:rsidRPr="00970766">
        <w:rPr>
          <w:rFonts w:ascii="Arial" w:hAnsi="Arial" w:cs="Arial"/>
          <w:sz w:val="20"/>
          <w:szCs w:val="20"/>
        </w:rPr>
        <w:t>SP</w:t>
      </w:r>
      <w:r w:rsidRPr="00970766">
        <w:rPr>
          <w:rFonts w:ascii="Arial" w:hAnsi="Arial" w:cs="Arial"/>
          <w:sz w:val="20"/>
          <w:szCs w:val="20"/>
        </w:rPr>
        <w:t xml:space="preserve">. </w:t>
      </w:r>
    </w:p>
    <w:p w14:paraId="607618BA" w14:textId="77777777" w:rsidR="003778CA" w:rsidRPr="00970766" w:rsidRDefault="003778CA" w:rsidP="003778CA">
      <w:pPr>
        <w:pStyle w:val="Corpsdetexte"/>
        <w:ind w:firstLine="586"/>
        <w:jc w:val="both"/>
        <w:rPr>
          <w:rFonts w:ascii="Arial" w:hAnsi="Arial" w:cs="Arial"/>
          <w:sz w:val="20"/>
          <w:szCs w:val="20"/>
        </w:rPr>
      </w:pPr>
      <w:r w:rsidRPr="00970766">
        <w:rPr>
          <w:rFonts w:ascii="Arial" w:hAnsi="Arial" w:cs="Arial"/>
          <w:sz w:val="20"/>
          <w:szCs w:val="20"/>
        </w:rPr>
        <w:t>Les</w:t>
      </w:r>
      <w:r w:rsidRPr="00970766">
        <w:rPr>
          <w:rFonts w:ascii="Arial" w:hAnsi="Arial" w:cs="Arial"/>
          <w:spacing w:val="-2"/>
          <w:sz w:val="20"/>
          <w:szCs w:val="20"/>
        </w:rPr>
        <w:t xml:space="preserve"> </w:t>
      </w:r>
      <w:r w:rsidRPr="00970766">
        <w:rPr>
          <w:rFonts w:ascii="Arial" w:hAnsi="Arial" w:cs="Arial"/>
          <w:sz w:val="20"/>
          <w:szCs w:val="20"/>
        </w:rPr>
        <w:t>données</w:t>
      </w:r>
      <w:r w:rsidRPr="00970766">
        <w:rPr>
          <w:rFonts w:ascii="Arial" w:hAnsi="Arial" w:cs="Arial"/>
          <w:spacing w:val="-1"/>
          <w:sz w:val="20"/>
          <w:szCs w:val="20"/>
        </w:rPr>
        <w:t xml:space="preserve"> </w:t>
      </w:r>
      <w:r w:rsidRPr="00970766">
        <w:rPr>
          <w:rFonts w:ascii="Arial" w:hAnsi="Arial" w:cs="Arial"/>
          <w:sz w:val="20"/>
          <w:szCs w:val="20"/>
        </w:rPr>
        <w:t>collectées</w:t>
      </w:r>
      <w:r w:rsidRPr="00970766">
        <w:rPr>
          <w:rFonts w:ascii="Arial" w:hAnsi="Arial" w:cs="Arial"/>
          <w:spacing w:val="-2"/>
          <w:sz w:val="20"/>
          <w:szCs w:val="20"/>
        </w:rPr>
        <w:t xml:space="preserve"> </w:t>
      </w:r>
      <w:r w:rsidRPr="00970766">
        <w:rPr>
          <w:rFonts w:ascii="Arial" w:hAnsi="Arial" w:cs="Arial"/>
          <w:sz w:val="20"/>
          <w:szCs w:val="20"/>
        </w:rPr>
        <w:t>par</w:t>
      </w:r>
      <w:r w:rsidRPr="00970766">
        <w:rPr>
          <w:rFonts w:ascii="Arial" w:hAnsi="Arial" w:cs="Arial"/>
          <w:spacing w:val="-2"/>
          <w:sz w:val="20"/>
          <w:szCs w:val="20"/>
        </w:rPr>
        <w:t xml:space="preserve"> </w:t>
      </w:r>
      <w:r w:rsidRPr="00970766">
        <w:rPr>
          <w:rFonts w:ascii="Arial" w:hAnsi="Arial" w:cs="Arial"/>
          <w:sz w:val="20"/>
          <w:szCs w:val="20"/>
        </w:rPr>
        <w:t>le</w:t>
      </w:r>
      <w:r w:rsidRPr="00970766">
        <w:rPr>
          <w:rFonts w:ascii="Arial" w:hAnsi="Arial" w:cs="Arial"/>
          <w:spacing w:val="-2"/>
          <w:sz w:val="20"/>
          <w:szCs w:val="20"/>
        </w:rPr>
        <w:t xml:space="preserve"> </w:t>
      </w:r>
      <w:r w:rsidRPr="00970766">
        <w:rPr>
          <w:rFonts w:ascii="Arial" w:hAnsi="Arial" w:cs="Arial"/>
          <w:sz w:val="20"/>
          <w:szCs w:val="20"/>
        </w:rPr>
        <w:t>laboratoire</w:t>
      </w:r>
      <w:r w:rsidRPr="00970766">
        <w:rPr>
          <w:rFonts w:ascii="Arial" w:hAnsi="Arial" w:cs="Arial"/>
          <w:spacing w:val="-2"/>
          <w:sz w:val="20"/>
          <w:szCs w:val="20"/>
        </w:rPr>
        <w:t xml:space="preserve"> </w:t>
      </w:r>
      <w:r w:rsidRPr="00970766">
        <w:rPr>
          <w:rFonts w:ascii="Arial" w:hAnsi="Arial" w:cs="Arial"/>
          <w:sz w:val="20"/>
          <w:szCs w:val="20"/>
        </w:rPr>
        <w:t>concernent</w:t>
      </w:r>
      <w:r w:rsidRPr="00970766">
        <w:rPr>
          <w:rFonts w:ascii="Arial" w:hAnsi="Arial" w:cs="Arial"/>
          <w:spacing w:val="-2"/>
          <w:sz w:val="20"/>
          <w:szCs w:val="20"/>
        </w:rPr>
        <w:t xml:space="preserve"> </w:t>
      </w:r>
      <w:r w:rsidRPr="00970766">
        <w:rPr>
          <w:rFonts w:ascii="Arial" w:hAnsi="Arial" w:cs="Arial"/>
          <w:sz w:val="20"/>
          <w:szCs w:val="20"/>
        </w:rPr>
        <w:t>notamment</w:t>
      </w:r>
      <w:r w:rsidRPr="00970766">
        <w:rPr>
          <w:rFonts w:ascii="Arial" w:hAnsi="Arial" w:cs="Arial"/>
          <w:spacing w:val="-1"/>
          <w:sz w:val="20"/>
          <w:szCs w:val="20"/>
        </w:rPr>
        <w:t xml:space="preserve"> </w:t>
      </w:r>
      <w:r w:rsidRPr="00970766">
        <w:rPr>
          <w:rFonts w:ascii="Arial" w:hAnsi="Arial" w:cs="Arial"/>
          <w:sz w:val="20"/>
          <w:szCs w:val="20"/>
        </w:rPr>
        <w:t>:</w:t>
      </w:r>
    </w:p>
    <w:p w14:paraId="2D9F7468" w14:textId="77777777" w:rsidR="003778CA" w:rsidRPr="00970766" w:rsidRDefault="003778CA" w:rsidP="003778CA">
      <w:pPr>
        <w:pStyle w:val="Paragraphedeliste"/>
        <w:widowControl w:val="0"/>
        <w:numPr>
          <w:ilvl w:val="1"/>
          <w:numId w:val="14"/>
        </w:numPr>
        <w:autoSpaceDE w:val="0"/>
        <w:autoSpaceDN w:val="0"/>
        <w:spacing w:after="0" w:line="292" w:lineRule="exact"/>
        <w:jc w:val="both"/>
        <w:rPr>
          <w:rFonts w:ascii="Arial" w:hAnsi="Arial" w:cs="Arial"/>
          <w:sz w:val="20"/>
          <w:szCs w:val="20"/>
        </w:rPr>
      </w:pPr>
      <w:r w:rsidRPr="00970766">
        <w:rPr>
          <w:rFonts w:ascii="Arial" w:hAnsi="Arial" w:cs="Arial"/>
          <w:sz w:val="20"/>
          <w:szCs w:val="20"/>
        </w:rPr>
        <w:t>les</w:t>
      </w:r>
      <w:r w:rsidRPr="00970766">
        <w:rPr>
          <w:rFonts w:ascii="Arial" w:hAnsi="Arial" w:cs="Arial"/>
          <w:spacing w:val="-3"/>
          <w:sz w:val="20"/>
          <w:szCs w:val="20"/>
        </w:rPr>
        <w:t xml:space="preserve"> </w:t>
      </w:r>
      <w:r w:rsidRPr="00970766">
        <w:rPr>
          <w:rFonts w:ascii="Arial" w:hAnsi="Arial" w:cs="Arial"/>
          <w:sz w:val="20"/>
          <w:szCs w:val="20"/>
        </w:rPr>
        <w:t>caractéristiques</w:t>
      </w:r>
      <w:r w:rsidRPr="00970766">
        <w:rPr>
          <w:rFonts w:ascii="Arial" w:hAnsi="Arial" w:cs="Arial"/>
          <w:spacing w:val="-2"/>
          <w:sz w:val="20"/>
          <w:szCs w:val="20"/>
        </w:rPr>
        <w:t xml:space="preserve"> </w:t>
      </w:r>
      <w:r w:rsidRPr="00970766">
        <w:rPr>
          <w:rFonts w:ascii="Arial" w:hAnsi="Arial" w:cs="Arial"/>
          <w:sz w:val="20"/>
          <w:szCs w:val="20"/>
        </w:rPr>
        <w:t>des</w:t>
      </w:r>
      <w:r w:rsidRPr="00970766">
        <w:rPr>
          <w:rFonts w:ascii="Arial" w:hAnsi="Arial" w:cs="Arial"/>
          <w:spacing w:val="-2"/>
          <w:sz w:val="20"/>
          <w:szCs w:val="20"/>
        </w:rPr>
        <w:t xml:space="preserve"> </w:t>
      </w:r>
      <w:r w:rsidRPr="00970766">
        <w:rPr>
          <w:rFonts w:ascii="Arial" w:hAnsi="Arial" w:cs="Arial"/>
          <w:sz w:val="20"/>
          <w:szCs w:val="20"/>
        </w:rPr>
        <w:t>patients</w:t>
      </w:r>
      <w:r w:rsidRPr="00970766">
        <w:rPr>
          <w:rFonts w:ascii="Arial" w:hAnsi="Arial" w:cs="Arial"/>
          <w:spacing w:val="-2"/>
          <w:sz w:val="20"/>
          <w:szCs w:val="20"/>
        </w:rPr>
        <w:t xml:space="preserve"> </w:t>
      </w:r>
      <w:r w:rsidRPr="00970766">
        <w:rPr>
          <w:rFonts w:ascii="Arial" w:hAnsi="Arial" w:cs="Arial"/>
          <w:sz w:val="20"/>
          <w:szCs w:val="20"/>
        </w:rPr>
        <w:t>traités</w:t>
      </w:r>
      <w:r w:rsidRPr="00970766">
        <w:rPr>
          <w:rFonts w:ascii="Arial" w:hAnsi="Arial" w:cs="Arial"/>
          <w:spacing w:val="-2"/>
          <w:sz w:val="20"/>
          <w:szCs w:val="20"/>
        </w:rPr>
        <w:t xml:space="preserve"> </w:t>
      </w:r>
      <w:r w:rsidRPr="00970766">
        <w:rPr>
          <w:rFonts w:ascii="Arial" w:hAnsi="Arial" w:cs="Arial"/>
          <w:sz w:val="20"/>
          <w:szCs w:val="20"/>
        </w:rPr>
        <w:t>;</w:t>
      </w:r>
    </w:p>
    <w:p w14:paraId="594195A4" w14:textId="77777777" w:rsidR="003778CA" w:rsidRPr="00970766" w:rsidRDefault="003778CA" w:rsidP="003778CA">
      <w:pPr>
        <w:pStyle w:val="Paragraphedeliste"/>
        <w:widowControl w:val="0"/>
        <w:numPr>
          <w:ilvl w:val="1"/>
          <w:numId w:val="14"/>
        </w:numPr>
        <w:tabs>
          <w:tab w:val="left" w:pos="709"/>
        </w:tabs>
        <w:autoSpaceDE w:val="0"/>
        <w:autoSpaceDN w:val="0"/>
        <w:spacing w:after="0" w:line="288" w:lineRule="exact"/>
        <w:jc w:val="both"/>
        <w:rPr>
          <w:rFonts w:ascii="Arial" w:hAnsi="Arial" w:cs="Arial"/>
          <w:sz w:val="20"/>
          <w:szCs w:val="20"/>
        </w:rPr>
      </w:pPr>
      <w:r w:rsidRPr="00970766">
        <w:rPr>
          <w:rFonts w:ascii="Arial" w:hAnsi="Arial" w:cs="Arial"/>
          <w:sz w:val="20"/>
          <w:szCs w:val="20"/>
        </w:rPr>
        <w:t>les</w:t>
      </w:r>
      <w:r w:rsidRPr="00970766">
        <w:rPr>
          <w:rFonts w:ascii="Arial" w:hAnsi="Arial" w:cs="Arial"/>
          <w:spacing w:val="-2"/>
          <w:sz w:val="20"/>
          <w:szCs w:val="20"/>
        </w:rPr>
        <w:t xml:space="preserve"> </w:t>
      </w:r>
      <w:r w:rsidRPr="00970766">
        <w:rPr>
          <w:rFonts w:ascii="Arial" w:hAnsi="Arial" w:cs="Arial"/>
          <w:sz w:val="20"/>
          <w:szCs w:val="20"/>
        </w:rPr>
        <w:t>modalités</w:t>
      </w:r>
      <w:r w:rsidRPr="00970766">
        <w:rPr>
          <w:rFonts w:ascii="Arial" w:hAnsi="Arial" w:cs="Arial"/>
          <w:spacing w:val="-2"/>
          <w:sz w:val="20"/>
          <w:szCs w:val="20"/>
        </w:rPr>
        <w:t xml:space="preserve"> </w:t>
      </w:r>
      <w:r w:rsidRPr="00970766">
        <w:rPr>
          <w:rFonts w:ascii="Arial" w:hAnsi="Arial" w:cs="Arial"/>
          <w:sz w:val="20"/>
          <w:szCs w:val="20"/>
        </w:rPr>
        <w:t>effectives</w:t>
      </w:r>
      <w:r w:rsidRPr="00970766">
        <w:rPr>
          <w:rFonts w:ascii="Arial" w:hAnsi="Arial" w:cs="Arial"/>
          <w:spacing w:val="-2"/>
          <w:sz w:val="20"/>
          <w:szCs w:val="20"/>
        </w:rPr>
        <w:t xml:space="preserve"> </w:t>
      </w:r>
      <w:r w:rsidRPr="00970766">
        <w:rPr>
          <w:rFonts w:ascii="Arial" w:hAnsi="Arial" w:cs="Arial"/>
          <w:sz w:val="20"/>
          <w:szCs w:val="20"/>
        </w:rPr>
        <w:t>d’utilisation</w:t>
      </w:r>
      <w:r w:rsidRPr="00970766">
        <w:rPr>
          <w:rFonts w:ascii="Arial" w:hAnsi="Arial" w:cs="Arial"/>
          <w:spacing w:val="-1"/>
          <w:sz w:val="20"/>
          <w:szCs w:val="20"/>
        </w:rPr>
        <w:t xml:space="preserve"> </w:t>
      </w:r>
      <w:r w:rsidRPr="00970766">
        <w:rPr>
          <w:rFonts w:ascii="Arial" w:hAnsi="Arial" w:cs="Arial"/>
          <w:sz w:val="20"/>
          <w:szCs w:val="20"/>
        </w:rPr>
        <w:t>du</w:t>
      </w:r>
      <w:r w:rsidRPr="00970766">
        <w:rPr>
          <w:rFonts w:ascii="Arial" w:hAnsi="Arial" w:cs="Arial"/>
          <w:spacing w:val="-2"/>
          <w:sz w:val="20"/>
          <w:szCs w:val="20"/>
        </w:rPr>
        <w:t xml:space="preserve"> </w:t>
      </w:r>
      <w:r w:rsidRPr="00970766">
        <w:rPr>
          <w:rFonts w:ascii="Arial" w:hAnsi="Arial" w:cs="Arial"/>
          <w:sz w:val="20"/>
          <w:szCs w:val="20"/>
        </w:rPr>
        <w:t>médicament</w:t>
      </w:r>
      <w:r w:rsidRPr="00970766">
        <w:rPr>
          <w:rFonts w:ascii="Arial" w:hAnsi="Arial" w:cs="Arial"/>
          <w:spacing w:val="-2"/>
          <w:sz w:val="20"/>
          <w:szCs w:val="20"/>
        </w:rPr>
        <w:t xml:space="preserve"> </w:t>
      </w:r>
      <w:r w:rsidRPr="00970766">
        <w:rPr>
          <w:rFonts w:ascii="Arial" w:hAnsi="Arial" w:cs="Arial"/>
          <w:sz w:val="20"/>
          <w:szCs w:val="20"/>
        </w:rPr>
        <w:t>;</w:t>
      </w:r>
    </w:p>
    <w:p w14:paraId="4416A8F1" w14:textId="77777777" w:rsidR="003778CA" w:rsidRPr="00970766" w:rsidRDefault="003778CA" w:rsidP="00EE2F3A">
      <w:pPr>
        <w:pStyle w:val="Paragraphedeliste"/>
        <w:widowControl w:val="0"/>
        <w:numPr>
          <w:ilvl w:val="1"/>
          <w:numId w:val="14"/>
        </w:numPr>
        <w:autoSpaceDE w:val="0"/>
        <w:autoSpaceDN w:val="0"/>
        <w:jc w:val="both"/>
        <w:rPr>
          <w:rFonts w:ascii="Arial" w:hAnsi="Arial" w:cs="Arial"/>
          <w:sz w:val="20"/>
          <w:szCs w:val="20"/>
        </w:rPr>
      </w:pPr>
      <w:r w:rsidRPr="00970766">
        <w:rPr>
          <w:rFonts w:ascii="Arial" w:hAnsi="Arial" w:cs="Arial"/>
          <w:sz w:val="20"/>
          <w:szCs w:val="20"/>
        </w:rPr>
        <w:t>les données d’efficacité et de sécurité (données de pharmacovigilance)</w:t>
      </w:r>
      <w:r w:rsidRPr="00970766">
        <w:rPr>
          <w:rFonts w:ascii="Arial" w:hAnsi="Arial" w:cs="Arial"/>
          <w:spacing w:val="-12"/>
          <w:sz w:val="20"/>
          <w:szCs w:val="20"/>
        </w:rPr>
        <w:t xml:space="preserve"> </w:t>
      </w:r>
      <w:r w:rsidRPr="00970766">
        <w:rPr>
          <w:rFonts w:ascii="Arial" w:hAnsi="Arial" w:cs="Arial"/>
          <w:sz w:val="20"/>
          <w:szCs w:val="20"/>
        </w:rPr>
        <w:t>; ainsi</w:t>
      </w:r>
      <w:r w:rsidRPr="00970766">
        <w:rPr>
          <w:rFonts w:ascii="Arial" w:hAnsi="Arial" w:cs="Arial"/>
          <w:spacing w:val="1"/>
          <w:sz w:val="20"/>
          <w:szCs w:val="20"/>
        </w:rPr>
        <w:t xml:space="preserve"> </w:t>
      </w:r>
      <w:r w:rsidRPr="00970766">
        <w:rPr>
          <w:rFonts w:ascii="Arial" w:hAnsi="Arial" w:cs="Arial"/>
          <w:sz w:val="20"/>
          <w:szCs w:val="20"/>
        </w:rPr>
        <w:t>que</w:t>
      </w:r>
      <w:r w:rsidRPr="00970766">
        <w:rPr>
          <w:rFonts w:ascii="Arial" w:hAnsi="Arial" w:cs="Arial"/>
          <w:spacing w:val="1"/>
          <w:sz w:val="20"/>
          <w:szCs w:val="20"/>
        </w:rPr>
        <w:t xml:space="preserve"> </w:t>
      </w:r>
      <w:r w:rsidRPr="00970766">
        <w:rPr>
          <w:rFonts w:ascii="Arial" w:hAnsi="Arial" w:cs="Arial"/>
          <w:sz w:val="20"/>
          <w:szCs w:val="20"/>
        </w:rPr>
        <w:t>toute</w:t>
      </w:r>
      <w:r w:rsidRPr="00970766">
        <w:rPr>
          <w:rFonts w:ascii="Arial" w:hAnsi="Arial" w:cs="Arial"/>
          <w:spacing w:val="1"/>
          <w:sz w:val="20"/>
          <w:szCs w:val="20"/>
        </w:rPr>
        <w:t xml:space="preserve"> </w:t>
      </w:r>
      <w:r w:rsidRPr="00970766">
        <w:rPr>
          <w:rFonts w:ascii="Arial" w:hAnsi="Arial" w:cs="Arial"/>
          <w:sz w:val="20"/>
          <w:szCs w:val="20"/>
        </w:rPr>
        <w:t>information</w:t>
      </w:r>
      <w:r w:rsidRPr="00970766">
        <w:rPr>
          <w:rFonts w:ascii="Arial" w:hAnsi="Arial" w:cs="Arial"/>
          <w:spacing w:val="1"/>
          <w:sz w:val="20"/>
          <w:szCs w:val="20"/>
        </w:rPr>
        <w:t xml:space="preserve"> </w:t>
      </w:r>
      <w:r w:rsidRPr="00970766">
        <w:rPr>
          <w:rFonts w:ascii="Arial" w:hAnsi="Arial" w:cs="Arial"/>
          <w:sz w:val="20"/>
          <w:szCs w:val="20"/>
        </w:rPr>
        <w:t>utile</w:t>
      </w:r>
      <w:r w:rsidRPr="00970766">
        <w:rPr>
          <w:rFonts w:ascii="Arial" w:hAnsi="Arial" w:cs="Arial"/>
          <w:spacing w:val="1"/>
          <w:sz w:val="20"/>
          <w:szCs w:val="20"/>
        </w:rPr>
        <w:t xml:space="preserve"> </w:t>
      </w:r>
      <w:r w:rsidRPr="00970766">
        <w:rPr>
          <w:rFonts w:ascii="Arial" w:hAnsi="Arial" w:cs="Arial"/>
          <w:sz w:val="20"/>
          <w:szCs w:val="20"/>
        </w:rPr>
        <w:t>à</w:t>
      </w:r>
      <w:r w:rsidRPr="00970766">
        <w:rPr>
          <w:rFonts w:ascii="Arial" w:hAnsi="Arial" w:cs="Arial"/>
          <w:spacing w:val="1"/>
          <w:sz w:val="20"/>
          <w:szCs w:val="20"/>
        </w:rPr>
        <w:t xml:space="preserve"> </w:t>
      </w:r>
      <w:r w:rsidRPr="00970766">
        <w:rPr>
          <w:rFonts w:ascii="Arial" w:hAnsi="Arial" w:cs="Arial"/>
          <w:sz w:val="20"/>
          <w:szCs w:val="20"/>
        </w:rPr>
        <w:t>l’évaluation</w:t>
      </w:r>
      <w:r w:rsidRPr="00970766">
        <w:rPr>
          <w:rFonts w:ascii="Arial" w:hAnsi="Arial" w:cs="Arial"/>
          <w:spacing w:val="1"/>
          <w:sz w:val="20"/>
          <w:szCs w:val="20"/>
        </w:rPr>
        <w:t xml:space="preserve"> </w:t>
      </w:r>
      <w:r w:rsidRPr="00970766">
        <w:rPr>
          <w:rFonts w:ascii="Arial" w:hAnsi="Arial" w:cs="Arial"/>
          <w:sz w:val="20"/>
          <w:szCs w:val="20"/>
        </w:rPr>
        <w:t>du</w:t>
      </w:r>
      <w:r w:rsidRPr="00970766">
        <w:rPr>
          <w:rFonts w:ascii="Arial" w:hAnsi="Arial" w:cs="Arial"/>
          <w:spacing w:val="1"/>
          <w:sz w:val="20"/>
          <w:szCs w:val="20"/>
        </w:rPr>
        <w:t xml:space="preserve"> </w:t>
      </w:r>
      <w:r w:rsidRPr="00970766">
        <w:rPr>
          <w:rFonts w:ascii="Arial" w:hAnsi="Arial" w:cs="Arial"/>
          <w:sz w:val="20"/>
          <w:szCs w:val="20"/>
        </w:rPr>
        <w:t>rapport</w:t>
      </w:r>
      <w:r w:rsidRPr="00970766">
        <w:rPr>
          <w:rFonts w:ascii="Arial" w:hAnsi="Arial" w:cs="Arial"/>
          <w:spacing w:val="1"/>
          <w:sz w:val="20"/>
          <w:szCs w:val="20"/>
        </w:rPr>
        <w:t xml:space="preserve"> </w:t>
      </w:r>
      <w:r w:rsidRPr="00970766">
        <w:rPr>
          <w:rFonts w:ascii="Arial" w:hAnsi="Arial" w:cs="Arial"/>
          <w:sz w:val="20"/>
          <w:szCs w:val="20"/>
        </w:rPr>
        <w:t>bénéfice/risque</w:t>
      </w:r>
      <w:r w:rsidRPr="00970766">
        <w:rPr>
          <w:rFonts w:ascii="Arial" w:hAnsi="Arial" w:cs="Arial"/>
          <w:spacing w:val="1"/>
          <w:sz w:val="20"/>
          <w:szCs w:val="20"/>
        </w:rPr>
        <w:t xml:space="preserve"> </w:t>
      </w:r>
      <w:r w:rsidRPr="00970766">
        <w:rPr>
          <w:rFonts w:ascii="Arial" w:hAnsi="Arial" w:cs="Arial"/>
          <w:sz w:val="20"/>
          <w:szCs w:val="20"/>
        </w:rPr>
        <w:t>lié</w:t>
      </w:r>
      <w:r w:rsidRPr="00970766">
        <w:rPr>
          <w:rFonts w:ascii="Arial" w:hAnsi="Arial" w:cs="Arial"/>
          <w:spacing w:val="60"/>
          <w:sz w:val="20"/>
          <w:szCs w:val="20"/>
        </w:rPr>
        <w:t xml:space="preserve"> </w:t>
      </w:r>
      <w:r w:rsidRPr="00970766">
        <w:rPr>
          <w:rFonts w:ascii="Arial" w:hAnsi="Arial" w:cs="Arial"/>
          <w:sz w:val="20"/>
          <w:szCs w:val="20"/>
        </w:rPr>
        <w:t>à</w:t>
      </w:r>
      <w:r w:rsidRPr="00970766">
        <w:rPr>
          <w:rFonts w:ascii="Arial" w:hAnsi="Arial" w:cs="Arial"/>
          <w:spacing w:val="1"/>
          <w:sz w:val="20"/>
          <w:szCs w:val="20"/>
        </w:rPr>
        <w:t xml:space="preserve"> </w:t>
      </w:r>
      <w:r w:rsidRPr="00970766">
        <w:rPr>
          <w:rFonts w:ascii="Arial" w:hAnsi="Arial" w:cs="Arial"/>
          <w:sz w:val="20"/>
          <w:szCs w:val="20"/>
        </w:rPr>
        <w:t>l’emploi du médicament dans l’indication du CPC en France et à l’étranger pendant</w:t>
      </w:r>
      <w:r w:rsidRPr="00970766">
        <w:rPr>
          <w:rFonts w:ascii="Arial" w:hAnsi="Arial" w:cs="Arial"/>
          <w:spacing w:val="1"/>
          <w:sz w:val="20"/>
          <w:szCs w:val="20"/>
        </w:rPr>
        <w:t xml:space="preserve"> </w:t>
      </w:r>
      <w:r w:rsidRPr="00970766">
        <w:rPr>
          <w:rFonts w:ascii="Arial" w:hAnsi="Arial" w:cs="Arial"/>
          <w:sz w:val="20"/>
          <w:szCs w:val="20"/>
        </w:rPr>
        <w:t>cette</w:t>
      </w:r>
      <w:r w:rsidRPr="00970766">
        <w:rPr>
          <w:rFonts w:ascii="Arial" w:hAnsi="Arial" w:cs="Arial"/>
          <w:spacing w:val="-2"/>
          <w:sz w:val="20"/>
          <w:szCs w:val="20"/>
        </w:rPr>
        <w:t xml:space="preserve"> </w:t>
      </w:r>
      <w:r w:rsidRPr="00970766">
        <w:rPr>
          <w:rFonts w:ascii="Arial" w:hAnsi="Arial" w:cs="Arial"/>
          <w:sz w:val="20"/>
          <w:szCs w:val="20"/>
        </w:rPr>
        <w:t>période,</w:t>
      </w:r>
      <w:r w:rsidRPr="00970766">
        <w:rPr>
          <w:rFonts w:ascii="Arial" w:hAnsi="Arial" w:cs="Arial"/>
          <w:spacing w:val="4"/>
          <w:sz w:val="20"/>
          <w:szCs w:val="20"/>
        </w:rPr>
        <w:t xml:space="preserve"> </w:t>
      </w:r>
      <w:r w:rsidRPr="00970766">
        <w:rPr>
          <w:rFonts w:ascii="Arial" w:hAnsi="Arial" w:cs="Arial"/>
          <w:sz w:val="20"/>
          <w:szCs w:val="20"/>
        </w:rPr>
        <w:t>y</w:t>
      </w:r>
      <w:r w:rsidRPr="00970766">
        <w:rPr>
          <w:rFonts w:ascii="Arial" w:hAnsi="Arial" w:cs="Arial"/>
          <w:spacing w:val="-5"/>
          <w:sz w:val="20"/>
          <w:szCs w:val="20"/>
        </w:rPr>
        <w:t xml:space="preserve"> </w:t>
      </w:r>
      <w:r w:rsidRPr="00970766">
        <w:rPr>
          <w:rFonts w:ascii="Arial" w:hAnsi="Arial" w:cs="Arial"/>
          <w:sz w:val="20"/>
          <w:szCs w:val="20"/>
        </w:rPr>
        <w:t>compris les données de</w:t>
      </w:r>
      <w:r w:rsidRPr="00970766">
        <w:rPr>
          <w:rFonts w:ascii="Arial" w:hAnsi="Arial" w:cs="Arial"/>
          <w:spacing w:val="-1"/>
          <w:sz w:val="20"/>
          <w:szCs w:val="20"/>
        </w:rPr>
        <w:t xml:space="preserve"> </w:t>
      </w:r>
      <w:r w:rsidRPr="00970766">
        <w:rPr>
          <w:rFonts w:ascii="Arial" w:hAnsi="Arial" w:cs="Arial"/>
          <w:sz w:val="20"/>
          <w:szCs w:val="20"/>
        </w:rPr>
        <w:t>la</w:t>
      </w:r>
      <w:r w:rsidRPr="00970766">
        <w:rPr>
          <w:rFonts w:ascii="Arial" w:hAnsi="Arial" w:cs="Arial"/>
          <w:spacing w:val="-2"/>
          <w:sz w:val="20"/>
          <w:szCs w:val="20"/>
        </w:rPr>
        <w:t xml:space="preserve"> </w:t>
      </w:r>
      <w:r w:rsidRPr="00970766">
        <w:rPr>
          <w:rFonts w:ascii="Arial" w:hAnsi="Arial" w:cs="Arial"/>
          <w:sz w:val="20"/>
          <w:szCs w:val="20"/>
        </w:rPr>
        <w:t>littérature.</w:t>
      </w:r>
    </w:p>
    <w:p w14:paraId="345C02C3" w14:textId="78BF08C1" w:rsidR="00845006" w:rsidRPr="00970766" w:rsidRDefault="00845006" w:rsidP="00EE2F3A">
      <w:pPr>
        <w:pStyle w:val="Corpsdetexte"/>
        <w:numPr>
          <w:ilvl w:val="2"/>
          <w:numId w:val="10"/>
        </w:numPr>
        <w:spacing w:before="5" w:after="160" w:line="259" w:lineRule="auto"/>
        <w:ind w:left="568" w:hanging="284"/>
        <w:jc w:val="both"/>
        <w:rPr>
          <w:rFonts w:ascii="Arial" w:hAnsi="Arial" w:cs="Arial"/>
          <w:sz w:val="20"/>
          <w:szCs w:val="20"/>
        </w:rPr>
      </w:pPr>
      <w:r w:rsidRPr="00970766">
        <w:rPr>
          <w:rFonts w:ascii="Arial" w:hAnsi="Arial" w:cs="Arial"/>
          <w:sz w:val="20"/>
          <w:szCs w:val="20"/>
        </w:rPr>
        <w:t xml:space="preserve">établit </w:t>
      </w:r>
      <w:r w:rsidR="00D5540F" w:rsidRPr="00970766">
        <w:rPr>
          <w:rFonts w:ascii="Arial" w:hAnsi="Arial" w:cs="Arial"/>
          <w:sz w:val="20"/>
          <w:szCs w:val="20"/>
        </w:rPr>
        <w:t xml:space="preserve">un </w:t>
      </w:r>
      <w:r w:rsidRPr="00970766">
        <w:rPr>
          <w:rFonts w:ascii="Arial" w:hAnsi="Arial" w:cs="Arial"/>
          <w:sz w:val="20"/>
          <w:szCs w:val="20"/>
        </w:rPr>
        <w:t xml:space="preserve">rapport de synthèse </w:t>
      </w:r>
      <w:r w:rsidR="00D5540F" w:rsidRPr="00970766">
        <w:rPr>
          <w:rFonts w:ascii="Arial" w:hAnsi="Arial" w:cs="Arial"/>
          <w:sz w:val="20"/>
          <w:szCs w:val="20"/>
        </w:rPr>
        <w:t xml:space="preserve">portant sur les informations relatives à l'efficacité, à la sécurité et aux conditions réelles d'utilisation de </w:t>
      </w:r>
      <w:r w:rsidR="00FD4073">
        <w:rPr>
          <w:rFonts w:ascii="Arial" w:hAnsi="Arial" w:cs="Arial"/>
          <w:sz w:val="20"/>
          <w:szCs w:val="20"/>
        </w:rPr>
        <w:t>BOTOX</w:t>
      </w:r>
      <w:r w:rsidR="00D5540F" w:rsidRPr="00970766">
        <w:rPr>
          <w:rFonts w:ascii="Arial" w:hAnsi="Arial" w:cs="Arial"/>
          <w:sz w:val="20"/>
          <w:szCs w:val="20"/>
        </w:rPr>
        <w:t xml:space="preserve"> ainsi qu’un </w:t>
      </w:r>
      <w:r w:rsidRPr="00970766">
        <w:rPr>
          <w:rFonts w:ascii="Arial" w:hAnsi="Arial" w:cs="Arial"/>
          <w:sz w:val="20"/>
          <w:szCs w:val="20"/>
        </w:rPr>
        <w:t>projet de résumé qu’il transmet à l'ANSM</w:t>
      </w:r>
      <w:r w:rsidR="00D5540F" w:rsidRPr="00970766">
        <w:rPr>
          <w:rFonts w:ascii="Arial" w:hAnsi="Arial" w:cs="Arial"/>
          <w:sz w:val="20"/>
          <w:szCs w:val="20"/>
        </w:rPr>
        <w:t xml:space="preserve"> selon la périodicité définie en page 1 du présent PUT-SP</w:t>
      </w:r>
      <w:r w:rsidR="00565D32" w:rsidRPr="00970766">
        <w:rPr>
          <w:rFonts w:ascii="Arial" w:hAnsi="Arial" w:cs="Arial"/>
          <w:sz w:val="20"/>
          <w:szCs w:val="20"/>
        </w:rPr>
        <w:t>.</w:t>
      </w:r>
    </w:p>
    <w:p w14:paraId="48E2CB2E" w14:textId="77777777" w:rsidR="00217345" w:rsidRPr="00970766" w:rsidRDefault="00217345" w:rsidP="003A3FC4">
      <w:pPr>
        <w:pStyle w:val="Corpsdetexte"/>
        <w:spacing w:after="160" w:line="259" w:lineRule="auto"/>
        <w:jc w:val="both"/>
        <w:rPr>
          <w:rFonts w:ascii="Arial" w:hAnsi="Arial" w:cs="Arial"/>
          <w:spacing w:val="1"/>
          <w:sz w:val="20"/>
          <w:szCs w:val="20"/>
        </w:rPr>
      </w:pPr>
      <w:r w:rsidRPr="00970766">
        <w:rPr>
          <w:rFonts w:ascii="Arial" w:hAnsi="Arial" w:cs="Arial"/>
          <w:sz w:val="20"/>
        </w:rPr>
        <w:t xml:space="preserve">La période de suivi couvre la période comprise entre la date de début du CPC et la date d’anniversaire correspondante. Le délai de transmission du rapport par les laboratoires exploitants ne doit pas excéder un mois. </w:t>
      </w:r>
    </w:p>
    <w:p w14:paraId="3F998378" w14:textId="77777777" w:rsidR="0081580F" w:rsidRPr="00970766" w:rsidRDefault="0081580F" w:rsidP="0081580F">
      <w:pPr>
        <w:pStyle w:val="Corpsdetexte"/>
        <w:spacing w:before="5"/>
        <w:jc w:val="both"/>
        <w:rPr>
          <w:rFonts w:ascii="Arial" w:hAnsi="Arial" w:cs="Arial"/>
          <w:sz w:val="20"/>
          <w:szCs w:val="20"/>
        </w:rPr>
      </w:pPr>
    </w:p>
    <w:p w14:paraId="7F5571AD" w14:textId="77777777" w:rsidR="009D4581" w:rsidRPr="00970766" w:rsidRDefault="0056441E" w:rsidP="009D4581">
      <w:pPr>
        <w:ind w:right="260"/>
        <w:jc w:val="both"/>
        <w:rPr>
          <w:rFonts w:ascii="Arial" w:hAnsi="Arial" w:cs="Arial"/>
          <w:i/>
          <w:color w:val="9933FF"/>
          <w:sz w:val="20"/>
          <w:szCs w:val="20"/>
        </w:rPr>
      </w:pPr>
      <w:r w:rsidRPr="00970766">
        <w:rPr>
          <w:rFonts w:ascii="Arial" w:hAnsi="Arial" w:cs="Arial"/>
          <w:b/>
          <w:color w:val="2E74B5" w:themeColor="accent1" w:themeShade="BF"/>
          <w:sz w:val="20"/>
        </w:rPr>
        <w:t>Exploitation des données</w:t>
      </w:r>
    </w:p>
    <w:p w14:paraId="0BF6E6F2" w14:textId="77777777" w:rsidR="00BF22B9" w:rsidRPr="00970766" w:rsidRDefault="0056441E" w:rsidP="003A3FC4">
      <w:pPr>
        <w:pStyle w:val="Corpsdetexte"/>
        <w:spacing w:after="160" w:line="259" w:lineRule="auto"/>
        <w:jc w:val="both"/>
        <w:rPr>
          <w:rFonts w:ascii="Arial" w:hAnsi="Arial" w:cs="Arial"/>
          <w:spacing w:val="1"/>
          <w:sz w:val="20"/>
          <w:szCs w:val="20"/>
        </w:rPr>
      </w:pPr>
      <w:r w:rsidRPr="00970766">
        <w:rPr>
          <w:rFonts w:ascii="Arial" w:hAnsi="Arial" w:cs="Arial"/>
          <w:sz w:val="20"/>
          <w:szCs w:val="20"/>
        </w:rPr>
        <w:t>L’ensemble</w:t>
      </w:r>
      <w:r w:rsidRPr="00970766">
        <w:rPr>
          <w:rFonts w:ascii="Arial" w:hAnsi="Arial" w:cs="Arial"/>
          <w:spacing w:val="1"/>
          <w:sz w:val="20"/>
          <w:szCs w:val="20"/>
        </w:rPr>
        <w:t xml:space="preserve"> </w:t>
      </w:r>
      <w:r w:rsidRPr="00970766">
        <w:rPr>
          <w:rFonts w:ascii="Arial" w:hAnsi="Arial" w:cs="Arial"/>
          <w:sz w:val="20"/>
          <w:szCs w:val="20"/>
        </w:rPr>
        <w:t>des</w:t>
      </w:r>
      <w:r w:rsidRPr="00970766">
        <w:rPr>
          <w:rFonts w:ascii="Arial" w:hAnsi="Arial" w:cs="Arial"/>
          <w:spacing w:val="1"/>
          <w:sz w:val="20"/>
          <w:szCs w:val="20"/>
        </w:rPr>
        <w:t xml:space="preserve"> </w:t>
      </w:r>
      <w:r w:rsidRPr="00970766">
        <w:rPr>
          <w:rFonts w:ascii="Arial" w:hAnsi="Arial" w:cs="Arial"/>
          <w:sz w:val="20"/>
          <w:szCs w:val="20"/>
        </w:rPr>
        <w:t>données</w:t>
      </w:r>
      <w:r w:rsidRPr="00970766">
        <w:rPr>
          <w:rFonts w:ascii="Arial" w:hAnsi="Arial" w:cs="Arial"/>
          <w:spacing w:val="1"/>
          <w:sz w:val="20"/>
          <w:szCs w:val="20"/>
        </w:rPr>
        <w:t xml:space="preserve"> </w:t>
      </w:r>
      <w:r w:rsidRPr="00970766">
        <w:rPr>
          <w:rFonts w:ascii="Arial" w:hAnsi="Arial" w:cs="Arial"/>
          <w:sz w:val="20"/>
          <w:szCs w:val="20"/>
        </w:rPr>
        <w:t>collectées</w:t>
      </w:r>
      <w:r w:rsidRPr="00970766">
        <w:rPr>
          <w:rFonts w:ascii="Arial" w:hAnsi="Arial" w:cs="Arial"/>
          <w:spacing w:val="1"/>
          <w:sz w:val="20"/>
          <w:szCs w:val="20"/>
        </w:rPr>
        <w:t xml:space="preserve"> </w:t>
      </w:r>
      <w:r w:rsidRPr="00970766">
        <w:rPr>
          <w:rFonts w:ascii="Arial" w:hAnsi="Arial" w:cs="Arial"/>
          <w:sz w:val="20"/>
          <w:szCs w:val="20"/>
        </w:rPr>
        <w:t>par</w:t>
      </w:r>
      <w:r w:rsidRPr="00970766">
        <w:rPr>
          <w:rFonts w:ascii="Arial" w:hAnsi="Arial" w:cs="Arial"/>
          <w:spacing w:val="1"/>
          <w:sz w:val="20"/>
          <w:szCs w:val="20"/>
        </w:rPr>
        <w:t xml:space="preserve"> </w:t>
      </w:r>
      <w:r w:rsidRPr="00970766">
        <w:rPr>
          <w:rFonts w:ascii="Arial" w:hAnsi="Arial" w:cs="Arial"/>
          <w:sz w:val="20"/>
          <w:szCs w:val="20"/>
        </w:rPr>
        <w:t>les</w:t>
      </w:r>
      <w:r w:rsidRPr="00970766">
        <w:rPr>
          <w:rFonts w:ascii="Arial" w:hAnsi="Arial" w:cs="Arial"/>
          <w:spacing w:val="1"/>
          <w:sz w:val="20"/>
          <w:szCs w:val="20"/>
        </w:rPr>
        <w:t xml:space="preserve"> </w:t>
      </w:r>
      <w:r w:rsidRPr="00970766">
        <w:rPr>
          <w:rFonts w:ascii="Arial" w:hAnsi="Arial" w:cs="Arial"/>
          <w:sz w:val="20"/>
          <w:szCs w:val="20"/>
        </w:rPr>
        <w:t>prescripteurs</w:t>
      </w:r>
      <w:r w:rsidR="00C40F11" w:rsidRPr="00970766">
        <w:rPr>
          <w:rFonts w:ascii="Arial" w:hAnsi="Arial" w:cs="Arial"/>
          <w:sz w:val="20"/>
          <w:szCs w:val="20"/>
        </w:rPr>
        <w:t>/professionnels de santé</w:t>
      </w:r>
      <w:r w:rsidRPr="00970766">
        <w:rPr>
          <w:rFonts w:ascii="Arial" w:hAnsi="Arial" w:cs="Arial"/>
          <w:spacing w:val="1"/>
          <w:sz w:val="20"/>
          <w:szCs w:val="20"/>
        </w:rPr>
        <w:t xml:space="preserve"> </w:t>
      </w:r>
      <w:r w:rsidRPr="00970766">
        <w:rPr>
          <w:rFonts w:ascii="Arial" w:hAnsi="Arial" w:cs="Arial"/>
          <w:sz w:val="20"/>
          <w:szCs w:val="20"/>
        </w:rPr>
        <w:t>dans</w:t>
      </w:r>
      <w:r w:rsidRPr="00970766">
        <w:rPr>
          <w:rFonts w:ascii="Arial" w:hAnsi="Arial" w:cs="Arial"/>
          <w:spacing w:val="1"/>
          <w:sz w:val="20"/>
          <w:szCs w:val="20"/>
        </w:rPr>
        <w:t xml:space="preserve"> </w:t>
      </w:r>
      <w:r w:rsidRPr="00970766">
        <w:rPr>
          <w:rFonts w:ascii="Arial" w:hAnsi="Arial" w:cs="Arial"/>
          <w:sz w:val="20"/>
          <w:szCs w:val="20"/>
        </w:rPr>
        <w:t>le</w:t>
      </w:r>
      <w:r w:rsidRPr="00970766">
        <w:rPr>
          <w:rFonts w:ascii="Arial" w:hAnsi="Arial" w:cs="Arial"/>
          <w:spacing w:val="1"/>
          <w:sz w:val="20"/>
          <w:szCs w:val="20"/>
        </w:rPr>
        <w:t xml:space="preserve"> </w:t>
      </w:r>
      <w:r w:rsidR="003D12FA" w:rsidRPr="00970766">
        <w:rPr>
          <w:rFonts w:ascii="Arial" w:hAnsi="Arial" w:cs="Arial"/>
          <w:sz w:val="20"/>
          <w:szCs w:val="20"/>
        </w:rPr>
        <w:t>contexte</w:t>
      </w:r>
      <w:r w:rsidR="003D12FA" w:rsidRPr="00970766">
        <w:rPr>
          <w:rFonts w:ascii="Arial" w:hAnsi="Arial" w:cs="Arial"/>
          <w:spacing w:val="1"/>
          <w:sz w:val="20"/>
          <w:szCs w:val="20"/>
        </w:rPr>
        <w:t xml:space="preserve"> </w:t>
      </w:r>
      <w:r w:rsidRPr="00970766">
        <w:rPr>
          <w:rFonts w:ascii="Arial" w:hAnsi="Arial" w:cs="Arial"/>
          <w:sz w:val="20"/>
          <w:szCs w:val="20"/>
        </w:rPr>
        <w:t>du</w:t>
      </w:r>
      <w:r w:rsidRPr="00970766">
        <w:rPr>
          <w:rFonts w:ascii="Arial" w:hAnsi="Arial" w:cs="Arial"/>
          <w:spacing w:val="1"/>
          <w:sz w:val="20"/>
          <w:szCs w:val="20"/>
        </w:rPr>
        <w:t xml:space="preserve"> </w:t>
      </w:r>
      <w:r w:rsidRPr="00970766">
        <w:rPr>
          <w:rFonts w:ascii="Arial" w:hAnsi="Arial" w:cs="Arial"/>
          <w:sz w:val="20"/>
          <w:szCs w:val="20"/>
        </w:rPr>
        <w:t>CPC</w:t>
      </w:r>
      <w:r w:rsidRPr="00970766">
        <w:rPr>
          <w:rFonts w:ascii="Arial" w:hAnsi="Arial" w:cs="Arial"/>
          <w:spacing w:val="1"/>
          <w:sz w:val="20"/>
          <w:szCs w:val="20"/>
        </w:rPr>
        <w:t xml:space="preserve"> </w:t>
      </w:r>
      <w:r w:rsidRPr="00970766">
        <w:rPr>
          <w:rFonts w:ascii="Arial" w:hAnsi="Arial" w:cs="Arial"/>
          <w:sz w:val="20"/>
          <w:szCs w:val="20"/>
        </w:rPr>
        <w:t>seront</w:t>
      </w:r>
      <w:r w:rsidRPr="00970766">
        <w:rPr>
          <w:rFonts w:ascii="Arial" w:hAnsi="Arial" w:cs="Arial"/>
          <w:spacing w:val="1"/>
          <w:sz w:val="20"/>
          <w:szCs w:val="20"/>
        </w:rPr>
        <w:t xml:space="preserve"> </w:t>
      </w:r>
      <w:r w:rsidRPr="00970766">
        <w:rPr>
          <w:rFonts w:ascii="Arial" w:hAnsi="Arial" w:cs="Arial"/>
          <w:sz w:val="20"/>
          <w:szCs w:val="20"/>
        </w:rPr>
        <w:t>recueillies et analysées par le</w:t>
      </w:r>
      <w:r w:rsidR="003D12FA" w:rsidRPr="00970766">
        <w:rPr>
          <w:rFonts w:ascii="Arial" w:hAnsi="Arial" w:cs="Arial"/>
          <w:sz w:val="20"/>
          <w:szCs w:val="20"/>
        </w:rPr>
        <w:t>(s)</w:t>
      </w:r>
      <w:r w:rsidRPr="00970766">
        <w:rPr>
          <w:rFonts w:ascii="Arial" w:hAnsi="Arial" w:cs="Arial"/>
          <w:sz w:val="20"/>
          <w:szCs w:val="20"/>
        </w:rPr>
        <w:t xml:space="preserve"> laboratoire</w:t>
      </w:r>
      <w:r w:rsidR="003D12FA" w:rsidRPr="00970766">
        <w:rPr>
          <w:rFonts w:ascii="Arial" w:hAnsi="Arial" w:cs="Arial"/>
          <w:sz w:val="20"/>
          <w:szCs w:val="20"/>
        </w:rPr>
        <w:t>(s) concerné(s)</w:t>
      </w:r>
      <w:r w:rsidRPr="00970766">
        <w:rPr>
          <w:rFonts w:ascii="Arial" w:hAnsi="Arial" w:cs="Arial"/>
          <w:sz w:val="20"/>
          <w:szCs w:val="20"/>
        </w:rPr>
        <w:t xml:space="preserve"> et des rapports de synthèse sont transmis à </w:t>
      </w:r>
      <w:r w:rsidRPr="00FD4073">
        <w:rPr>
          <w:rFonts w:ascii="Arial" w:hAnsi="Arial" w:cs="Arial"/>
          <w:sz w:val="20"/>
          <w:szCs w:val="20"/>
        </w:rPr>
        <w:t>l’ANSM</w:t>
      </w:r>
      <w:r w:rsidRPr="00FD4073">
        <w:rPr>
          <w:rFonts w:ascii="Arial" w:hAnsi="Arial" w:cs="Arial"/>
          <w:spacing w:val="1"/>
          <w:sz w:val="20"/>
          <w:szCs w:val="20"/>
        </w:rPr>
        <w:t xml:space="preserve"> </w:t>
      </w:r>
      <w:r w:rsidRPr="00FD4073">
        <w:rPr>
          <w:rFonts w:ascii="Arial" w:hAnsi="Arial" w:cs="Arial"/>
          <w:sz w:val="20"/>
          <w:szCs w:val="20"/>
        </w:rPr>
        <w:t>tous</w:t>
      </w:r>
      <w:r w:rsidRPr="00FD4073">
        <w:rPr>
          <w:rFonts w:ascii="Arial" w:hAnsi="Arial" w:cs="Arial"/>
          <w:spacing w:val="1"/>
          <w:sz w:val="20"/>
          <w:szCs w:val="20"/>
        </w:rPr>
        <w:t xml:space="preserve"> </w:t>
      </w:r>
      <w:r w:rsidRPr="00FD4073">
        <w:rPr>
          <w:rFonts w:ascii="Arial" w:hAnsi="Arial" w:cs="Arial"/>
          <w:sz w:val="20"/>
          <w:szCs w:val="20"/>
        </w:rPr>
        <w:t>les</w:t>
      </w:r>
      <w:r w:rsidRPr="00FD4073">
        <w:rPr>
          <w:rFonts w:ascii="Arial" w:hAnsi="Arial" w:cs="Arial"/>
          <w:spacing w:val="1"/>
          <w:sz w:val="20"/>
          <w:szCs w:val="20"/>
        </w:rPr>
        <w:t xml:space="preserve"> </w:t>
      </w:r>
      <w:r w:rsidR="00FD4073" w:rsidRPr="00FD4073">
        <w:rPr>
          <w:rFonts w:ascii="Arial" w:hAnsi="Arial" w:cs="Arial"/>
          <w:sz w:val="20"/>
          <w:szCs w:val="20"/>
        </w:rPr>
        <w:t xml:space="preserve">6 </w:t>
      </w:r>
      <w:r w:rsidRPr="00FD4073">
        <w:rPr>
          <w:rFonts w:ascii="Arial" w:hAnsi="Arial" w:cs="Arial"/>
          <w:sz w:val="20"/>
          <w:szCs w:val="20"/>
        </w:rPr>
        <w:t>mois.</w:t>
      </w:r>
    </w:p>
    <w:p w14:paraId="1A069760" w14:textId="77777777" w:rsidR="00BF22B9" w:rsidRPr="00970766" w:rsidRDefault="00BF22B9" w:rsidP="003A3FC4">
      <w:pPr>
        <w:pStyle w:val="Corpsdetexte"/>
        <w:jc w:val="both"/>
        <w:rPr>
          <w:rFonts w:ascii="Arial" w:hAnsi="Arial" w:cs="Arial"/>
          <w:spacing w:val="1"/>
          <w:sz w:val="20"/>
          <w:szCs w:val="20"/>
        </w:rPr>
      </w:pPr>
    </w:p>
    <w:p w14:paraId="09E9FFF7" w14:textId="7DAC0259" w:rsidR="0056441E" w:rsidRPr="00970766" w:rsidRDefault="0056441E" w:rsidP="003A3FC4">
      <w:pPr>
        <w:pStyle w:val="Corpsdetexte"/>
        <w:spacing w:after="160" w:line="259" w:lineRule="auto"/>
        <w:jc w:val="both"/>
        <w:rPr>
          <w:rFonts w:ascii="Arial" w:hAnsi="Arial" w:cs="Arial"/>
          <w:sz w:val="20"/>
          <w:szCs w:val="20"/>
        </w:rPr>
      </w:pPr>
      <w:r w:rsidRPr="00970766">
        <w:rPr>
          <w:rFonts w:ascii="Arial" w:hAnsi="Arial" w:cs="Arial"/>
          <w:sz w:val="20"/>
          <w:szCs w:val="20"/>
        </w:rPr>
        <w:t>L’ANSM</w:t>
      </w:r>
      <w:r w:rsidRPr="00970766">
        <w:rPr>
          <w:rFonts w:ascii="Arial" w:hAnsi="Arial" w:cs="Arial"/>
          <w:spacing w:val="1"/>
          <w:sz w:val="20"/>
          <w:szCs w:val="20"/>
        </w:rPr>
        <w:t xml:space="preserve"> </w:t>
      </w:r>
      <w:r w:rsidRPr="00970766">
        <w:rPr>
          <w:rFonts w:ascii="Arial" w:hAnsi="Arial" w:cs="Arial"/>
          <w:sz w:val="20"/>
          <w:szCs w:val="20"/>
        </w:rPr>
        <w:t>assure</w:t>
      </w:r>
      <w:r w:rsidRPr="00970766">
        <w:rPr>
          <w:rFonts w:ascii="Arial" w:hAnsi="Arial" w:cs="Arial"/>
          <w:spacing w:val="1"/>
          <w:sz w:val="20"/>
          <w:szCs w:val="20"/>
        </w:rPr>
        <w:t xml:space="preserve"> </w:t>
      </w:r>
      <w:r w:rsidRPr="00970766">
        <w:rPr>
          <w:rFonts w:ascii="Arial" w:hAnsi="Arial" w:cs="Arial"/>
          <w:sz w:val="20"/>
          <w:szCs w:val="20"/>
        </w:rPr>
        <w:t>une</w:t>
      </w:r>
      <w:r w:rsidRPr="00970766">
        <w:rPr>
          <w:rFonts w:ascii="Arial" w:hAnsi="Arial" w:cs="Arial"/>
          <w:spacing w:val="1"/>
          <w:sz w:val="20"/>
          <w:szCs w:val="20"/>
        </w:rPr>
        <w:t xml:space="preserve"> </w:t>
      </w:r>
      <w:r w:rsidRPr="00970766">
        <w:rPr>
          <w:rFonts w:ascii="Arial" w:hAnsi="Arial" w:cs="Arial"/>
          <w:sz w:val="20"/>
          <w:szCs w:val="20"/>
        </w:rPr>
        <w:t>surveillance</w:t>
      </w:r>
      <w:r w:rsidRPr="00970766">
        <w:rPr>
          <w:rFonts w:ascii="Arial" w:hAnsi="Arial" w:cs="Arial"/>
          <w:spacing w:val="1"/>
          <w:sz w:val="20"/>
          <w:szCs w:val="20"/>
        </w:rPr>
        <w:t xml:space="preserve"> </w:t>
      </w:r>
      <w:r w:rsidRPr="00970766">
        <w:rPr>
          <w:rFonts w:ascii="Arial" w:hAnsi="Arial" w:cs="Arial"/>
          <w:sz w:val="20"/>
          <w:szCs w:val="20"/>
        </w:rPr>
        <w:t>nationale</w:t>
      </w:r>
      <w:r w:rsidRPr="00970766">
        <w:rPr>
          <w:rFonts w:ascii="Arial" w:hAnsi="Arial" w:cs="Arial"/>
          <w:spacing w:val="1"/>
          <w:sz w:val="20"/>
          <w:szCs w:val="20"/>
        </w:rPr>
        <w:t xml:space="preserve"> </w:t>
      </w:r>
      <w:r w:rsidRPr="00970766">
        <w:rPr>
          <w:rFonts w:ascii="Arial" w:hAnsi="Arial" w:cs="Arial"/>
          <w:sz w:val="20"/>
          <w:szCs w:val="20"/>
        </w:rPr>
        <w:t>de</w:t>
      </w:r>
      <w:r w:rsidRPr="00970766">
        <w:rPr>
          <w:rFonts w:ascii="Arial" w:hAnsi="Arial" w:cs="Arial"/>
          <w:spacing w:val="1"/>
          <w:sz w:val="20"/>
          <w:szCs w:val="20"/>
        </w:rPr>
        <w:t xml:space="preserve"> </w:t>
      </w:r>
      <w:r w:rsidRPr="00970766">
        <w:rPr>
          <w:rFonts w:ascii="Arial" w:hAnsi="Arial" w:cs="Arial"/>
          <w:sz w:val="20"/>
          <w:szCs w:val="20"/>
        </w:rPr>
        <w:t>l’utilisation</w:t>
      </w:r>
      <w:r w:rsidRPr="00970766">
        <w:rPr>
          <w:rFonts w:ascii="Arial" w:hAnsi="Arial" w:cs="Arial"/>
          <w:spacing w:val="1"/>
          <w:sz w:val="20"/>
          <w:szCs w:val="20"/>
        </w:rPr>
        <w:t xml:space="preserve"> </w:t>
      </w:r>
      <w:r w:rsidRPr="00970766">
        <w:rPr>
          <w:rFonts w:ascii="Arial" w:hAnsi="Arial" w:cs="Arial"/>
          <w:sz w:val="20"/>
          <w:szCs w:val="20"/>
        </w:rPr>
        <w:t>de</w:t>
      </w:r>
      <w:r w:rsidRPr="00970766">
        <w:rPr>
          <w:rFonts w:ascii="Arial" w:hAnsi="Arial" w:cs="Arial"/>
          <w:spacing w:val="1"/>
          <w:sz w:val="20"/>
          <w:szCs w:val="20"/>
        </w:rPr>
        <w:t xml:space="preserve"> </w:t>
      </w:r>
      <w:r w:rsidR="000E6B26" w:rsidRPr="000E6B26">
        <w:rPr>
          <w:rFonts w:ascii="Arial" w:hAnsi="Arial" w:cs="Arial"/>
          <w:spacing w:val="1"/>
          <w:sz w:val="20"/>
          <w:szCs w:val="20"/>
        </w:rPr>
        <w:t>BOTOX</w:t>
      </w:r>
      <w:r w:rsidRPr="00970766">
        <w:rPr>
          <w:rFonts w:ascii="Arial" w:hAnsi="Arial" w:cs="Arial"/>
          <w:spacing w:val="1"/>
          <w:sz w:val="20"/>
          <w:szCs w:val="20"/>
        </w:rPr>
        <w:t xml:space="preserve"> </w:t>
      </w:r>
      <w:r w:rsidRPr="00970766">
        <w:rPr>
          <w:rFonts w:ascii="Arial" w:hAnsi="Arial" w:cs="Arial"/>
          <w:sz w:val="20"/>
          <w:szCs w:val="20"/>
        </w:rPr>
        <w:t>en</w:t>
      </w:r>
      <w:r w:rsidRPr="00970766">
        <w:rPr>
          <w:rFonts w:ascii="Arial" w:hAnsi="Arial" w:cs="Arial"/>
          <w:spacing w:val="1"/>
          <w:sz w:val="20"/>
          <w:szCs w:val="20"/>
        </w:rPr>
        <w:t xml:space="preserve"> </w:t>
      </w:r>
      <w:r w:rsidRPr="00970766">
        <w:rPr>
          <w:rFonts w:ascii="Arial" w:hAnsi="Arial" w:cs="Arial"/>
          <w:sz w:val="20"/>
          <w:szCs w:val="20"/>
        </w:rPr>
        <w:t>collaboration</w:t>
      </w:r>
      <w:r w:rsidR="00C8117F" w:rsidRPr="00970766">
        <w:rPr>
          <w:rFonts w:ascii="Arial" w:hAnsi="Arial" w:cs="Arial"/>
          <w:spacing w:val="1"/>
          <w:sz w:val="20"/>
          <w:szCs w:val="20"/>
        </w:rPr>
        <w:t xml:space="preserve"> </w:t>
      </w:r>
      <w:r w:rsidRPr="00970766">
        <w:rPr>
          <w:rFonts w:ascii="Arial" w:hAnsi="Arial" w:cs="Arial"/>
          <w:sz w:val="20"/>
          <w:szCs w:val="20"/>
        </w:rPr>
        <w:t>avec</w:t>
      </w:r>
      <w:r w:rsidRPr="00970766">
        <w:rPr>
          <w:rFonts w:ascii="Arial" w:hAnsi="Arial" w:cs="Arial"/>
          <w:spacing w:val="1"/>
          <w:sz w:val="20"/>
          <w:szCs w:val="20"/>
        </w:rPr>
        <w:t xml:space="preserve"> </w:t>
      </w:r>
      <w:r w:rsidRPr="00970766">
        <w:rPr>
          <w:rFonts w:ascii="Arial" w:hAnsi="Arial" w:cs="Arial"/>
          <w:sz w:val="20"/>
          <w:szCs w:val="20"/>
        </w:rPr>
        <w:t>le</w:t>
      </w:r>
      <w:r w:rsidRPr="00970766">
        <w:rPr>
          <w:rFonts w:ascii="Arial" w:hAnsi="Arial" w:cs="Arial"/>
          <w:spacing w:val="1"/>
          <w:sz w:val="20"/>
          <w:szCs w:val="20"/>
        </w:rPr>
        <w:t xml:space="preserve"> </w:t>
      </w:r>
      <w:r w:rsidRPr="00BD7D3E">
        <w:rPr>
          <w:rFonts w:ascii="Arial" w:hAnsi="Arial" w:cs="Arial"/>
          <w:sz w:val="20"/>
          <w:szCs w:val="20"/>
        </w:rPr>
        <w:t>Centre</w:t>
      </w:r>
      <w:r w:rsidRPr="00BD7D3E">
        <w:rPr>
          <w:rFonts w:ascii="Arial" w:hAnsi="Arial" w:cs="Arial"/>
          <w:spacing w:val="1"/>
          <w:sz w:val="20"/>
          <w:szCs w:val="20"/>
        </w:rPr>
        <w:t xml:space="preserve"> </w:t>
      </w:r>
      <w:r w:rsidRPr="00BD7D3E">
        <w:rPr>
          <w:rFonts w:ascii="Arial" w:hAnsi="Arial" w:cs="Arial"/>
          <w:sz w:val="20"/>
          <w:szCs w:val="20"/>
        </w:rPr>
        <w:t>Régional</w:t>
      </w:r>
      <w:r w:rsidRPr="00BD7D3E">
        <w:rPr>
          <w:rFonts w:ascii="Arial" w:hAnsi="Arial" w:cs="Arial"/>
          <w:spacing w:val="1"/>
          <w:sz w:val="20"/>
          <w:szCs w:val="20"/>
        </w:rPr>
        <w:t xml:space="preserve"> </w:t>
      </w:r>
      <w:r w:rsidRPr="00BD7D3E">
        <w:rPr>
          <w:rFonts w:ascii="Arial" w:hAnsi="Arial" w:cs="Arial"/>
          <w:sz w:val="20"/>
          <w:szCs w:val="20"/>
        </w:rPr>
        <w:t>de</w:t>
      </w:r>
      <w:r w:rsidRPr="00BD7D3E">
        <w:rPr>
          <w:rFonts w:ascii="Arial" w:hAnsi="Arial" w:cs="Arial"/>
          <w:spacing w:val="1"/>
          <w:sz w:val="20"/>
          <w:szCs w:val="20"/>
        </w:rPr>
        <w:t xml:space="preserve"> </w:t>
      </w:r>
      <w:r w:rsidRPr="00BD7D3E">
        <w:rPr>
          <w:rFonts w:ascii="Arial" w:hAnsi="Arial" w:cs="Arial"/>
          <w:sz w:val="20"/>
          <w:szCs w:val="20"/>
        </w:rPr>
        <w:t>Pharmacovigilance</w:t>
      </w:r>
      <w:r w:rsidRPr="00BD7D3E">
        <w:rPr>
          <w:rFonts w:ascii="Arial" w:hAnsi="Arial" w:cs="Arial"/>
          <w:spacing w:val="1"/>
          <w:sz w:val="20"/>
          <w:szCs w:val="20"/>
        </w:rPr>
        <w:t xml:space="preserve"> </w:t>
      </w:r>
      <w:r w:rsidRPr="00BD7D3E">
        <w:rPr>
          <w:rFonts w:ascii="Arial" w:hAnsi="Arial" w:cs="Arial"/>
          <w:sz w:val="20"/>
          <w:szCs w:val="20"/>
        </w:rPr>
        <w:t>(CRPV)</w:t>
      </w:r>
      <w:r w:rsidR="00DF642F" w:rsidRPr="00BD7D3E">
        <w:rPr>
          <w:rFonts w:ascii="Arial" w:hAnsi="Arial" w:cs="Arial"/>
          <w:sz w:val="20"/>
          <w:szCs w:val="20"/>
        </w:rPr>
        <w:t xml:space="preserve"> de </w:t>
      </w:r>
      <w:r w:rsidR="00BD7D3E" w:rsidRPr="00BD7D3E">
        <w:rPr>
          <w:rFonts w:ascii="Arial" w:hAnsi="Arial" w:cs="Arial"/>
          <w:sz w:val="20"/>
          <w:szCs w:val="20"/>
        </w:rPr>
        <w:t>Strasbourg</w:t>
      </w:r>
      <w:r w:rsidR="001E035D" w:rsidRPr="00970766">
        <w:rPr>
          <w:rFonts w:ascii="Arial" w:hAnsi="Arial" w:cs="Arial"/>
          <w:sz w:val="20"/>
          <w:szCs w:val="20"/>
        </w:rPr>
        <w:t xml:space="preserve"> </w:t>
      </w:r>
      <w:r w:rsidR="00C8117F" w:rsidRPr="00970766">
        <w:rPr>
          <w:rFonts w:ascii="Arial" w:hAnsi="Arial" w:cs="Arial"/>
          <w:spacing w:val="1"/>
          <w:sz w:val="20"/>
          <w:szCs w:val="20"/>
        </w:rPr>
        <w:t xml:space="preserve">en charge du </w:t>
      </w:r>
      <w:r w:rsidR="00073E94" w:rsidRPr="00970766">
        <w:rPr>
          <w:rFonts w:ascii="Arial" w:hAnsi="Arial" w:cs="Arial"/>
          <w:spacing w:val="1"/>
          <w:sz w:val="20"/>
          <w:szCs w:val="20"/>
        </w:rPr>
        <w:t xml:space="preserve">suivi </w:t>
      </w:r>
      <w:r w:rsidRPr="00970766">
        <w:rPr>
          <w:rFonts w:ascii="Arial" w:hAnsi="Arial" w:cs="Arial"/>
          <w:sz w:val="20"/>
          <w:szCs w:val="20"/>
        </w:rPr>
        <w:t>de</w:t>
      </w:r>
      <w:r w:rsidRPr="00970766">
        <w:rPr>
          <w:rFonts w:ascii="Arial" w:hAnsi="Arial" w:cs="Arial"/>
          <w:spacing w:val="1"/>
          <w:sz w:val="20"/>
          <w:szCs w:val="20"/>
        </w:rPr>
        <w:t xml:space="preserve"> </w:t>
      </w:r>
      <w:r w:rsidR="00DF642F" w:rsidRPr="000E6B26">
        <w:rPr>
          <w:rFonts w:ascii="Arial" w:hAnsi="Arial" w:cs="Arial"/>
          <w:spacing w:val="1"/>
          <w:sz w:val="20"/>
          <w:szCs w:val="20"/>
        </w:rPr>
        <w:t>BOTOX</w:t>
      </w:r>
      <w:r w:rsidRPr="00DF642F">
        <w:rPr>
          <w:rFonts w:ascii="Arial" w:hAnsi="Arial" w:cs="Arial"/>
          <w:sz w:val="20"/>
          <w:szCs w:val="20"/>
        </w:rPr>
        <w:t>.</w:t>
      </w:r>
      <w:r w:rsidRPr="00970766">
        <w:rPr>
          <w:rFonts w:ascii="Arial" w:hAnsi="Arial" w:cs="Arial"/>
          <w:spacing w:val="1"/>
          <w:sz w:val="20"/>
          <w:szCs w:val="20"/>
        </w:rPr>
        <w:t xml:space="preserve"> </w:t>
      </w:r>
      <w:r w:rsidRPr="00970766">
        <w:rPr>
          <w:rFonts w:ascii="Arial" w:hAnsi="Arial" w:cs="Arial"/>
          <w:sz w:val="20"/>
          <w:szCs w:val="20"/>
        </w:rPr>
        <w:t>Les</w:t>
      </w:r>
      <w:r w:rsidRPr="00970766">
        <w:rPr>
          <w:rFonts w:ascii="Arial" w:hAnsi="Arial" w:cs="Arial"/>
          <w:spacing w:val="1"/>
          <w:sz w:val="20"/>
          <w:szCs w:val="20"/>
        </w:rPr>
        <w:t xml:space="preserve"> </w:t>
      </w:r>
      <w:r w:rsidRPr="00970766">
        <w:rPr>
          <w:rFonts w:ascii="Arial" w:hAnsi="Arial" w:cs="Arial"/>
          <w:sz w:val="20"/>
          <w:szCs w:val="20"/>
        </w:rPr>
        <w:t>données</w:t>
      </w:r>
      <w:r w:rsidRPr="00970766">
        <w:rPr>
          <w:rFonts w:ascii="Arial" w:hAnsi="Arial" w:cs="Arial"/>
          <w:spacing w:val="1"/>
          <w:sz w:val="20"/>
          <w:szCs w:val="20"/>
        </w:rPr>
        <w:t xml:space="preserve"> </w:t>
      </w:r>
      <w:r w:rsidRPr="00970766">
        <w:rPr>
          <w:rFonts w:ascii="Arial" w:hAnsi="Arial" w:cs="Arial"/>
          <w:sz w:val="20"/>
          <w:szCs w:val="20"/>
        </w:rPr>
        <w:t>seront</w:t>
      </w:r>
      <w:r w:rsidRPr="00970766">
        <w:rPr>
          <w:rFonts w:ascii="Arial" w:hAnsi="Arial" w:cs="Arial"/>
          <w:spacing w:val="1"/>
          <w:sz w:val="20"/>
          <w:szCs w:val="20"/>
        </w:rPr>
        <w:t xml:space="preserve"> </w:t>
      </w:r>
      <w:r w:rsidRPr="00970766">
        <w:rPr>
          <w:rFonts w:ascii="Arial" w:hAnsi="Arial" w:cs="Arial"/>
          <w:sz w:val="20"/>
          <w:szCs w:val="20"/>
        </w:rPr>
        <w:t>collectées</w:t>
      </w:r>
      <w:r w:rsidRPr="00970766">
        <w:rPr>
          <w:rFonts w:ascii="Arial" w:hAnsi="Arial" w:cs="Arial"/>
          <w:spacing w:val="1"/>
          <w:sz w:val="20"/>
          <w:szCs w:val="20"/>
        </w:rPr>
        <w:t xml:space="preserve"> </w:t>
      </w:r>
      <w:r w:rsidRPr="00970766">
        <w:rPr>
          <w:rFonts w:ascii="Arial" w:hAnsi="Arial" w:cs="Arial"/>
          <w:sz w:val="20"/>
          <w:szCs w:val="20"/>
        </w:rPr>
        <w:t>et</w:t>
      </w:r>
      <w:r w:rsidR="004B721F" w:rsidRPr="00970766">
        <w:rPr>
          <w:rFonts w:ascii="Arial" w:hAnsi="Arial" w:cs="Arial"/>
          <w:sz w:val="20"/>
          <w:szCs w:val="20"/>
        </w:rPr>
        <w:t xml:space="preserve"> </w:t>
      </w:r>
      <w:r w:rsidRPr="00970766">
        <w:rPr>
          <w:rFonts w:ascii="Arial" w:hAnsi="Arial" w:cs="Arial"/>
          <w:spacing w:val="-57"/>
          <w:sz w:val="20"/>
          <w:szCs w:val="20"/>
        </w:rPr>
        <w:t xml:space="preserve"> </w:t>
      </w:r>
      <w:r w:rsidR="004B721F" w:rsidRPr="00970766">
        <w:rPr>
          <w:rFonts w:ascii="Arial" w:hAnsi="Arial" w:cs="Arial"/>
          <w:spacing w:val="-57"/>
          <w:sz w:val="20"/>
          <w:szCs w:val="20"/>
        </w:rPr>
        <w:t xml:space="preserve">  </w:t>
      </w:r>
      <w:r w:rsidRPr="00970766">
        <w:rPr>
          <w:rFonts w:ascii="Arial" w:hAnsi="Arial" w:cs="Arial"/>
          <w:sz w:val="20"/>
          <w:szCs w:val="20"/>
        </w:rPr>
        <w:t>envoyées</w:t>
      </w:r>
      <w:r w:rsidRPr="00970766">
        <w:rPr>
          <w:rFonts w:ascii="Arial" w:hAnsi="Arial" w:cs="Arial"/>
          <w:spacing w:val="-1"/>
          <w:sz w:val="20"/>
          <w:szCs w:val="20"/>
        </w:rPr>
        <w:t xml:space="preserve"> </w:t>
      </w:r>
      <w:r w:rsidRPr="00970766">
        <w:rPr>
          <w:rFonts w:ascii="Arial" w:hAnsi="Arial" w:cs="Arial"/>
          <w:sz w:val="20"/>
          <w:szCs w:val="20"/>
        </w:rPr>
        <w:t>jusqu’à</w:t>
      </w:r>
      <w:r w:rsidRPr="00970766">
        <w:rPr>
          <w:rFonts w:ascii="Arial" w:hAnsi="Arial" w:cs="Arial"/>
          <w:spacing w:val="-1"/>
          <w:sz w:val="20"/>
          <w:szCs w:val="20"/>
        </w:rPr>
        <w:t xml:space="preserve"> </w:t>
      </w:r>
      <w:r w:rsidRPr="00970766">
        <w:rPr>
          <w:rFonts w:ascii="Arial" w:hAnsi="Arial" w:cs="Arial"/>
          <w:sz w:val="20"/>
          <w:szCs w:val="20"/>
        </w:rPr>
        <w:t>la</w:t>
      </w:r>
      <w:r w:rsidRPr="00970766">
        <w:rPr>
          <w:rFonts w:ascii="Arial" w:hAnsi="Arial" w:cs="Arial"/>
          <w:spacing w:val="-2"/>
          <w:sz w:val="20"/>
          <w:szCs w:val="20"/>
        </w:rPr>
        <w:t xml:space="preserve"> </w:t>
      </w:r>
      <w:r w:rsidRPr="00970766">
        <w:rPr>
          <w:rFonts w:ascii="Arial" w:hAnsi="Arial" w:cs="Arial"/>
          <w:sz w:val="20"/>
          <w:szCs w:val="20"/>
        </w:rPr>
        <w:t>fin de</w:t>
      </w:r>
      <w:r w:rsidRPr="00970766">
        <w:rPr>
          <w:rFonts w:ascii="Arial" w:hAnsi="Arial" w:cs="Arial"/>
          <w:spacing w:val="-1"/>
          <w:sz w:val="20"/>
          <w:szCs w:val="20"/>
        </w:rPr>
        <w:t xml:space="preserve"> </w:t>
      </w:r>
      <w:r w:rsidRPr="00970766">
        <w:rPr>
          <w:rFonts w:ascii="Arial" w:hAnsi="Arial" w:cs="Arial"/>
          <w:sz w:val="20"/>
          <w:szCs w:val="20"/>
        </w:rPr>
        <w:t>traitement</w:t>
      </w:r>
      <w:r w:rsidRPr="00970766">
        <w:rPr>
          <w:rFonts w:ascii="Arial" w:hAnsi="Arial" w:cs="Arial"/>
          <w:spacing w:val="-1"/>
          <w:sz w:val="20"/>
          <w:szCs w:val="20"/>
        </w:rPr>
        <w:t xml:space="preserve"> </w:t>
      </w:r>
      <w:r w:rsidRPr="00970766">
        <w:rPr>
          <w:rFonts w:ascii="Arial" w:hAnsi="Arial" w:cs="Arial"/>
          <w:sz w:val="20"/>
          <w:szCs w:val="20"/>
        </w:rPr>
        <w:t>du dernier</w:t>
      </w:r>
      <w:r w:rsidRPr="00970766">
        <w:rPr>
          <w:rFonts w:ascii="Arial" w:hAnsi="Arial" w:cs="Arial"/>
          <w:spacing w:val="-1"/>
          <w:sz w:val="20"/>
          <w:szCs w:val="20"/>
        </w:rPr>
        <w:t xml:space="preserve"> </w:t>
      </w:r>
      <w:r w:rsidRPr="00970766">
        <w:rPr>
          <w:rFonts w:ascii="Arial" w:hAnsi="Arial" w:cs="Arial"/>
          <w:sz w:val="20"/>
          <w:szCs w:val="20"/>
        </w:rPr>
        <w:t>patient</w:t>
      </w:r>
      <w:r w:rsidRPr="00970766">
        <w:rPr>
          <w:rFonts w:ascii="Arial" w:hAnsi="Arial" w:cs="Arial"/>
          <w:spacing w:val="-1"/>
          <w:sz w:val="20"/>
          <w:szCs w:val="20"/>
        </w:rPr>
        <w:t xml:space="preserve"> </w:t>
      </w:r>
      <w:r w:rsidRPr="00970766">
        <w:rPr>
          <w:rFonts w:ascii="Arial" w:hAnsi="Arial" w:cs="Arial"/>
          <w:sz w:val="20"/>
          <w:szCs w:val="20"/>
        </w:rPr>
        <w:t>inclus dans</w:t>
      </w:r>
      <w:r w:rsidRPr="00970766">
        <w:rPr>
          <w:rFonts w:ascii="Arial" w:hAnsi="Arial" w:cs="Arial"/>
          <w:spacing w:val="-1"/>
          <w:sz w:val="20"/>
          <w:szCs w:val="20"/>
        </w:rPr>
        <w:t xml:space="preserve"> </w:t>
      </w:r>
      <w:r w:rsidRPr="00970766">
        <w:rPr>
          <w:rFonts w:ascii="Arial" w:hAnsi="Arial" w:cs="Arial"/>
          <w:sz w:val="20"/>
          <w:szCs w:val="20"/>
        </w:rPr>
        <w:t>le</w:t>
      </w:r>
      <w:r w:rsidRPr="00970766">
        <w:rPr>
          <w:rFonts w:ascii="Arial" w:hAnsi="Arial" w:cs="Arial"/>
          <w:spacing w:val="-1"/>
          <w:sz w:val="20"/>
          <w:szCs w:val="20"/>
        </w:rPr>
        <w:t xml:space="preserve"> </w:t>
      </w:r>
      <w:r w:rsidRPr="00970766">
        <w:rPr>
          <w:rFonts w:ascii="Arial" w:hAnsi="Arial" w:cs="Arial"/>
          <w:sz w:val="20"/>
          <w:szCs w:val="20"/>
        </w:rPr>
        <w:t>CPC.</w:t>
      </w:r>
    </w:p>
    <w:p w14:paraId="710D6225" w14:textId="77777777" w:rsidR="0056441E" w:rsidRPr="00970766" w:rsidRDefault="0056441E" w:rsidP="003A3FC4">
      <w:pPr>
        <w:pStyle w:val="Corpsdetexte"/>
        <w:rPr>
          <w:rFonts w:ascii="Arial" w:hAnsi="Arial" w:cs="Arial"/>
          <w:sz w:val="20"/>
          <w:szCs w:val="20"/>
        </w:rPr>
      </w:pPr>
    </w:p>
    <w:p w14:paraId="297B2738" w14:textId="77777777" w:rsidR="006E52FB" w:rsidRDefault="005E6173" w:rsidP="000E6B26">
      <w:pPr>
        <w:pStyle w:val="Corpsdetexte"/>
        <w:jc w:val="both"/>
        <w:rPr>
          <w:rStyle w:val="Lienhypertexte"/>
          <w:rFonts w:ascii="Arial" w:hAnsi="Arial" w:cs="Arial"/>
          <w:sz w:val="20"/>
          <w:szCs w:val="20"/>
        </w:rPr>
      </w:pPr>
      <w:r w:rsidRPr="00970766">
        <w:rPr>
          <w:rFonts w:ascii="Arial" w:hAnsi="Arial" w:cs="Arial"/>
          <w:sz w:val="20"/>
          <w:szCs w:val="20"/>
        </w:rPr>
        <w:t>Les</w:t>
      </w:r>
      <w:r w:rsidRPr="00970766">
        <w:rPr>
          <w:rFonts w:ascii="Arial" w:hAnsi="Arial" w:cs="Arial"/>
          <w:spacing w:val="-2"/>
          <w:sz w:val="20"/>
          <w:szCs w:val="20"/>
        </w:rPr>
        <w:t xml:space="preserve"> </w:t>
      </w:r>
      <w:r w:rsidR="0056441E" w:rsidRPr="00970766">
        <w:rPr>
          <w:rFonts w:ascii="Arial" w:hAnsi="Arial" w:cs="Arial"/>
          <w:sz w:val="20"/>
          <w:szCs w:val="20"/>
        </w:rPr>
        <w:t>résumé</w:t>
      </w:r>
      <w:r w:rsidRPr="00970766">
        <w:rPr>
          <w:rFonts w:ascii="Arial" w:hAnsi="Arial" w:cs="Arial"/>
          <w:sz w:val="20"/>
          <w:szCs w:val="20"/>
        </w:rPr>
        <w:t>s</w:t>
      </w:r>
      <w:r w:rsidR="0056441E" w:rsidRPr="00970766">
        <w:rPr>
          <w:rFonts w:ascii="Arial" w:hAnsi="Arial" w:cs="Arial"/>
          <w:spacing w:val="-2"/>
          <w:sz w:val="20"/>
          <w:szCs w:val="20"/>
        </w:rPr>
        <w:t xml:space="preserve"> </w:t>
      </w:r>
      <w:r w:rsidR="0056441E" w:rsidRPr="00970766">
        <w:rPr>
          <w:rFonts w:ascii="Arial" w:hAnsi="Arial" w:cs="Arial"/>
          <w:sz w:val="20"/>
          <w:szCs w:val="20"/>
        </w:rPr>
        <w:t>de</w:t>
      </w:r>
      <w:r w:rsidR="0056441E" w:rsidRPr="00970766">
        <w:rPr>
          <w:rFonts w:ascii="Arial" w:hAnsi="Arial" w:cs="Arial"/>
          <w:spacing w:val="-1"/>
          <w:sz w:val="20"/>
          <w:szCs w:val="20"/>
        </w:rPr>
        <w:t xml:space="preserve"> </w:t>
      </w:r>
      <w:r w:rsidR="0056441E" w:rsidRPr="00970766">
        <w:rPr>
          <w:rFonts w:ascii="Arial" w:hAnsi="Arial" w:cs="Arial"/>
          <w:sz w:val="20"/>
          <w:szCs w:val="20"/>
        </w:rPr>
        <w:t>ces</w:t>
      </w:r>
      <w:r w:rsidR="0056441E" w:rsidRPr="00970766">
        <w:rPr>
          <w:rFonts w:ascii="Arial" w:hAnsi="Arial" w:cs="Arial"/>
          <w:spacing w:val="-1"/>
          <w:sz w:val="20"/>
          <w:szCs w:val="20"/>
        </w:rPr>
        <w:t xml:space="preserve"> </w:t>
      </w:r>
      <w:r w:rsidR="0056441E" w:rsidRPr="00970766">
        <w:rPr>
          <w:rFonts w:ascii="Arial" w:hAnsi="Arial" w:cs="Arial"/>
          <w:sz w:val="20"/>
          <w:szCs w:val="20"/>
        </w:rPr>
        <w:t>rapports</w:t>
      </w:r>
      <w:r w:rsidR="009A5A2F" w:rsidRPr="00970766">
        <w:rPr>
          <w:rFonts w:ascii="Arial" w:hAnsi="Arial" w:cs="Arial"/>
          <w:sz w:val="20"/>
          <w:szCs w:val="20"/>
        </w:rPr>
        <w:t xml:space="preserve"> validés par l’ANSM sont publiés </w:t>
      </w:r>
      <w:r w:rsidR="0056441E" w:rsidRPr="00970766">
        <w:rPr>
          <w:rFonts w:ascii="Arial" w:hAnsi="Arial" w:cs="Arial"/>
          <w:sz w:val="20"/>
          <w:szCs w:val="20"/>
        </w:rPr>
        <w:t>sur</w:t>
      </w:r>
      <w:r w:rsidR="0056441E" w:rsidRPr="00970766">
        <w:rPr>
          <w:rFonts w:ascii="Arial" w:hAnsi="Arial" w:cs="Arial"/>
          <w:spacing w:val="-2"/>
          <w:sz w:val="20"/>
          <w:szCs w:val="20"/>
        </w:rPr>
        <w:t xml:space="preserve"> </w:t>
      </w:r>
      <w:r w:rsidR="0056441E" w:rsidRPr="00970766">
        <w:rPr>
          <w:rFonts w:ascii="Arial" w:hAnsi="Arial" w:cs="Arial"/>
          <w:sz w:val="20"/>
          <w:szCs w:val="20"/>
        </w:rPr>
        <w:t>son</w:t>
      </w:r>
      <w:r w:rsidR="0056441E" w:rsidRPr="00970766">
        <w:rPr>
          <w:rFonts w:ascii="Arial" w:hAnsi="Arial" w:cs="Arial"/>
          <w:spacing w:val="-2"/>
          <w:sz w:val="20"/>
          <w:szCs w:val="20"/>
        </w:rPr>
        <w:t xml:space="preserve"> </w:t>
      </w:r>
      <w:r w:rsidR="0056441E" w:rsidRPr="00970766">
        <w:rPr>
          <w:rFonts w:ascii="Arial" w:hAnsi="Arial" w:cs="Arial"/>
          <w:sz w:val="20"/>
          <w:szCs w:val="20"/>
        </w:rPr>
        <w:t>site Internet</w:t>
      </w:r>
      <w:r w:rsidR="0056441E" w:rsidRPr="00970766">
        <w:rPr>
          <w:rFonts w:ascii="Arial" w:hAnsi="Arial" w:cs="Arial"/>
          <w:spacing w:val="-2"/>
          <w:sz w:val="20"/>
          <w:szCs w:val="20"/>
        </w:rPr>
        <w:t xml:space="preserve"> </w:t>
      </w:r>
      <w:r w:rsidR="0056441E" w:rsidRPr="00970766">
        <w:rPr>
          <w:rFonts w:ascii="Arial" w:hAnsi="Arial" w:cs="Arial"/>
          <w:sz w:val="20"/>
          <w:szCs w:val="20"/>
        </w:rPr>
        <w:t>:</w:t>
      </w:r>
      <w:r w:rsidR="0056441E" w:rsidRPr="00970766">
        <w:rPr>
          <w:rFonts w:ascii="Arial" w:hAnsi="Arial" w:cs="Arial"/>
          <w:spacing w:val="-1"/>
          <w:sz w:val="20"/>
          <w:szCs w:val="20"/>
        </w:rPr>
        <w:t xml:space="preserve"> </w:t>
      </w:r>
      <w:hyperlink r:id="rId83" w:history="1">
        <w:r w:rsidR="000E6B26" w:rsidRPr="007950C2">
          <w:rPr>
            <w:rStyle w:val="Lienhypertexte"/>
            <w:rFonts w:ascii="Arial" w:hAnsi="Arial" w:cs="Arial"/>
            <w:sz w:val="20"/>
            <w:szCs w:val="20"/>
          </w:rPr>
          <w:t>www.ansm.sante.fr.</w:t>
        </w:r>
      </w:hyperlink>
    </w:p>
    <w:p w14:paraId="1233FF58" w14:textId="77777777" w:rsidR="007C1D01" w:rsidRDefault="007C1D01" w:rsidP="000E6B26">
      <w:pPr>
        <w:pStyle w:val="Corpsdetexte"/>
        <w:jc w:val="both"/>
        <w:rPr>
          <w:rStyle w:val="Lienhypertexte"/>
          <w:rFonts w:ascii="Arial" w:hAnsi="Arial" w:cs="Arial"/>
          <w:sz w:val="20"/>
          <w:szCs w:val="20"/>
        </w:rPr>
      </w:pPr>
    </w:p>
    <w:p w14:paraId="6FD77F40" w14:textId="77777777" w:rsidR="007C1D01" w:rsidRDefault="007C1D01" w:rsidP="000E6B26">
      <w:pPr>
        <w:pStyle w:val="Corpsdetexte"/>
        <w:jc w:val="both"/>
        <w:rPr>
          <w:rStyle w:val="Lienhypertexte"/>
          <w:rFonts w:ascii="Arial" w:hAnsi="Arial" w:cs="Arial"/>
          <w:sz w:val="20"/>
          <w:szCs w:val="20"/>
        </w:rPr>
      </w:pPr>
    </w:p>
    <w:p w14:paraId="3939A180" w14:textId="77777777" w:rsidR="007C1D01" w:rsidRDefault="007C1D01" w:rsidP="000E6B26">
      <w:pPr>
        <w:pStyle w:val="Corpsdetexte"/>
        <w:jc w:val="both"/>
        <w:rPr>
          <w:rStyle w:val="Lienhypertexte"/>
          <w:rFonts w:ascii="Arial" w:hAnsi="Arial" w:cs="Arial"/>
          <w:sz w:val="20"/>
          <w:szCs w:val="20"/>
        </w:rPr>
      </w:pPr>
    </w:p>
    <w:p w14:paraId="72F59106" w14:textId="77777777" w:rsidR="007C1D01" w:rsidRDefault="007C1D01" w:rsidP="000E6B26">
      <w:pPr>
        <w:pStyle w:val="Corpsdetexte"/>
        <w:jc w:val="both"/>
        <w:rPr>
          <w:rStyle w:val="Lienhypertexte"/>
          <w:rFonts w:ascii="Arial" w:hAnsi="Arial" w:cs="Arial"/>
          <w:sz w:val="20"/>
          <w:szCs w:val="20"/>
        </w:rPr>
      </w:pPr>
    </w:p>
    <w:p w14:paraId="51C9981A" w14:textId="77777777" w:rsidR="007C1D01" w:rsidRDefault="007C1D01" w:rsidP="000E6B26">
      <w:pPr>
        <w:pStyle w:val="Corpsdetexte"/>
        <w:jc w:val="both"/>
        <w:rPr>
          <w:rStyle w:val="Lienhypertexte"/>
          <w:rFonts w:ascii="Arial" w:hAnsi="Arial" w:cs="Arial"/>
          <w:sz w:val="20"/>
          <w:szCs w:val="20"/>
        </w:rPr>
      </w:pPr>
    </w:p>
    <w:p w14:paraId="3DDD0047" w14:textId="77777777" w:rsidR="007C1D01" w:rsidRDefault="007C1D01" w:rsidP="000E6B26">
      <w:pPr>
        <w:pStyle w:val="Corpsdetexte"/>
        <w:jc w:val="both"/>
        <w:rPr>
          <w:rStyle w:val="Lienhypertexte"/>
          <w:rFonts w:ascii="Arial" w:hAnsi="Arial" w:cs="Arial"/>
          <w:sz w:val="20"/>
          <w:szCs w:val="20"/>
        </w:rPr>
      </w:pPr>
    </w:p>
    <w:p w14:paraId="62606DAC" w14:textId="77777777" w:rsidR="007C1D01" w:rsidRDefault="007C1D01" w:rsidP="000E6B26">
      <w:pPr>
        <w:pStyle w:val="Corpsdetexte"/>
        <w:jc w:val="both"/>
        <w:rPr>
          <w:rStyle w:val="Lienhypertexte"/>
          <w:rFonts w:ascii="Arial" w:hAnsi="Arial" w:cs="Arial"/>
          <w:sz w:val="20"/>
          <w:szCs w:val="20"/>
        </w:rPr>
      </w:pPr>
    </w:p>
    <w:p w14:paraId="285C3D12" w14:textId="77777777" w:rsidR="007C1D01" w:rsidRDefault="007C1D01" w:rsidP="000E6B26">
      <w:pPr>
        <w:pStyle w:val="Corpsdetexte"/>
        <w:jc w:val="both"/>
        <w:rPr>
          <w:rStyle w:val="Lienhypertexte"/>
          <w:rFonts w:ascii="Arial" w:hAnsi="Arial" w:cs="Arial"/>
          <w:sz w:val="20"/>
          <w:szCs w:val="20"/>
        </w:rPr>
      </w:pPr>
    </w:p>
    <w:p w14:paraId="759FB05B" w14:textId="77777777" w:rsidR="007C1D01" w:rsidRDefault="007C1D01" w:rsidP="000E6B26">
      <w:pPr>
        <w:pStyle w:val="Corpsdetexte"/>
        <w:jc w:val="both"/>
        <w:rPr>
          <w:rStyle w:val="Lienhypertexte"/>
          <w:rFonts w:ascii="Arial" w:hAnsi="Arial" w:cs="Arial"/>
          <w:sz w:val="20"/>
          <w:szCs w:val="20"/>
        </w:rPr>
      </w:pPr>
    </w:p>
    <w:p w14:paraId="0A3D8494" w14:textId="77777777" w:rsidR="007C1D01" w:rsidRDefault="007C1D01" w:rsidP="000E6B26">
      <w:pPr>
        <w:pStyle w:val="Corpsdetexte"/>
        <w:jc w:val="both"/>
        <w:rPr>
          <w:rStyle w:val="Lienhypertexte"/>
          <w:rFonts w:ascii="Arial" w:hAnsi="Arial" w:cs="Arial"/>
          <w:sz w:val="20"/>
          <w:szCs w:val="20"/>
        </w:rPr>
      </w:pPr>
    </w:p>
    <w:p w14:paraId="7513DC6E" w14:textId="77777777" w:rsidR="007C1D01" w:rsidRDefault="007C1D01" w:rsidP="000E6B26">
      <w:pPr>
        <w:pStyle w:val="Corpsdetexte"/>
        <w:jc w:val="both"/>
        <w:rPr>
          <w:rStyle w:val="Lienhypertexte"/>
          <w:rFonts w:ascii="Arial" w:hAnsi="Arial" w:cs="Arial"/>
          <w:sz w:val="20"/>
          <w:szCs w:val="20"/>
        </w:rPr>
      </w:pPr>
    </w:p>
    <w:p w14:paraId="1FD953F6" w14:textId="77777777" w:rsidR="005C14E1" w:rsidRPr="000E6B26" w:rsidRDefault="005C14E1" w:rsidP="000E6B26">
      <w:pPr>
        <w:pStyle w:val="Corpsdetexte"/>
        <w:jc w:val="both"/>
        <w:rPr>
          <w:rFonts w:ascii="Arial" w:hAnsi="Arial" w:cs="Arial"/>
          <w:sz w:val="20"/>
          <w:szCs w:val="20"/>
        </w:rPr>
      </w:pPr>
    </w:p>
    <w:sectPr w:rsidR="005C14E1" w:rsidRPr="000E6B26">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B2CD41" w16cid:durableId="708F228A"/>
  <w16cid:commentId w16cid:paraId="6D2D7D00" w16cid:durableId="0B0241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9235D" w14:textId="77777777" w:rsidR="005A4373" w:rsidRDefault="005A4373" w:rsidP="003239F9">
      <w:pPr>
        <w:spacing w:after="0" w:line="240" w:lineRule="auto"/>
      </w:pPr>
      <w:r>
        <w:separator/>
      </w:r>
    </w:p>
  </w:endnote>
  <w:endnote w:type="continuationSeparator" w:id="0">
    <w:p w14:paraId="5DAC7962" w14:textId="77777777" w:rsidR="005A4373" w:rsidRDefault="005A4373" w:rsidP="003239F9">
      <w:pPr>
        <w:spacing w:after="0" w:line="240" w:lineRule="auto"/>
      </w:pPr>
      <w:r>
        <w:continuationSeparator/>
      </w:r>
    </w:p>
  </w:endnote>
  <w:endnote w:type="continuationNotice" w:id="1">
    <w:p w14:paraId="34B89544" w14:textId="77777777" w:rsidR="005A4373" w:rsidRDefault="005A4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Gras">
    <w:panose1 w:val="020B0704020202020204"/>
    <w:charset w:val="00"/>
    <w:family w:val="swiss"/>
    <w:pitch w:val="default"/>
  </w:font>
  <w:font w:name="Arial">
    <w:panose1 w:val="020B0604020202020204"/>
    <w:charset w:val="00"/>
    <w:family w:val="swiss"/>
    <w:pitch w:val="variable"/>
    <w:sig w:usb0="E0002EFF" w:usb1="C000785B" w:usb2="00000009" w:usb3="00000000" w:csb0="000001FF" w:csb1="00000000"/>
  </w:font>
  <w:font w:name="&quot;Arial&quot;,sans-serif">
    <w:altName w:val="Cambria"/>
    <w:panose1 w:val="00000000000000000000"/>
    <w:charset w:val="00"/>
    <w:family w:val="roman"/>
    <w:notTrueType/>
    <w:pitch w:val="default"/>
  </w:font>
  <w:font w:name="Arial Nova Cond">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ago">
    <w:altName w:val="Times New Roman"/>
    <w:charset w:val="00"/>
    <w:family w:val="auto"/>
    <w:pitch w:val="variable"/>
    <w:sig w:usb0="A00002AF" w:usb1="500020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HelveticaNeueLT Std Lt">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354559744"/>
      <w:docPartObj>
        <w:docPartGallery w:val="Page Numbers (Bottom of Page)"/>
        <w:docPartUnique/>
      </w:docPartObj>
    </w:sdtPr>
    <w:sdtEndPr/>
    <w:sdtContent>
      <w:sdt>
        <w:sdtPr>
          <w:rPr>
            <w:sz w:val="18"/>
            <w:szCs w:val="18"/>
          </w:rPr>
          <w:id w:val="-1109502653"/>
          <w:docPartObj>
            <w:docPartGallery w:val="Page Numbers (Top of Page)"/>
            <w:docPartUnique/>
          </w:docPartObj>
        </w:sdtPr>
        <w:sdtEndPr/>
        <w:sdtContent>
          <w:p w14:paraId="578AB075" w14:textId="77777777" w:rsidR="005A4373" w:rsidRPr="003239F9" w:rsidRDefault="005A4373">
            <w:pPr>
              <w:pStyle w:val="Pieddepage"/>
              <w:jc w:val="right"/>
              <w:rPr>
                <w:sz w:val="18"/>
                <w:szCs w:val="18"/>
              </w:rPr>
            </w:pPr>
            <w:r w:rsidRPr="003239F9">
              <w:rPr>
                <w:sz w:val="18"/>
                <w:szCs w:val="18"/>
              </w:rPr>
              <w:t xml:space="preserve">Page </w:t>
            </w:r>
            <w:r w:rsidRPr="003239F9">
              <w:rPr>
                <w:bCs/>
                <w:sz w:val="18"/>
                <w:szCs w:val="18"/>
              </w:rPr>
              <w:fldChar w:fldCharType="begin"/>
            </w:r>
            <w:r w:rsidRPr="003239F9">
              <w:rPr>
                <w:bCs/>
                <w:sz w:val="18"/>
                <w:szCs w:val="18"/>
              </w:rPr>
              <w:instrText>PAGE</w:instrText>
            </w:r>
            <w:r w:rsidRPr="003239F9">
              <w:rPr>
                <w:bCs/>
                <w:sz w:val="18"/>
                <w:szCs w:val="18"/>
              </w:rPr>
              <w:fldChar w:fldCharType="separate"/>
            </w:r>
            <w:r w:rsidR="0086781B">
              <w:rPr>
                <w:bCs/>
                <w:noProof/>
                <w:sz w:val="18"/>
                <w:szCs w:val="18"/>
              </w:rPr>
              <w:t>2</w:t>
            </w:r>
            <w:r w:rsidRPr="003239F9">
              <w:rPr>
                <w:bCs/>
                <w:sz w:val="18"/>
                <w:szCs w:val="18"/>
              </w:rPr>
              <w:fldChar w:fldCharType="end"/>
            </w:r>
            <w:r w:rsidRPr="003239F9">
              <w:rPr>
                <w:sz w:val="18"/>
                <w:szCs w:val="18"/>
              </w:rPr>
              <w:t xml:space="preserve"> sur </w:t>
            </w:r>
            <w:r w:rsidRPr="003239F9">
              <w:rPr>
                <w:bCs/>
                <w:sz w:val="18"/>
                <w:szCs w:val="18"/>
              </w:rPr>
              <w:fldChar w:fldCharType="begin"/>
            </w:r>
            <w:r w:rsidRPr="003239F9">
              <w:rPr>
                <w:bCs/>
                <w:sz w:val="18"/>
                <w:szCs w:val="18"/>
              </w:rPr>
              <w:instrText>NUMPAGES</w:instrText>
            </w:r>
            <w:r w:rsidRPr="003239F9">
              <w:rPr>
                <w:bCs/>
                <w:sz w:val="18"/>
                <w:szCs w:val="18"/>
              </w:rPr>
              <w:fldChar w:fldCharType="separate"/>
            </w:r>
            <w:r w:rsidR="0086781B">
              <w:rPr>
                <w:bCs/>
                <w:noProof/>
                <w:sz w:val="18"/>
                <w:szCs w:val="18"/>
              </w:rPr>
              <w:t>48</w:t>
            </w:r>
            <w:r w:rsidRPr="003239F9">
              <w:rPr>
                <w:bCs/>
                <w:sz w:val="18"/>
                <w:szCs w:val="18"/>
              </w:rPr>
              <w:fldChar w:fldCharType="end"/>
            </w:r>
          </w:p>
        </w:sdtContent>
      </w:sdt>
    </w:sdtContent>
  </w:sdt>
  <w:p w14:paraId="7EA06F30" w14:textId="77777777" w:rsidR="005A4373" w:rsidRDefault="005A437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2666B" w14:textId="77777777" w:rsidR="005A4373" w:rsidRDefault="005A4373" w:rsidP="003239F9">
      <w:pPr>
        <w:spacing w:after="0" w:line="240" w:lineRule="auto"/>
      </w:pPr>
      <w:r>
        <w:separator/>
      </w:r>
    </w:p>
  </w:footnote>
  <w:footnote w:type="continuationSeparator" w:id="0">
    <w:p w14:paraId="436F61D8" w14:textId="77777777" w:rsidR="005A4373" w:rsidRDefault="005A4373" w:rsidP="003239F9">
      <w:pPr>
        <w:spacing w:after="0" w:line="240" w:lineRule="auto"/>
      </w:pPr>
      <w:r>
        <w:continuationSeparator/>
      </w:r>
    </w:p>
  </w:footnote>
  <w:footnote w:type="continuationNotice" w:id="1">
    <w:p w14:paraId="3A87A4A9" w14:textId="77777777" w:rsidR="005A4373" w:rsidRDefault="005A437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56E69"/>
    <w:multiLevelType w:val="hybridMultilevel"/>
    <w:tmpl w:val="24507726"/>
    <w:lvl w:ilvl="0" w:tplc="EFD2DD0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AB6627"/>
    <w:multiLevelType w:val="hybridMultilevel"/>
    <w:tmpl w:val="52A4CE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E45CCC"/>
    <w:multiLevelType w:val="multilevel"/>
    <w:tmpl w:val="545812AE"/>
    <w:lvl w:ilvl="0">
      <w:start w:val="1"/>
      <w:numFmt w:val="bullet"/>
      <w:lvlText w:val="‒"/>
      <w:lvlJc w:val="left"/>
      <w:pPr>
        <w:ind w:left="680" w:hanging="362"/>
      </w:pPr>
      <w:rPr>
        <w:rFonts w:ascii="Arial Gras" w:hAnsi="Arial Gra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861102"/>
    <w:multiLevelType w:val="hybridMultilevel"/>
    <w:tmpl w:val="60DE7B98"/>
    <w:lvl w:ilvl="0" w:tplc="3B3E2156">
      <w:start w:val="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9A75BA"/>
    <w:multiLevelType w:val="hybridMultilevel"/>
    <w:tmpl w:val="4E28B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96DC4"/>
    <w:multiLevelType w:val="hybridMultilevel"/>
    <w:tmpl w:val="3AFC64E6"/>
    <w:lvl w:ilvl="0" w:tplc="B4525BCE">
      <w:start w:val="1"/>
      <w:numFmt w:val="bullet"/>
      <w:lvlText w:val=""/>
      <w:lvlJc w:val="left"/>
      <w:pPr>
        <w:ind w:left="2402" w:hanging="360"/>
      </w:pPr>
      <w:rPr>
        <w:rFonts w:ascii="Wingdings" w:hAnsi="Wingdings" w:hint="default"/>
      </w:rPr>
    </w:lvl>
    <w:lvl w:ilvl="1" w:tplc="040C0003" w:tentative="1">
      <w:start w:val="1"/>
      <w:numFmt w:val="bullet"/>
      <w:lvlText w:val="o"/>
      <w:lvlJc w:val="left"/>
      <w:pPr>
        <w:ind w:left="3122" w:hanging="360"/>
      </w:pPr>
      <w:rPr>
        <w:rFonts w:ascii="Courier New" w:hAnsi="Courier New" w:cs="Courier New" w:hint="default"/>
      </w:rPr>
    </w:lvl>
    <w:lvl w:ilvl="2" w:tplc="040C0005" w:tentative="1">
      <w:start w:val="1"/>
      <w:numFmt w:val="bullet"/>
      <w:lvlText w:val=""/>
      <w:lvlJc w:val="left"/>
      <w:pPr>
        <w:ind w:left="3842" w:hanging="360"/>
      </w:pPr>
      <w:rPr>
        <w:rFonts w:ascii="Wingdings" w:hAnsi="Wingdings" w:hint="default"/>
      </w:rPr>
    </w:lvl>
    <w:lvl w:ilvl="3" w:tplc="040C0001" w:tentative="1">
      <w:start w:val="1"/>
      <w:numFmt w:val="bullet"/>
      <w:lvlText w:val=""/>
      <w:lvlJc w:val="left"/>
      <w:pPr>
        <w:ind w:left="4562" w:hanging="360"/>
      </w:pPr>
      <w:rPr>
        <w:rFonts w:ascii="Symbol" w:hAnsi="Symbol" w:hint="default"/>
      </w:rPr>
    </w:lvl>
    <w:lvl w:ilvl="4" w:tplc="040C0003" w:tentative="1">
      <w:start w:val="1"/>
      <w:numFmt w:val="bullet"/>
      <w:lvlText w:val="o"/>
      <w:lvlJc w:val="left"/>
      <w:pPr>
        <w:ind w:left="5282" w:hanging="360"/>
      </w:pPr>
      <w:rPr>
        <w:rFonts w:ascii="Courier New" w:hAnsi="Courier New" w:cs="Courier New" w:hint="default"/>
      </w:rPr>
    </w:lvl>
    <w:lvl w:ilvl="5" w:tplc="040C0005" w:tentative="1">
      <w:start w:val="1"/>
      <w:numFmt w:val="bullet"/>
      <w:lvlText w:val=""/>
      <w:lvlJc w:val="left"/>
      <w:pPr>
        <w:ind w:left="6002" w:hanging="360"/>
      </w:pPr>
      <w:rPr>
        <w:rFonts w:ascii="Wingdings" w:hAnsi="Wingdings" w:hint="default"/>
      </w:rPr>
    </w:lvl>
    <w:lvl w:ilvl="6" w:tplc="040C0001" w:tentative="1">
      <w:start w:val="1"/>
      <w:numFmt w:val="bullet"/>
      <w:lvlText w:val=""/>
      <w:lvlJc w:val="left"/>
      <w:pPr>
        <w:ind w:left="6722" w:hanging="360"/>
      </w:pPr>
      <w:rPr>
        <w:rFonts w:ascii="Symbol" w:hAnsi="Symbol" w:hint="default"/>
      </w:rPr>
    </w:lvl>
    <w:lvl w:ilvl="7" w:tplc="040C0003" w:tentative="1">
      <w:start w:val="1"/>
      <w:numFmt w:val="bullet"/>
      <w:lvlText w:val="o"/>
      <w:lvlJc w:val="left"/>
      <w:pPr>
        <w:ind w:left="7442" w:hanging="360"/>
      </w:pPr>
      <w:rPr>
        <w:rFonts w:ascii="Courier New" w:hAnsi="Courier New" w:cs="Courier New" w:hint="default"/>
      </w:rPr>
    </w:lvl>
    <w:lvl w:ilvl="8" w:tplc="040C0005" w:tentative="1">
      <w:start w:val="1"/>
      <w:numFmt w:val="bullet"/>
      <w:lvlText w:val=""/>
      <w:lvlJc w:val="left"/>
      <w:pPr>
        <w:ind w:left="8162" w:hanging="360"/>
      </w:pPr>
      <w:rPr>
        <w:rFonts w:ascii="Wingdings" w:hAnsi="Wingdings" w:hint="default"/>
      </w:rPr>
    </w:lvl>
  </w:abstractNum>
  <w:abstractNum w:abstractNumId="6" w15:restartNumberingAfterBreak="0">
    <w:nsid w:val="11E24BC6"/>
    <w:multiLevelType w:val="hybridMultilevel"/>
    <w:tmpl w:val="3F88BEEC"/>
    <w:lvl w:ilvl="0" w:tplc="DF28BED4">
      <w:numFmt w:val="bullet"/>
      <w:lvlText w:val="-"/>
      <w:lvlJc w:val="left"/>
      <w:pPr>
        <w:ind w:left="956" w:hanging="348"/>
      </w:pPr>
      <w:rPr>
        <w:rFonts w:ascii="Times New Roman" w:eastAsia="Times New Roman" w:hAnsi="Times New Roman" w:cs="Times New Roman" w:hint="default"/>
        <w:w w:val="99"/>
        <w:sz w:val="24"/>
        <w:szCs w:val="24"/>
        <w:lang w:val="fr-FR" w:eastAsia="en-US" w:bidi="ar-SA"/>
      </w:rPr>
    </w:lvl>
    <w:lvl w:ilvl="1" w:tplc="82C436B0">
      <w:numFmt w:val="bullet"/>
      <w:lvlText w:val="•"/>
      <w:lvlJc w:val="left"/>
      <w:pPr>
        <w:ind w:left="1830" w:hanging="348"/>
      </w:pPr>
      <w:rPr>
        <w:rFonts w:hint="default"/>
        <w:lang w:val="fr-FR" w:eastAsia="en-US" w:bidi="ar-SA"/>
      </w:rPr>
    </w:lvl>
    <w:lvl w:ilvl="2" w:tplc="78B0823C">
      <w:numFmt w:val="bullet"/>
      <w:lvlText w:val="•"/>
      <w:lvlJc w:val="left"/>
      <w:pPr>
        <w:ind w:left="2700" w:hanging="348"/>
      </w:pPr>
      <w:rPr>
        <w:rFonts w:hint="default"/>
        <w:lang w:val="fr-FR" w:eastAsia="en-US" w:bidi="ar-SA"/>
      </w:rPr>
    </w:lvl>
    <w:lvl w:ilvl="3" w:tplc="9F9A722C">
      <w:numFmt w:val="bullet"/>
      <w:lvlText w:val="•"/>
      <w:lvlJc w:val="left"/>
      <w:pPr>
        <w:ind w:left="3570" w:hanging="348"/>
      </w:pPr>
      <w:rPr>
        <w:rFonts w:hint="default"/>
        <w:lang w:val="fr-FR" w:eastAsia="en-US" w:bidi="ar-SA"/>
      </w:rPr>
    </w:lvl>
    <w:lvl w:ilvl="4" w:tplc="62B8AF4E">
      <w:numFmt w:val="bullet"/>
      <w:lvlText w:val="•"/>
      <w:lvlJc w:val="left"/>
      <w:pPr>
        <w:ind w:left="4440" w:hanging="348"/>
      </w:pPr>
      <w:rPr>
        <w:rFonts w:hint="default"/>
        <w:lang w:val="fr-FR" w:eastAsia="en-US" w:bidi="ar-SA"/>
      </w:rPr>
    </w:lvl>
    <w:lvl w:ilvl="5" w:tplc="BD9A6BF6">
      <w:numFmt w:val="bullet"/>
      <w:lvlText w:val="•"/>
      <w:lvlJc w:val="left"/>
      <w:pPr>
        <w:ind w:left="5310" w:hanging="348"/>
      </w:pPr>
      <w:rPr>
        <w:rFonts w:hint="default"/>
        <w:lang w:val="fr-FR" w:eastAsia="en-US" w:bidi="ar-SA"/>
      </w:rPr>
    </w:lvl>
    <w:lvl w:ilvl="6" w:tplc="459A8C00">
      <w:numFmt w:val="bullet"/>
      <w:lvlText w:val="•"/>
      <w:lvlJc w:val="left"/>
      <w:pPr>
        <w:ind w:left="6180" w:hanging="348"/>
      </w:pPr>
      <w:rPr>
        <w:rFonts w:hint="default"/>
        <w:lang w:val="fr-FR" w:eastAsia="en-US" w:bidi="ar-SA"/>
      </w:rPr>
    </w:lvl>
    <w:lvl w:ilvl="7" w:tplc="80FCBF36">
      <w:numFmt w:val="bullet"/>
      <w:lvlText w:val="•"/>
      <w:lvlJc w:val="left"/>
      <w:pPr>
        <w:ind w:left="7050" w:hanging="348"/>
      </w:pPr>
      <w:rPr>
        <w:rFonts w:hint="default"/>
        <w:lang w:val="fr-FR" w:eastAsia="en-US" w:bidi="ar-SA"/>
      </w:rPr>
    </w:lvl>
    <w:lvl w:ilvl="8" w:tplc="FD287DFC">
      <w:numFmt w:val="bullet"/>
      <w:lvlText w:val="•"/>
      <w:lvlJc w:val="left"/>
      <w:pPr>
        <w:ind w:left="7920" w:hanging="348"/>
      </w:pPr>
      <w:rPr>
        <w:rFonts w:hint="default"/>
        <w:lang w:val="fr-FR" w:eastAsia="en-US" w:bidi="ar-SA"/>
      </w:rPr>
    </w:lvl>
  </w:abstractNum>
  <w:abstractNum w:abstractNumId="7" w15:restartNumberingAfterBreak="0">
    <w:nsid w:val="1AD17BAE"/>
    <w:multiLevelType w:val="hybridMultilevel"/>
    <w:tmpl w:val="350C993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E14275E"/>
    <w:multiLevelType w:val="hybridMultilevel"/>
    <w:tmpl w:val="E2B270B0"/>
    <w:lvl w:ilvl="0" w:tplc="A35A6240">
      <w:start w:val="1"/>
      <w:numFmt w:val="decimal"/>
      <w:lvlText w:val="%1."/>
      <w:lvlJc w:val="left"/>
      <w:pPr>
        <w:ind w:left="739" w:hanging="504"/>
      </w:pPr>
      <w:rPr>
        <w:rFonts w:ascii="Times New Roman" w:eastAsia="Times New Roman" w:hAnsi="Times New Roman" w:cs="Times New Roman" w:hint="default"/>
        <w:spacing w:val="0"/>
        <w:w w:val="99"/>
        <w:sz w:val="20"/>
        <w:szCs w:val="20"/>
        <w:lang w:val="fr-FR" w:eastAsia="en-US" w:bidi="ar-SA"/>
      </w:rPr>
    </w:lvl>
    <w:lvl w:ilvl="1" w:tplc="BCE419B2">
      <w:numFmt w:val="bullet"/>
      <w:lvlText w:val=""/>
      <w:lvlJc w:val="left"/>
      <w:pPr>
        <w:ind w:left="804" w:hanging="286"/>
      </w:pPr>
      <w:rPr>
        <w:rFonts w:ascii="Symbol" w:eastAsia="Symbol" w:hAnsi="Symbol" w:cs="Symbol" w:hint="default"/>
        <w:w w:val="99"/>
        <w:sz w:val="24"/>
        <w:szCs w:val="24"/>
        <w:lang w:val="fr-FR" w:eastAsia="en-US" w:bidi="ar-SA"/>
      </w:rPr>
    </w:lvl>
    <w:lvl w:ilvl="2" w:tplc="1D9E85C8">
      <w:numFmt w:val="bullet"/>
      <w:lvlText w:val="•"/>
      <w:lvlJc w:val="left"/>
      <w:pPr>
        <w:ind w:left="1784" w:hanging="286"/>
      </w:pPr>
      <w:rPr>
        <w:rFonts w:hint="default"/>
        <w:lang w:val="fr-FR" w:eastAsia="en-US" w:bidi="ar-SA"/>
      </w:rPr>
    </w:lvl>
    <w:lvl w:ilvl="3" w:tplc="AD8A014A">
      <w:numFmt w:val="bullet"/>
      <w:lvlText w:val="•"/>
      <w:lvlJc w:val="left"/>
      <w:pPr>
        <w:ind w:left="2768" w:hanging="286"/>
      </w:pPr>
      <w:rPr>
        <w:rFonts w:hint="default"/>
        <w:lang w:val="fr-FR" w:eastAsia="en-US" w:bidi="ar-SA"/>
      </w:rPr>
    </w:lvl>
    <w:lvl w:ilvl="4" w:tplc="D04A283C">
      <w:numFmt w:val="bullet"/>
      <w:lvlText w:val="•"/>
      <w:lvlJc w:val="left"/>
      <w:pPr>
        <w:ind w:left="3753" w:hanging="286"/>
      </w:pPr>
      <w:rPr>
        <w:rFonts w:hint="default"/>
        <w:lang w:val="fr-FR" w:eastAsia="en-US" w:bidi="ar-SA"/>
      </w:rPr>
    </w:lvl>
    <w:lvl w:ilvl="5" w:tplc="FE4086A8">
      <w:numFmt w:val="bullet"/>
      <w:lvlText w:val="•"/>
      <w:lvlJc w:val="left"/>
      <w:pPr>
        <w:ind w:left="4737" w:hanging="286"/>
      </w:pPr>
      <w:rPr>
        <w:rFonts w:hint="default"/>
        <w:lang w:val="fr-FR" w:eastAsia="en-US" w:bidi="ar-SA"/>
      </w:rPr>
    </w:lvl>
    <w:lvl w:ilvl="6" w:tplc="723CD4A8">
      <w:numFmt w:val="bullet"/>
      <w:lvlText w:val="•"/>
      <w:lvlJc w:val="left"/>
      <w:pPr>
        <w:ind w:left="5722" w:hanging="286"/>
      </w:pPr>
      <w:rPr>
        <w:rFonts w:hint="default"/>
        <w:lang w:val="fr-FR" w:eastAsia="en-US" w:bidi="ar-SA"/>
      </w:rPr>
    </w:lvl>
    <w:lvl w:ilvl="7" w:tplc="EC3EAF1A">
      <w:numFmt w:val="bullet"/>
      <w:lvlText w:val="•"/>
      <w:lvlJc w:val="left"/>
      <w:pPr>
        <w:ind w:left="6706" w:hanging="286"/>
      </w:pPr>
      <w:rPr>
        <w:rFonts w:hint="default"/>
        <w:lang w:val="fr-FR" w:eastAsia="en-US" w:bidi="ar-SA"/>
      </w:rPr>
    </w:lvl>
    <w:lvl w:ilvl="8" w:tplc="FD823022">
      <w:numFmt w:val="bullet"/>
      <w:lvlText w:val="•"/>
      <w:lvlJc w:val="left"/>
      <w:pPr>
        <w:ind w:left="7691" w:hanging="286"/>
      </w:pPr>
      <w:rPr>
        <w:rFonts w:hint="default"/>
        <w:lang w:val="fr-FR" w:eastAsia="en-US" w:bidi="ar-SA"/>
      </w:rPr>
    </w:lvl>
  </w:abstractNum>
  <w:abstractNum w:abstractNumId="9" w15:restartNumberingAfterBreak="0">
    <w:nsid w:val="280338E9"/>
    <w:multiLevelType w:val="multilevel"/>
    <w:tmpl w:val="ECB2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2D34FE"/>
    <w:multiLevelType w:val="hybridMultilevel"/>
    <w:tmpl w:val="475AD330"/>
    <w:lvl w:ilvl="0" w:tplc="040C0019">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2E2E481E"/>
    <w:multiLevelType w:val="hybridMultilevel"/>
    <w:tmpl w:val="93AA5A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9E5C7E"/>
    <w:multiLevelType w:val="hybridMultilevel"/>
    <w:tmpl w:val="48F06B60"/>
    <w:lvl w:ilvl="0" w:tplc="E2E029EC">
      <w:numFmt w:val="bullet"/>
      <w:lvlText w:val="o"/>
      <w:lvlJc w:val="left"/>
      <w:pPr>
        <w:ind w:left="689" w:hanging="358"/>
      </w:pPr>
      <w:rPr>
        <w:rFonts w:ascii="Courier New" w:eastAsia="Courier New" w:hAnsi="Courier New" w:cs="Courier New" w:hint="default"/>
        <w:w w:val="99"/>
        <w:sz w:val="24"/>
        <w:szCs w:val="24"/>
        <w:lang w:val="fr-FR" w:eastAsia="en-US" w:bidi="ar-SA"/>
      </w:rPr>
    </w:lvl>
    <w:lvl w:ilvl="1" w:tplc="9A86B5A2">
      <w:numFmt w:val="bullet"/>
      <w:lvlText w:val="•"/>
      <w:lvlJc w:val="left"/>
      <w:pPr>
        <w:ind w:left="1555" w:hanging="358"/>
      </w:pPr>
      <w:rPr>
        <w:rFonts w:hint="default"/>
        <w:lang w:val="fr-FR" w:eastAsia="en-US" w:bidi="ar-SA"/>
      </w:rPr>
    </w:lvl>
    <w:lvl w:ilvl="2" w:tplc="A988679E">
      <w:numFmt w:val="bullet"/>
      <w:lvlText w:val="•"/>
      <w:lvlJc w:val="left"/>
      <w:pPr>
        <w:ind w:left="2427" w:hanging="358"/>
      </w:pPr>
      <w:rPr>
        <w:rFonts w:hint="default"/>
        <w:lang w:val="fr-FR" w:eastAsia="en-US" w:bidi="ar-SA"/>
      </w:rPr>
    </w:lvl>
    <w:lvl w:ilvl="3" w:tplc="9B0C9434">
      <w:numFmt w:val="bullet"/>
      <w:lvlText w:val="•"/>
      <w:lvlJc w:val="left"/>
      <w:pPr>
        <w:ind w:left="3299" w:hanging="358"/>
      </w:pPr>
      <w:rPr>
        <w:rFonts w:hint="default"/>
        <w:lang w:val="fr-FR" w:eastAsia="en-US" w:bidi="ar-SA"/>
      </w:rPr>
    </w:lvl>
    <w:lvl w:ilvl="4" w:tplc="2970FAD2">
      <w:numFmt w:val="bullet"/>
      <w:lvlText w:val="•"/>
      <w:lvlJc w:val="left"/>
      <w:pPr>
        <w:ind w:left="4171" w:hanging="358"/>
      </w:pPr>
      <w:rPr>
        <w:rFonts w:hint="default"/>
        <w:lang w:val="fr-FR" w:eastAsia="en-US" w:bidi="ar-SA"/>
      </w:rPr>
    </w:lvl>
    <w:lvl w:ilvl="5" w:tplc="DE34FEB0">
      <w:numFmt w:val="bullet"/>
      <w:lvlText w:val="•"/>
      <w:lvlJc w:val="left"/>
      <w:pPr>
        <w:ind w:left="5043" w:hanging="358"/>
      </w:pPr>
      <w:rPr>
        <w:rFonts w:hint="default"/>
        <w:lang w:val="fr-FR" w:eastAsia="en-US" w:bidi="ar-SA"/>
      </w:rPr>
    </w:lvl>
    <w:lvl w:ilvl="6" w:tplc="6CECFA86">
      <w:numFmt w:val="bullet"/>
      <w:lvlText w:val="•"/>
      <w:lvlJc w:val="left"/>
      <w:pPr>
        <w:ind w:left="5915" w:hanging="358"/>
      </w:pPr>
      <w:rPr>
        <w:rFonts w:hint="default"/>
        <w:lang w:val="fr-FR" w:eastAsia="en-US" w:bidi="ar-SA"/>
      </w:rPr>
    </w:lvl>
    <w:lvl w:ilvl="7" w:tplc="6ED6AB6E">
      <w:numFmt w:val="bullet"/>
      <w:lvlText w:val="•"/>
      <w:lvlJc w:val="left"/>
      <w:pPr>
        <w:ind w:left="6787" w:hanging="358"/>
      </w:pPr>
      <w:rPr>
        <w:rFonts w:hint="default"/>
        <w:lang w:val="fr-FR" w:eastAsia="en-US" w:bidi="ar-SA"/>
      </w:rPr>
    </w:lvl>
    <w:lvl w:ilvl="8" w:tplc="28DABDCE">
      <w:numFmt w:val="bullet"/>
      <w:lvlText w:val="•"/>
      <w:lvlJc w:val="left"/>
      <w:pPr>
        <w:ind w:left="7659" w:hanging="358"/>
      </w:pPr>
      <w:rPr>
        <w:rFonts w:hint="default"/>
        <w:lang w:val="fr-FR" w:eastAsia="en-US" w:bidi="ar-SA"/>
      </w:rPr>
    </w:lvl>
  </w:abstractNum>
  <w:abstractNum w:abstractNumId="13" w15:restartNumberingAfterBreak="0">
    <w:nsid w:val="3814270B"/>
    <w:multiLevelType w:val="hybridMultilevel"/>
    <w:tmpl w:val="4E3CA696"/>
    <w:lvl w:ilvl="0" w:tplc="32EAC40A">
      <w:start w:val="1"/>
      <w:numFmt w:val="decimal"/>
      <w:lvlText w:val="%1."/>
      <w:lvlJc w:val="left"/>
      <w:pPr>
        <w:ind w:left="720" w:hanging="360"/>
      </w:pPr>
      <w:rPr>
        <w:b/>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BE87A05"/>
    <w:multiLevelType w:val="hybridMultilevel"/>
    <w:tmpl w:val="D15650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576751"/>
    <w:multiLevelType w:val="hybridMultilevel"/>
    <w:tmpl w:val="6A5A5E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B30FF2"/>
    <w:multiLevelType w:val="hybridMultilevel"/>
    <w:tmpl w:val="CD9A4BF2"/>
    <w:lvl w:ilvl="0" w:tplc="B330E002">
      <w:start w:val="1"/>
      <w:numFmt w:val="bullet"/>
      <w:lvlText w:val=""/>
      <w:lvlJc w:val="left"/>
      <w:pPr>
        <w:ind w:left="420" w:hanging="420"/>
      </w:pPr>
      <w:rPr>
        <w:rFonts w:ascii="Wingdings" w:hAnsi="Wingdings" w:hint="default"/>
      </w:rPr>
    </w:lvl>
    <w:lvl w:ilvl="1" w:tplc="31BEAAA8" w:tentative="1">
      <w:start w:val="1"/>
      <w:numFmt w:val="bullet"/>
      <w:lvlText w:val=""/>
      <w:lvlJc w:val="left"/>
      <w:pPr>
        <w:ind w:left="840" w:hanging="420"/>
      </w:pPr>
      <w:rPr>
        <w:rFonts w:ascii="Wingdings" w:hAnsi="Wingdings" w:hint="default"/>
      </w:rPr>
    </w:lvl>
    <w:lvl w:ilvl="2" w:tplc="9B185212" w:tentative="1">
      <w:start w:val="1"/>
      <w:numFmt w:val="bullet"/>
      <w:lvlText w:val=""/>
      <w:lvlJc w:val="left"/>
      <w:pPr>
        <w:ind w:left="1260" w:hanging="420"/>
      </w:pPr>
      <w:rPr>
        <w:rFonts w:ascii="Wingdings" w:hAnsi="Wingdings" w:hint="default"/>
      </w:rPr>
    </w:lvl>
    <w:lvl w:ilvl="3" w:tplc="000E955A" w:tentative="1">
      <w:start w:val="1"/>
      <w:numFmt w:val="bullet"/>
      <w:lvlText w:val=""/>
      <w:lvlJc w:val="left"/>
      <w:pPr>
        <w:ind w:left="1680" w:hanging="420"/>
      </w:pPr>
      <w:rPr>
        <w:rFonts w:ascii="Wingdings" w:hAnsi="Wingdings" w:hint="default"/>
      </w:rPr>
    </w:lvl>
    <w:lvl w:ilvl="4" w:tplc="355EB3EA" w:tentative="1">
      <w:start w:val="1"/>
      <w:numFmt w:val="bullet"/>
      <w:lvlText w:val=""/>
      <w:lvlJc w:val="left"/>
      <w:pPr>
        <w:ind w:left="2100" w:hanging="420"/>
      </w:pPr>
      <w:rPr>
        <w:rFonts w:ascii="Wingdings" w:hAnsi="Wingdings" w:hint="default"/>
      </w:rPr>
    </w:lvl>
    <w:lvl w:ilvl="5" w:tplc="8506A130" w:tentative="1">
      <w:start w:val="1"/>
      <w:numFmt w:val="bullet"/>
      <w:lvlText w:val=""/>
      <w:lvlJc w:val="left"/>
      <w:pPr>
        <w:ind w:left="2520" w:hanging="420"/>
      </w:pPr>
      <w:rPr>
        <w:rFonts w:ascii="Wingdings" w:hAnsi="Wingdings" w:hint="default"/>
      </w:rPr>
    </w:lvl>
    <w:lvl w:ilvl="6" w:tplc="48321E18" w:tentative="1">
      <w:start w:val="1"/>
      <w:numFmt w:val="bullet"/>
      <w:lvlText w:val=""/>
      <w:lvlJc w:val="left"/>
      <w:pPr>
        <w:ind w:left="2940" w:hanging="420"/>
      </w:pPr>
      <w:rPr>
        <w:rFonts w:ascii="Wingdings" w:hAnsi="Wingdings" w:hint="default"/>
      </w:rPr>
    </w:lvl>
    <w:lvl w:ilvl="7" w:tplc="FE84B4B4" w:tentative="1">
      <w:start w:val="1"/>
      <w:numFmt w:val="bullet"/>
      <w:lvlText w:val=""/>
      <w:lvlJc w:val="left"/>
      <w:pPr>
        <w:ind w:left="3360" w:hanging="420"/>
      </w:pPr>
      <w:rPr>
        <w:rFonts w:ascii="Wingdings" w:hAnsi="Wingdings" w:hint="default"/>
      </w:rPr>
    </w:lvl>
    <w:lvl w:ilvl="8" w:tplc="EAF07D80" w:tentative="1">
      <w:start w:val="1"/>
      <w:numFmt w:val="bullet"/>
      <w:lvlText w:val=""/>
      <w:lvlJc w:val="left"/>
      <w:pPr>
        <w:ind w:left="3780" w:hanging="420"/>
      </w:pPr>
      <w:rPr>
        <w:rFonts w:ascii="Wingdings" w:hAnsi="Wingdings" w:hint="default"/>
      </w:rPr>
    </w:lvl>
  </w:abstractNum>
  <w:abstractNum w:abstractNumId="17" w15:restartNumberingAfterBreak="0">
    <w:nsid w:val="4BB813E9"/>
    <w:multiLevelType w:val="multilevel"/>
    <w:tmpl w:val="0676321C"/>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2C9B21"/>
    <w:multiLevelType w:val="hybridMultilevel"/>
    <w:tmpl w:val="1F8C92CE"/>
    <w:lvl w:ilvl="0" w:tplc="773823E0">
      <w:start w:val="1"/>
      <w:numFmt w:val="bullet"/>
      <w:lvlText w:val=""/>
      <w:lvlJc w:val="left"/>
      <w:pPr>
        <w:ind w:left="720" w:hanging="360"/>
      </w:pPr>
      <w:rPr>
        <w:rFonts w:ascii="Symbol" w:hAnsi="Symbol" w:hint="default"/>
      </w:rPr>
    </w:lvl>
    <w:lvl w:ilvl="1" w:tplc="BFCA3E80">
      <w:start w:val="1"/>
      <w:numFmt w:val="bullet"/>
      <w:lvlText w:val="o"/>
      <w:lvlJc w:val="left"/>
      <w:pPr>
        <w:ind w:left="1440" w:hanging="360"/>
      </w:pPr>
      <w:rPr>
        <w:rFonts w:ascii="Courier New" w:hAnsi="Courier New" w:hint="default"/>
      </w:rPr>
    </w:lvl>
    <w:lvl w:ilvl="2" w:tplc="1B18AA70">
      <w:start w:val="1"/>
      <w:numFmt w:val="bullet"/>
      <w:lvlText w:val="-"/>
      <w:lvlJc w:val="left"/>
      <w:pPr>
        <w:ind w:left="2160" w:hanging="360"/>
      </w:pPr>
      <w:rPr>
        <w:rFonts w:ascii="&quot;Arial&quot;,sans-serif" w:hAnsi="&quot;Arial&quot;,sans-serif" w:hint="default"/>
      </w:rPr>
    </w:lvl>
    <w:lvl w:ilvl="3" w:tplc="26840310">
      <w:start w:val="1"/>
      <w:numFmt w:val="bullet"/>
      <w:lvlText w:val=""/>
      <w:lvlJc w:val="left"/>
      <w:pPr>
        <w:ind w:left="2880" w:hanging="360"/>
      </w:pPr>
      <w:rPr>
        <w:rFonts w:ascii="Symbol" w:hAnsi="Symbol" w:hint="default"/>
      </w:rPr>
    </w:lvl>
    <w:lvl w:ilvl="4" w:tplc="C184754A">
      <w:start w:val="1"/>
      <w:numFmt w:val="bullet"/>
      <w:lvlText w:val="o"/>
      <w:lvlJc w:val="left"/>
      <w:pPr>
        <w:ind w:left="3600" w:hanging="360"/>
      </w:pPr>
      <w:rPr>
        <w:rFonts w:ascii="Courier New" w:hAnsi="Courier New" w:hint="default"/>
      </w:rPr>
    </w:lvl>
    <w:lvl w:ilvl="5" w:tplc="3D0C4194">
      <w:start w:val="1"/>
      <w:numFmt w:val="bullet"/>
      <w:lvlText w:val=""/>
      <w:lvlJc w:val="left"/>
      <w:pPr>
        <w:ind w:left="4320" w:hanging="360"/>
      </w:pPr>
      <w:rPr>
        <w:rFonts w:ascii="Wingdings" w:hAnsi="Wingdings" w:hint="default"/>
      </w:rPr>
    </w:lvl>
    <w:lvl w:ilvl="6" w:tplc="39B40E0A">
      <w:start w:val="1"/>
      <w:numFmt w:val="bullet"/>
      <w:lvlText w:val=""/>
      <w:lvlJc w:val="left"/>
      <w:pPr>
        <w:ind w:left="5040" w:hanging="360"/>
      </w:pPr>
      <w:rPr>
        <w:rFonts w:ascii="Symbol" w:hAnsi="Symbol" w:hint="default"/>
      </w:rPr>
    </w:lvl>
    <w:lvl w:ilvl="7" w:tplc="DA1882FA">
      <w:start w:val="1"/>
      <w:numFmt w:val="bullet"/>
      <w:lvlText w:val="o"/>
      <w:lvlJc w:val="left"/>
      <w:pPr>
        <w:ind w:left="5760" w:hanging="360"/>
      </w:pPr>
      <w:rPr>
        <w:rFonts w:ascii="Courier New" w:hAnsi="Courier New" w:hint="default"/>
      </w:rPr>
    </w:lvl>
    <w:lvl w:ilvl="8" w:tplc="417C8E08">
      <w:start w:val="1"/>
      <w:numFmt w:val="bullet"/>
      <w:lvlText w:val=""/>
      <w:lvlJc w:val="left"/>
      <w:pPr>
        <w:ind w:left="6480" w:hanging="360"/>
      </w:pPr>
      <w:rPr>
        <w:rFonts w:ascii="Wingdings" w:hAnsi="Wingdings" w:hint="default"/>
      </w:rPr>
    </w:lvl>
  </w:abstractNum>
  <w:abstractNum w:abstractNumId="19" w15:restartNumberingAfterBreak="0">
    <w:nsid w:val="5D926C44"/>
    <w:multiLevelType w:val="hybridMultilevel"/>
    <w:tmpl w:val="2E0E1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0933F3B"/>
    <w:multiLevelType w:val="hybridMultilevel"/>
    <w:tmpl w:val="0652B17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5414BC9"/>
    <w:multiLevelType w:val="hybridMultilevel"/>
    <w:tmpl w:val="249609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7823622"/>
    <w:multiLevelType w:val="hybridMultilevel"/>
    <w:tmpl w:val="59BE42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9AA7744"/>
    <w:multiLevelType w:val="hybridMultilevel"/>
    <w:tmpl w:val="60B0D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576C66"/>
    <w:multiLevelType w:val="multilevel"/>
    <w:tmpl w:val="1108C2A6"/>
    <w:lvl w:ilvl="0">
      <w:start w:val="1"/>
      <w:numFmt w:val="bullet"/>
      <w:lvlText w:val="‒"/>
      <w:lvlJc w:val="left"/>
      <w:pPr>
        <w:ind w:left="680" w:hanging="362"/>
      </w:pPr>
      <w:rPr>
        <w:rFonts w:ascii="Arial" w:hAnsi="Arial" w:cs="Arial" w:hint="default"/>
        <w:b w:val="0"/>
        <w:i w:val="0"/>
        <w:color w:val="000000" w:themeColor="text1"/>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auto"/>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CA355A"/>
    <w:multiLevelType w:val="hybridMultilevel"/>
    <w:tmpl w:val="1CDA4938"/>
    <w:lvl w:ilvl="0" w:tplc="9320B2AC">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15B745B"/>
    <w:multiLevelType w:val="hybridMultilevel"/>
    <w:tmpl w:val="70C00318"/>
    <w:lvl w:ilvl="0" w:tplc="206C427E">
      <w:start w:val="1"/>
      <w:numFmt w:val="decimal"/>
      <w:lvlText w:val="%1."/>
      <w:lvlJc w:val="left"/>
      <w:pPr>
        <w:ind w:left="720" w:hanging="360"/>
      </w:pPr>
      <w:rPr>
        <w:rFont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4E30306"/>
    <w:multiLevelType w:val="hybridMultilevel"/>
    <w:tmpl w:val="67189BD2"/>
    <w:lvl w:ilvl="0" w:tplc="723A8FA0">
      <w:numFmt w:val="bullet"/>
      <w:lvlText w:val=""/>
      <w:lvlJc w:val="left"/>
      <w:pPr>
        <w:ind w:left="1682" w:hanging="567"/>
      </w:pPr>
      <w:rPr>
        <w:rFonts w:ascii="Wingdings" w:eastAsia="Wingdings" w:hAnsi="Wingdings" w:cs="Wingdings" w:hint="default"/>
        <w:w w:val="99"/>
        <w:sz w:val="24"/>
        <w:szCs w:val="24"/>
        <w:lang w:val="fr-FR" w:eastAsia="en-US" w:bidi="ar-SA"/>
      </w:rPr>
    </w:lvl>
    <w:lvl w:ilvl="1" w:tplc="88B64210">
      <w:numFmt w:val="bullet"/>
      <w:lvlText w:val="•"/>
      <w:lvlJc w:val="left"/>
      <w:pPr>
        <w:ind w:left="2672" w:hanging="567"/>
      </w:pPr>
      <w:rPr>
        <w:rFonts w:hint="default"/>
        <w:lang w:val="fr-FR" w:eastAsia="en-US" w:bidi="ar-SA"/>
      </w:rPr>
    </w:lvl>
    <w:lvl w:ilvl="2" w:tplc="DE9A68A2">
      <w:numFmt w:val="bullet"/>
      <w:lvlText w:val="•"/>
      <w:lvlJc w:val="left"/>
      <w:pPr>
        <w:ind w:left="3664" w:hanging="567"/>
      </w:pPr>
      <w:rPr>
        <w:rFonts w:hint="default"/>
        <w:lang w:val="fr-FR" w:eastAsia="en-US" w:bidi="ar-SA"/>
      </w:rPr>
    </w:lvl>
    <w:lvl w:ilvl="3" w:tplc="9A786CB4">
      <w:numFmt w:val="bullet"/>
      <w:lvlText w:val="•"/>
      <w:lvlJc w:val="left"/>
      <w:pPr>
        <w:ind w:left="4656" w:hanging="567"/>
      </w:pPr>
      <w:rPr>
        <w:rFonts w:hint="default"/>
        <w:lang w:val="fr-FR" w:eastAsia="en-US" w:bidi="ar-SA"/>
      </w:rPr>
    </w:lvl>
    <w:lvl w:ilvl="4" w:tplc="A32A099E">
      <w:numFmt w:val="bullet"/>
      <w:lvlText w:val="•"/>
      <w:lvlJc w:val="left"/>
      <w:pPr>
        <w:ind w:left="5648" w:hanging="567"/>
      </w:pPr>
      <w:rPr>
        <w:rFonts w:hint="default"/>
        <w:lang w:val="fr-FR" w:eastAsia="en-US" w:bidi="ar-SA"/>
      </w:rPr>
    </w:lvl>
    <w:lvl w:ilvl="5" w:tplc="55F02C16">
      <w:numFmt w:val="bullet"/>
      <w:lvlText w:val="•"/>
      <w:lvlJc w:val="left"/>
      <w:pPr>
        <w:ind w:left="6640" w:hanging="567"/>
      </w:pPr>
      <w:rPr>
        <w:rFonts w:hint="default"/>
        <w:lang w:val="fr-FR" w:eastAsia="en-US" w:bidi="ar-SA"/>
      </w:rPr>
    </w:lvl>
    <w:lvl w:ilvl="6" w:tplc="A89285A4">
      <w:numFmt w:val="bullet"/>
      <w:lvlText w:val="•"/>
      <w:lvlJc w:val="left"/>
      <w:pPr>
        <w:ind w:left="7632" w:hanging="567"/>
      </w:pPr>
      <w:rPr>
        <w:rFonts w:hint="default"/>
        <w:lang w:val="fr-FR" w:eastAsia="en-US" w:bidi="ar-SA"/>
      </w:rPr>
    </w:lvl>
    <w:lvl w:ilvl="7" w:tplc="59A0AC9A">
      <w:numFmt w:val="bullet"/>
      <w:lvlText w:val="•"/>
      <w:lvlJc w:val="left"/>
      <w:pPr>
        <w:ind w:left="8624" w:hanging="567"/>
      </w:pPr>
      <w:rPr>
        <w:rFonts w:hint="default"/>
        <w:lang w:val="fr-FR" w:eastAsia="en-US" w:bidi="ar-SA"/>
      </w:rPr>
    </w:lvl>
    <w:lvl w:ilvl="8" w:tplc="09C63636">
      <w:numFmt w:val="bullet"/>
      <w:lvlText w:val="•"/>
      <w:lvlJc w:val="left"/>
      <w:pPr>
        <w:ind w:left="9616" w:hanging="567"/>
      </w:pPr>
      <w:rPr>
        <w:rFonts w:hint="default"/>
        <w:lang w:val="fr-FR" w:eastAsia="en-US" w:bidi="ar-SA"/>
      </w:rPr>
    </w:lvl>
  </w:abstractNum>
  <w:abstractNum w:abstractNumId="28" w15:restartNumberingAfterBreak="0">
    <w:nsid w:val="75325F89"/>
    <w:multiLevelType w:val="hybridMultilevel"/>
    <w:tmpl w:val="6B8070F4"/>
    <w:lvl w:ilvl="0" w:tplc="040C0011">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9" w15:restartNumberingAfterBreak="0">
    <w:nsid w:val="771F3639"/>
    <w:multiLevelType w:val="hybridMultilevel"/>
    <w:tmpl w:val="AE8836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DC24F69"/>
    <w:multiLevelType w:val="hybridMultilevel"/>
    <w:tmpl w:val="8B0E1A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DDE038D"/>
    <w:multiLevelType w:val="hybridMultilevel"/>
    <w:tmpl w:val="B0E8601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FF24AC9"/>
    <w:multiLevelType w:val="hybridMultilevel"/>
    <w:tmpl w:val="F5E4D7BC"/>
    <w:lvl w:ilvl="0" w:tplc="145C67E4">
      <w:numFmt w:val="bullet"/>
      <w:lvlText w:val="-"/>
      <w:lvlJc w:val="left"/>
      <w:pPr>
        <w:ind w:left="720" w:hanging="360"/>
      </w:pPr>
      <w:rPr>
        <w:rFonts w:ascii="Arial Nova Cond" w:eastAsiaTheme="minorEastAsia" w:hAnsi="Arial Nova C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1"/>
  </w:num>
  <w:num w:numId="2">
    <w:abstractNumId w:val="5"/>
  </w:num>
  <w:num w:numId="3">
    <w:abstractNumId w:val="8"/>
  </w:num>
  <w:num w:numId="4">
    <w:abstractNumId w:val="28"/>
  </w:num>
  <w:num w:numId="5">
    <w:abstractNumId w:val="6"/>
  </w:num>
  <w:num w:numId="6">
    <w:abstractNumId w:val="12"/>
  </w:num>
  <w:num w:numId="7">
    <w:abstractNumId w:val="7"/>
  </w:num>
  <w:num w:numId="8">
    <w:abstractNumId w:val="20"/>
  </w:num>
  <w:num w:numId="9">
    <w:abstractNumId w:val="1"/>
  </w:num>
  <w:num w:numId="10">
    <w:abstractNumId w:val="24"/>
  </w:num>
  <w:num w:numId="11">
    <w:abstractNumId w:val="13"/>
  </w:num>
  <w:num w:numId="12">
    <w:abstractNumId w:val="17"/>
  </w:num>
  <w:num w:numId="13">
    <w:abstractNumId w:val="25"/>
  </w:num>
  <w:num w:numId="14">
    <w:abstractNumId w:val="2"/>
  </w:num>
  <w:num w:numId="15">
    <w:abstractNumId w:val="0"/>
  </w:num>
  <w:num w:numId="16">
    <w:abstractNumId w:val="16"/>
  </w:num>
  <w:num w:numId="17">
    <w:abstractNumId w:val="27"/>
  </w:num>
  <w:num w:numId="18">
    <w:abstractNumId w:val="22"/>
  </w:num>
  <w:num w:numId="19">
    <w:abstractNumId w:val="26"/>
  </w:num>
  <w:num w:numId="20">
    <w:abstractNumId w:val="3"/>
  </w:num>
  <w:num w:numId="21">
    <w:abstractNumId w:val="14"/>
  </w:num>
  <w:num w:numId="22">
    <w:abstractNumId w:val="21"/>
  </w:num>
  <w:num w:numId="23">
    <w:abstractNumId w:val="11"/>
  </w:num>
  <w:num w:numId="24">
    <w:abstractNumId w:val="29"/>
  </w:num>
  <w:num w:numId="25">
    <w:abstractNumId w:val="4"/>
  </w:num>
  <w:num w:numId="26">
    <w:abstractNumId w:val="9"/>
  </w:num>
  <w:num w:numId="27">
    <w:abstractNumId w:val="30"/>
  </w:num>
  <w:num w:numId="28">
    <w:abstractNumId w:val="23"/>
  </w:num>
  <w:num w:numId="29">
    <w:abstractNumId w:val="10"/>
  </w:num>
  <w:num w:numId="30">
    <w:abstractNumId w:val="19"/>
  </w:num>
  <w:num w:numId="31">
    <w:abstractNumId w:val="15"/>
  </w:num>
  <w:num w:numId="32">
    <w:abstractNumId w:val="18"/>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9F9"/>
    <w:rsid w:val="00002418"/>
    <w:rsid w:val="00002D3B"/>
    <w:rsid w:val="000074F3"/>
    <w:rsid w:val="00010777"/>
    <w:rsid w:val="00011E4B"/>
    <w:rsid w:val="00012336"/>
    <w:rsid w:val="000129AD"/>
    <w:rsid w:val="00015B9C"/>
    <w:rsid w:val="000222AF"/>
    <w:rsid w:val="00022E29"/>
    <w:rsid w:val="00023242"/>
    <w:rsid w:val="00023D38"/>
    <w:rsid w:val="000252B1"/>
    <w:rsid w:val="0002728F"/>
    <w:rsid w:val="000314F2"/>
    <w:rsid w:val="00033C1A"/>
    <w:rsid w:val="00034649"/>
    <w:rsid w:val="0003588D"/>
    <w:rsid w:val="00037686"/>
    <w:rsid w:val="00042958"/>
    <w:rsid w:val="00043B30"/>
    <w:rsid w:val="0004793F"/>
    <w:rsid w:val="00050417"/>
    <w:rsid w:val="00056ADE"/>
    <w:rsid w:val="00057733"/>
    <w:rsid w:val="000642F1"/>
    <w:rsid w:val="00064F86"/>
    <w:rsid w:val="00065517"/>
    <w:rsid w:val="00070FEB"/>
    <w:rsid w:val="00072E3E"/>
    <w:rsid w:val="00073BB6"/>
    <w:rsid w:val="00073E94"/>
    <w:rsid w:val="00074A08"/>
    <w:rsid w:val="000754FB"/>
    <w:rsid w:val="000755DA"/>
    <w:rsid w:val="000772D0"/>
    <w:rsid w:val="00083A93"/>
    <w:rsid w:val="00083F65"/>
    <w:rsid w:val="000856C9"/>
    <w:rsid w:val="00086380"/>
    <w:rsid w:val="00090611"/>
    <w:rsid w:val="00092043"/>
    <w:rsid w:val="000936A2"/>
    <w:rsid w:val="000A08B1"/>
    <w:rsid w:val="000A0E26"/>
    <w:rsid w:val="000A1B35"/>
    <w:rsid w:val="000A23A2"/>
    <w:rsid w:val="000A406E"/>
    <w:rsid w:val="000A79B9"/>
    <w:rsid w:val="000B03AE"/>
    <w:rsid w:val="000B0489"/>
    <w:rsid w:val="000B0C2B"/>
    <w:rsid w:val="000B4F25"/>
    <w:rsid w:val="000B6685"/>
    <w:rsid w:val="000B6907"/>
    <w:rsid w:val="000B7266"/>
    <w:rsid w:val="000B73FA"/>
    <w:rsid w:val="000B7B36"/>
    <w:rsid w:val="000C18D3"/>
    <w:rsid w:val="000C2309"/>
    <w:rsid w:val="000C505E"/>
    <w:rsid w:val="000C5FC0"/>
    <w:rsid w:val="000C7442"/>
    <w:rsid w:val="000D0671"/>
    <w:rsid w:val="000D34E4"/>
    <w:rsid w:val="000D4872"/>
    <w:rsid w:val="000D7E0C"/>
    <w:rsid w:val="000E5230"/>
    <w:rsid w:val="000E6B26"/>
    <w:rsid w:val="000F1148"/>
    <w:rsid w:val="000F2ABF"/>
    <w:rsid w:val="000F3EAF"/>
    <w:rsid w:val="000F4A11"/>
    <w:rsid w:val="00100401"/>
    <w:rsid w:val="00106226"/>
    <w:rsid w:val="00106343"/>
    <w:rsid w:val="00114AEA"/>
    <w:rsid w:val="00117EB3"/>
    <w:rsid w:val="00120447"/>
    <w:rsid w:val="001262DD"/>
    <w:rsid w:val="001264F0"/>
    <w:rsid w:val="00132CB0"/>
    <w:rsid w:val="00133B6A"/>
    <w:rsid w:val="0013462A"/>
    <w:rsid w:val="0013477B"/>
    <w:rsid w:val="0013522C"/>
    <w:rsid w:val="001357A0"/>
    <w:rsid w:val="00136203"/>
    <w:rsid w:val="00140CBC"/>
    <w:rsid w:val="0014170F"/>
    <w:rsid w:val="00142248"/>
    <w:rsid w:val="00144D48"/>
    <w:rsid w:val="0015170A"/>
    <w:rsid w:val="00153878"/>
    <w:rsid w:val="00157B1B"/>
    <w:rsid w:val="00160600"/>
    <w:rsid w:val="00161BEE"/>
    <w:rsid w:val="001626C6"/>
    <w:rsid w:val="0016500C"/>
    <w:rsid w:val="001726FA"/>
    <w:rsid w:val="001737EF"/>
    <w:rsid w:val="00174894"/>
    <w:rsid w:val="00175288"/>
    <w:rsid w:val="00175911"/>
    <w:rsid w:val="00177575"/>
    <w:rsid w:val="00182C7E"/>
    <w:rsid w:val="001839EB"/>
    <w:rsid w:val="00185CA3"/>
    <w:rsid w:val="00186371"/>
    <w:rsid w:val="00187211"/>
    <w:rsid w:val="00187551"/>
    <w:rsid w:val="00191054"/>
    <w:rsid w:val="00191BED"/>
    <w:rsid w:val="00193B77"/>
    <w:rsid w:val="00194087"/>
    <w:rsid w:val="001A5694"/>
    <w:rsid w:val="001A683A"/>
    <w:rsid w:val="001B09A3"/>
    <w:rsid w:val="001B141E"/>
    <w:rsid w:val="001B17F6"/>
    <w:rsid w:val="001B2082"/>
    <w:rsid w:val="001B5A55"/>
    <w:rsid w:val="001B7853"/>
    <w:rsid w:val="001C0CBA"/>
    <w:rsid w:val="001C2A1B"/>
    <w:rsid w:val="001C3F51"/>
    <w:rsid w:val="001C748C"/>
    <w:rsid w:val="001C79B2"/>
    <w:rsid w:val="001D3F83"/>
    <w:rsid w:val="001D44F6"/>
    <w:rsid w:val="001D5637"/>
    <w:rsid w:val="001E035D"/>
    <w:rsid w:val="001E11FE"/>
    <w:rsid w:val="001E2226"/>
    <w:rsid w:val="001E3A80"/>
    <w:rsid w:val="001E6BA0"/>
    <w:rsid w:val="001E6C0C"/>
    <w:rsid w:val="001F0AD9"/>
    <w:rsid w:val="001F1809"/>
    <w:rsid w:val="001F34E9"/>
    <w:rsid w:val="001F58AB"/>
    <w:rsid w:val="001F75FE"/>
    <w:rsid w:val="0020126F"/>
    <w:rsid w:val="00203C54"/>
    <w:rsid w:val="00204E35"/>
    <w:rsid w:val="0020695D"/>
    <w:rsid w:val="002107DE"/>
    <w:rsid w:val="00211116"/>
    <w:rsid w:val="002169B7"/>
    <w:rsid w:val="00217345"/>
    <w:rsid w:val="00221570"/>
    <w:rsid w:val="00222164"/>
    <w:rsid w:val="00222B6B"/>
    <w:rsid w:val="00225E14"/>
    <w:rsid w:val="002301AC"/>
    <w:rsid w:val="00231EB8"/>
    <w:rsid w:val="00234217"/>
    <w:rsid w:val="00235149"/>
    <w:rsid w:val="00237A2A"/>
    <w:rsid w:val="002403D6"/>
    <w:rsid w:val="00241AE8"/>
    <w:rsid w:val="00242305"/>
    <w:rsid w:val="00243553"/>
    <w:rsid w:val="0024379D"/>
    <w:rsid w:val="0024719A"/>
    <w:rsid w:val="002554F3"/>
    <w:rsid w:val="00255A5B"/>
    <w:rsid w:val="0026307F"/>
    <w:rsid w:val="00263961"/>
    <w:rsid w:val="0026436F"/>
    <w:rsid w:val="00265EBF"/>
    <w:rsid w:val="00272E55"/>
    <w:rsid w:val="002733E4"/>
    <w:rsid w:val="00275E8C"/>
    <w:rsid w:val="00275EFD"/>
    <w:rsid w:val="00276EE1"/>
    <w:rsid w:val="002834E6"/>
    <w:rsid w:val="00291434"/>
    <w:rsid w:val="00292793"/>
    <w:rsid w:val="00294120"/>
    <w:rsid w:val="002962E8"/>
    <w:rsid w:val="002A338C"/>
    <w:rsid w:val="002A366D"/>
    <w:rsid w:val="002A4321"/>
    <w:rsid w:val="002A79D5"/>
    <w:rsid w:val="002B23CB"/>
    <w:rsid w:val="002B2D82"/>
    <w:rsid w:val="002C0081"/>
    <w:rsid w:val="002C1365"/>
    <w:rsid w:val="002C2A64"/>
    <w:rsid w:val="002C4642"/>
    <w:rsid w:val="002D1081"/>
    <w:rsid w:val="002D20EF"/>
    <w:rsid w:val="002D3DA2"/>
    <w:rsid w:val="002D4402"/>
    <w:rsid w:val="002D5B8A"/>
    <w:rsid w:val="002D5F3A"/>
    <w:rsid w:val="002D6605"/>
    <w:rsid w:val="002E338B"/>
    <w:rsid w:val="002E7AF9"/>
    <w:rsid w:val="002F2B43"/>
    <w:rsid w:val="002F43C1"/>
    <w:rsid w:val="002F4DBE"/>
    <w:rsid w:val="002F4E81"/>
    <w:rsid w:val="00301C80"/>
    <w:rsid w:val="00301D95"/>
    <w:rsid w:val="00305007"/>
    <w:rsid w:val="00307F74"/>
    <w:rsid w:val="00311B1E"/>
    <w:rsid w:val="003124A9"/>
    <w:rsid w:val="00316783"/>
    <w:rsid w:val="0031727A"/>
    <w:rsid w:val="00320C6F"/>
    <w:rsid w:val="003218F8"/>
    <w:rsid w:val="003239F9"/>
    <w:rsid w:val="00323B7A"/>
    <w:rsid w:val="0032781D"/>
    <w:rsid w:val="0032794B"/>
    <w:rsid w:val="00331D5A"/>
    <w:rsid w:val="003361C8"/>
    <w:rsid w:val="00342774"/>
    <w:rsid w:val="00343799"/>
    <w:rsid w:val="00344E30"/>
    <w:rsid w:val="00346451"/>
    <w:rsid w:val="00346C7E"/>
    <w:rsid w:val="0035014F"/>
    <w:rsid w:val="0035381B"/>
    <w:rsid w:val="00353E78"/>
    <w:rsid w:val="00354D52"/>
    <w:rsid w:val="00355354"/>
    <w:rsid w:val="00360E41"/>
    <w:rsid w:val="00360F83"/>
    <w:rsid w:val="0036110E"/>
    <w:rsid w:val="003648F6"/>
    <w:rsid w:val="003649B0"/>
    <w:rsid w:val="00365D3C"/>
    <w:rsid w:val="00366D24"/>
    <w:rsid w:val="00366E00"/>
    <w:rsid w:val="003670C8"/>
    <w:rsid w:val="00367B1E"/>
    <w:rsid w:val="00367B5A"/>
    <w:rsid w:val="00371883"/>
    <w:rsid w:val="003735EC"/>
    <w:rsid w:val="0037736B"/>
    <w:rsid w:val="003778CA"/>
    <w:rsid w:val="00380290"/>
    <w:rsid w:val="00382AA3"/>
    <w:rsid w:val="00383191"/>
    <w:rsid w:val="00383BA1"/>
    <w:rsid w:val="0038457E"/>
    <w:rsid w:val="0038685B"/>
    <w:rsid w:val="00386E4A"/>
    <w:rsid w:val="00386E89"/>
    <w:rsid w:val="00387A0B"/>
    <w:rsid w:val="00393212"/>
    <w:rsid w:val="003933AF"/>
    <w:rsid w:val="00394A60"/>
    <w:rsid w:val="00396178"/>
    <w:rsid w:val="00397B83"/>
    <w:rsid w:val="003A0CE1"/>
    <w:rsid w:val="003A1AB8"/>
    <w:rsid w:val="003A3FC4"/>
    <w:rsid w:val="003A4915"/>
    <w:rsid w:val="003A4FD9"/>
    <w:rsid w:val="003A6110"/>
    <w:rsid w:val="003A728C"/>
    <w:rsid w:val="003B07E2"/>
    <w:rsid w:val="003B1DDF"/>
    <w:rsid w:val="003B3EA7"/>
    <w:rsid w:val="003B40F4"/>
    <w:rsid w:val="003B69B7"/>
    <w:rsid w:val="003C1704"/>
    <w:rsid w:val="003C28D4"/>
    <w:rsid w:val="003C423D"/>
    <w:rsid w:val="003C7ACB"/>
    <w:rsid w:val="003D12FA"/>
    <w:rsid w:val="003D21B9"/>
    <w:rsid w:val="003D2329"/>
    <w:rsid w:val="003D5FC8"/>
    <w:rsid w:val="003E16A5"/>
    <w:rsid w:val="003E3526"/>
    <w:rsid w:val="003E5BC3"/>
    <w:rsid w:val="003E5E09"/>
    <w:rsid w:val="003E78E8"/>
    <w:rsid w:val="003F3974"/>
    <w:rsid w:val="003F7AD8"/>
    <w:rsid w:val="0040029E"/>
    <w:rsid w:val="004026DE"/>
    <w:rsid w:val="00403AF9"/>
    <w:rsid w:val="00406898"/>
    <w:rsid w:val="00411A76"/>
    <w:rsid w:val="00414033"/>
    <w:rsid w:val="004176FC"/>
    <w:rsid w:val="00421926"/>
    <w:rsid w:val="00421E7D"/>
    <w:rsid w:val="004254E0"/>
    <w:rsid w:val="004258EE"/>
    <w:rsid w:val="00427194"/>
    <w:rsid w:val="00427AB7"/>
    <w:rsid w:val="004318CB"/>
    <w:rsid w:val="00434D0F"/>
    <w:rsid w:val="00437269"/>
    <w:rsid w:val="00443E62"/>
    <w:rsid w:val="004538FD"/>
    <w:rsid w:val="00454861"/>
    <w:rsid w:val="00461146"/>
    <w:rsid w:val="004624BB"/>
    <w:rsid w:val="00462C1F"/>
    <w:rsid w:val="00466039"/>
    <w:rsid w:val="00467C45"/>
    <w:rsid w:val="00471549"/>
    <w:rsid w:val="004729A1"/>
    <w:rsid w:val="0047332E"/>
    <w:rsid w:val="004741DD"/>
    <w:rsid w:val="00480407"/>
    <w:rsid w:val="00481237"/>
    <w:rsid w:val="00485617"/>
    <w:rsid w:val="004936E4"/>
    <w:rsid w:val="0049384A"/>
    <w:rsid w:val="004A09AF"/>
    <w:rsid w:val="004A22ED"/>
    <w:rsid w:val="004A5480"/>
    <w:rsid w:val="004A6007"/>
    <w:rsid w:val="004A790C"/>
    <w:rsid w:val="004B024D"/>
    <w:rsid w:val="004B032A"/>
    <w:rsid w:val="004B090F"/>
    <w:rsid w:val="004B179B"/>
    <w:rsid w:val="004B721F"/>
    <w:rsid w:val="004B7486"/>
    <w:rsid w:val="004C005C"/>
    <w:rsid w:val="004C17E0"/>
    <w:rsid w:val="004C42CD"/>
    <w:rsid w:val="004C5ECD"/>
    <w:rsid w:val="004C7CC3"/>
    <w:rsid w:val="004D3047"/>
    <w:rsid w:val="004D47CB"/>
    <w:rsid w:val="004D5873"/>
    <w:rsid w:val="004E27E5"/>
    <w:rsid w:val="004E3C7E"/>
    <w:rsid w:val="004E3CBD"/>
    <w:rsid w:val="004E5F85"/>
    <w:rsid w:val="004F1EAF"/>
    <w:rsid w:val="004F66BA"/>
    <w:rsid w:val="004F777A"/>
    <w:rsid w:val="0050009B"/>
    <w:rsid w:val="005023E1"/>
    <w:rsid w:val="00503CEB"/>
    <w:rsid w:val="005052E1"/>
    <w:rsid w:val="00506FEF"/>
    <w:rsid w:val="0050701D"/>
    <w:rsid w:val="00511CB6"/>
    <w:rsid w:val="005122A7"/>
    <w:rsid w:val="00513244"/>
    <w:rsid w:val="005132A2"/>
    <w:rsid w:val="00515FC4"/>
    <w:rsid w:val="00523F9D"/>
    <w:rsid w:val="00524142"/>
    <w:rsid w:val="0052417B"/>
    <w:rsid w:val="005241F1"/>
    <w:rsid w:val="00525B2C"/>
    <w:rsid w:val="00527643"/>
    <w:rsid w:val="00527918"/>
    <w:rsid w:val="005301BD"/>
    <w:rsid w:val="00531705"/>
    <w:rsid w:val="00531808"/>
    <w:rsid w:val="00536FC7"/>
    <w:rsid w:val="0054244A"/>
    <w:rsid w:val="00542DD9"/>
    <w:rsid w:val="00544A4A"/>
    <w:rsid w:val="0054719A"/>
    <w:rsid w:val="005500A9"/>
    <w:rsid w:val="00551409"/>
    <w:rsid w:val="00554473"/>
    <w:rsid w:val="005551F2"/>
    <w:rsid w:val="00557F99"/>
    <w:rsid w:val="00561364"/>
    <w:rsid w:val="00562881"/>
    <w:rsid w:val="0056441E"/>
    <w:rsid w:val="00565C7B"/>
    <w:rsid w:val="00565D32"/>
    <w:rsid w:val="005663D8"/>
    <w:rsid w:val="005669B3"/>
    <w:rsid w:val="00570EDE"/>
    <w:rsid w:val="0057197D"/>
    <w:rsid w:val="00571AD3"/>
    <w:rsid w:val="00573158"/>
    <w:rsid w:val="0057481E"/>
    <w:rsid w:val="0058190C"/>
    <w:rsid w:val="00581F63"/>
    <w:rsid w:val="005841E9"/>
    <w:rsid w:val="00586B50"/>
    <w:rsid w:val="00590807"/>
    <w:rsid w:val="00591264"/>
    <w:rsid w:val="00594494"/>
    <w:rsid w:val="00597676"/>
    <w:rsid w:val="005A0BE7"/>
    <w:rsid w:val="005A0E6A"/>
    <w:rsid w:val="005A3BE0"/>
    <w:rsid w:val="005A40FF"/>
    <w:rsid w:val="005A4373"/>
    <w:rsid w:val="005A7E8F"/>
    <w:rsid w:val="005A7F08"/>
    <w:rsid w:val="005B3210"/>
    <w:rsid w:val="005B519A"/>
    <w:rsid w:val="005B6741"/>
    <w:rsid w:val="005B6B72"/>
    <w:rsid w:val="005C14E1"/>
    <w:rsid w:val="005C1E0B"/>
    <w:rsid w:val="005C4CD0"/>
    <w:rsid w:val="005C54AA"/>
    <w:rsid w:val="005D5849"/>
    <w:rsid w:val="005D65D3"/>
    <w:rsid w:val="005E0E17"/>
    <w:rsid w:val="005E1052"/>
    <w:rsid w:val="005E3798"/>
    <w:rsid w:val="005E42B7"/>
    <w:rsid w:val="005E4E1E"/>
    <w:rsid w:val="005E6173"/>
    <w:rsid w:val="005E6B0E"/>
    <w:rsid w:val="005F1E0A"/>
    <w:rsid w:val="006101E8"/>
    <w:rsid w:val="00617657"/>
    <w:rsid w:val="00620EE5"/>
    <w:rsid w:val="00621407"/>
    <w:rsid w:val="00622C19"/>
    <w:rsid w:val="006233D7"/>
    <w:rsid w:val="00630115"/>
    <w:rsid w:val="00632C34"/>
    <w:rsid w:val="0063665D"/>
    <w:rsid w:val="00640519"/>
    <w:rsid w:val="0064287B"/>
    <w:rsid w:val="00642B80"/>
    <w:rsid w:val="006450AE"/>
    <w:rsid w:val="006461E3"/>
    <w:rsid w:val="0065172A"/>
    <w:rsid w:val="00657BA7"/>
    <w:rsid w:val="0066033C"/>
    <w:rsid w:val="00661FC0"/>
    <w:rsid w:val="00663044"/>
    <w:rsid w:val="006643D9"/>
    <w:rsid w:val="00664C7D"/>
    <w:rsid w:val="0066644E"/>
    <w:rsid w:val="00671CAF"/>
    <w:rsid w:val="006721FA"/>
    <w:rsid w:val="00680647"/>
    <w:rsid w:val="00684282"/>
    <w:rsid w:val="006843F0"/>
    <w:rsid w:val="00686C54"/>
    <w:rsid w:val="00692CDF"/>
    <w:rsid w:val="00693E0C"/>
    <w:rsid w:val="00694CE6"/>
    <w:rsid w:val="00695ADE"/>
    <w:rsid w:val="006977F6"/>
    <w:rsid w:val="006A225A"/>
    <w:rsid w:val="006A7A24"/>
    <w:rsid w:val="006B48BB"/>
    <w:rsid w:val="006C2A69"/>
    <w:rsid w:val="006C45D6"/>
    <w:rsid w:val="006C4B20"/>
    <w:rsid w:val="006C574A"/>
    <w:rsid w:val="006C7C5F"/>
    <w:rsid w:val="006D1925"/>
    <w:rsid w:val="006D3DBB"/>
    <w:rsid w:val="006D781F"/>
    <w:rsid w:val="006E2633"/>
    <w:rsid w:val="006E2C22"/>
    <w:rsid w:val="006E2D88"/>
    <w:rsid w:val="006E4090"/>
    <w:rsid w:val="006E52FB"/>
    <w:rsid w:val="006E59AB"/>
    <w:rsid w:val="006E6340"/>
    <w:rsid w:val="006E7A15"/>
    <w:rsid w:val="006F2E8C"/>
    <w:rsid w:val="006F3640"/>
    <w:rsid w:val="006F55BA"/>
    <w:rsid w:val="007029E4"/>
    <w:rsid w:val="00703DB4"/>
    <w:rsid w:val="007058F9"/>
    <w:rsid w:val="00705FA7"/>
    <w:rsid w:val="00707814"/>
    <w:rsid w:val="007103E0"/>
    <w:rsid w:val="007110FB"/>
    <w:rsid w:val="0071214A"/>
    <w:rsid w:val="007126F1"/>
    <w:rsid w:val="007134A1"/>
    <w:rsid w:val="007135EA"/>
    <w:rsid w:val="00713C0D"/>
    <w:rsid w:val="0072013E"/>
    <w:rsid w:val="007208AD"/>
    <w:rsid w:val="00725862"/>
    <w:rsid w:val="007260AC"/>
    <w:rsid w:val="00731285"/>
    <w:rsid w:val="00731EE8"/>
    <w:rsid w:val="00731F62"/>
    <w:rsid w:val="00732874"/>
    <w:rsid w:val="00733C2B"/>
    <w:rsid w:val="00733EC1"/>
    <w:rsid w:val="00736ACA"/>
    <w:rsid w:val="00740E2F"/>
    <w:rsid w:val="00742034"/>
    <w:rsid w:val="007420A2"/>
    <w:rsid w:val="007420AA"/>
    <w:rsid w:val="007442F7"/>
    <w:rsid w:val="00747F8A"/>
    <w:rsid w:val="00753D91"/>
    <w:rsid w:val="007543EC"/>
    <w:rsid w:val="00755F72"/>
    <w:rsid w:val="00756C50"/>
    <w:rsid w:val="00764674"/>
    <w:rsid w:val="00764BD5"/>
    <w:rsid w:val="00764C6E"/>
    <w:rsid w:val="0076759B"/>
    <w:rsid w:val="00783F7C"/>
    <w:rsid w:val="00785084"/>
    <w:rsid w:val="00785167"/>
    <w:rsid w:val="00785B8B"/>
    <w:rsid w:val="00792820"/>
    <w:rsid w:val="00794C71"/>
    <w:rsid w:val="007A10C0"/>
    <w:rsid w:val="007A2A85"/>
    <w:rsid w:val="007A462B"/>
    <w:rsid w:val="007A7F4C"/>
    <w:rsid w:val="007B2CF0"/>
    <w:rsid w:val="007B65D7"/>
    <w:rsid w:val="007C0C02"/>
    <w:rsid w:val="007C183F"/>
    <w:rsid w:val="007C1D01"/>
    <w:rsid w:val="007C4676"/>
    <w:rsid w:val="007C4D45"/>
    <w:rsid w:val="007C7B1D"/>
    <w:rsid w:val="007D055D"/>
    <w:rsid w:val="007D3562"/>
    <w:rsid w:val="007D49C1"/>
    <w:rsid w:val="007D54B0"/>
    <w:rsid w:val="007D5AAD"/>
    <w:rsid w:val="007D6082"/>
    <w:rsid w:val="007D76D1"/>
    <w:rsid w:val="007D7823"/>
    <w:rsid w:val="007D79E5"/>
    <w:rsid w:val="007E08CD"/>
    <w:rsid w:val="007E2330"/>
    <w:rsid w:val="007F1EC3"/>
    <w:rsid w:val="007F2133"/>
    <w:rsid w:val="007F28E4"/>
    <w:rsid w:val="007F344A"/>
    <w:rsid w:val="007F3E19"/>
    <w:rsid w:val="007F5C61"/>
    <w:rsid w:val="00803FD0"/>
    <w:rsid w:val="00804268"/>
    <w:rsid w:val="00804D4D"/>
    <w:rsid w:val="00811648"/>
    <w:rsid w:val="00811B7D"/>
    <w:rsid w:val="008154F1"/>
    <w:rsid w:val="0081580F"/>
    <w:rsid w:val="008171AC"/>
    <w:rsid w:val="00820824"/>
    <w:rsid w:val="00821E15"/>
    <w:rsid w:val="00823A21"/>
    <w:rsid w:val="00826F0F"/>
    <w:rsid w:val="00834182"/>
    <w:rsid w:val="008372E4"/>
    <w:rsid w:val="00841BF1"/>
    <w:rsid w:val="00842A79"/>
    <w:rsid w:val="0084482A"/>
    <w:rsid w:val="00845006"/>
    <w:rsid w:val="008504C4"/>
    <w:rsid w:val="008534CB"/>
    <w:rsid w:val="0085421E"/>
    <w:rsid w:val="00854556"/>
    <w:rsid w:val="008553FC"/>
    <w:rsid w:val="0085566A"/>
    <w:rsid w:val="00856645"/>
    <w:rsid w:val="008601A3"/>
    <w:rsid w:val="008623DC"/>
    <w:rsid w:val="00863C40"/>
    <w:rsid w:val="008654AD"/>
    <w:rsid w:val="0086781B"/>
    <w:rsid w:val="00871453"/>
    <w:rsid w:val="0087561B"/>
    <w:rsid w:val="00877CDC"/>
    <w:rsid w:val="00881A44"/>
    <w:rsid w:val="0088443F"/>
    <w:rsid w:val="008862A9"/>
    <w:rsid w:val="00891ADC"/>
    <w:rsid w:val="00891E34"/>
    <w:rsid w:val="00892B31"/>
    <w:rsid w:val="00893D43"/>
    <w:rsid w:val="00894652"/>
    <w:rsid w:val="00894792"/>
    <w:rsid w:val="008A4DCD"/>
    <w:rsid w:val="008A661C"/>
    <w:rsid w:val="008A6A8A"/>
    <w:rsid w:val="008B1CC0"/>
    <w:rsid w:val="008B561C"/>
    <w:rsid w:val="008C0390"/>
    <w:rsid w:val="008C5572"/>
    <w:rsid w:val="008D4899"/>
    <w:rsid w:val="008D4D0C"/>
    <w:rsid w:val="008D5B2B"/>
    <w:rsid w:val="008D610E"/>
    <w:rsid w:val="008D6C7B"/>
    <w:rsid w:val="008E06EA"/>
    <w:rsid w:val="008E578E"/>
    <w:rsid w:val="008E79B7"/>
    <w:rsid w:val="008F0B2C"/>
    <w:rsid w:val="008F146D"/>
    <w:rsid w:val="008F1BC0"/>
    <w:rsid w:val="008F584B"/>
    <w:rsid w:val="008F671B"/>
    <w:rsid w:val="008F6900"/>
    <w:rsid w:val="008F7C92"/>
    <w:rsid w:val="00901600"/>
    <w:rsid w:val="009018A6"/>
    <w:rsid w:val="00901D1C"/>
    <w:rsid w:val="00902E31"/>
    <w:rsid w:val="009040E4"/>
    <w:rsid w:val="009059E6"/>
    <w:rsid w:val="00907A89"/>
    <w:rsid w:val="00912A6B"/>
    <w:rsid w:val="009135AC"/>
    <w:rsid w:val="009171FC"/>
    <w:rsid w:val="009175DD"/>
    <w:rsid w:val="00924F6A"/>
    <w:rsid w:val="0093098A"/>
    <w:rsid w:val="009354FA"/>
    <w:rsid w:val="009408A8"/>
    <w:rsid w:val="00943427"/>
    <w:rsid w:val="00943901"/>
    <w:rsid w:val="00945E0C"/>
    <w:rsid w:val="009474A1"/>
    <w:rsid w:val="00951E9F"/>
    <w:rsid w:val="009526DA"/>
    <w:rsid w:val="00952D1F"/>
    <w:rsid w:val="00953F42"/>
    <w:rsid w:val="00957DC9"/>
    <w:rsid w:val="00957E17"/>
    <w:rsid w:val="00961CE2"/>
    <w:rsid w:val="00962D5D"/>
    <w:rsid w:val="00965C17"/>
    <w:rsid w:val="00970766"/>
    <w:rsid w:val="00972E22"/>
    <w:rsid w:val="0097373A"/>
    <w:rsid w:val="0097421F"/>
    <w:rsid w:val="00977DCF"/>
    <w:rsid w:val="00987A3F"/>
    <w:rsid w:val="0099142F"/>
    <w:rsid w:val="0099157B"/>
    <w:rsid w:val="00992B01"/>
    <w:rsid w:val="009936CF"/>
    <w:rsid w:val="0099376C"/>
    <w:rsid w:val="00994339"/>
    <w:rsid w:val="009948F7"/>
    <w:rsid w:val="009953C8"/>
    <w:rsid w:val="00996D6C"/>
    <w:rsid w:val="009A225F"/>
    <w:rsid w:val="009A5847"/>
    <w:rsid w:val="009A5A2F"/>
    <w:rsid w:val="009B1204"/>
    <w:rsid w:val="009B330B"/>
    <w:rsid w:val="009B4A53"/>
    <w:rsid w:val="009C10A2"/>
    <w:rsid w:val="009D4581"/>
    <w:rsid w:val="009D6F59"/>
    <w:rsid w:val="009E1359"/>
    <w:rsid w:val="009E1B06"/>
    <w:rsid w:val="009E26D9"/>
    <w:rsid w:val="009E2ABF"/>
    <w:rsid w:val="009E4593"/>
    <w:rsid w:val="009E4948"/>
    <w:rsid w:val="009E49F0"/>
    <w:rsid w:val="009E7B03"/>
    <w:rsid w:val="009F32CB"/>
    <w:rsid w:val="009F545E"/>
    <w:rsid w:val="00A0226F"/>
    <w:rsid w:val="00A032A4"/>
    <w:rsid w:val="00A03885"/>
    <w:rsid w:val="00A03BF0"/>
    <w:rsid w:val="00A05396"/>
    <w:rsid w:val="00A05BF2"/>
    <w:rsid w:val="00A06A2F"/>
    <w:rsid w:val="00A12A3C"/>
    <w:rsid w:val="00A14DCC"/>
    <w:rsid w:val="00A1620A"/>
    <w:rsid w:val="00A21CBC"/>
    <w:rsid w:val="00A27590"/>
    <w:rsid w:val="00A27D36"/>
    <w:rsid w:val="00A32C2B"/>
    <w:rsid w:val="00A32E0E"/>
    <w:rsid w:val="00A33F8E"/>
    <w:rsid w:val="00A36E3B"/>
    <w:rsid w:val="00A378E1"/>
    <w:rsid w:val="00A40B60"/>
    <w:rsid w:val="00A436AB"/>
    <w:rsid w:val="00A447F7"/>
    <w:rsid w:val="00A44A2D"/>
    <w:rsid w:val="00A44F49"/>
    <w:rsid w:val="00A45869"/>
    <w:rsid w:val="00A5051D"/>
    <w:rsid w:val="00A50F99"/>
    <w:rsid w:val="00A5129C"/>
    <w:rsid w:val="00A519BF"/>
    <w:rsid w:val="00A51D58"/>
    <w:rsid w:val="00A53F69"/>
    <w:rsid w:val="00A55D91"/>
    <w:rsid w:val="00A56ECB"/>
    <w:rsid w:val="00A6699F"/>
    <w:rsid w:val="00A70525"/>
    <w:rsid w:val="00A70D32"/>
    <w:rsid w:val="00A7409D"/>
    <w:rsid w:val="00A749B5"/>
    <w:rsid w:val="00A767D6"/>
    <w:rsid w:val="00A76D98"/>
    <w:rsid w:val="00A77FFE"/>
    <w:rsid w:val="00A82862"/>
    <w:rsid w:val="00A86B33"/>
    <w:rsid w:val="00A86CC4"/>
    <w:rsid w:val="00A87BE6"/>
    <w:rsid w:val="00A90815"/>
    <w:rsid w:val="00A91794"/>
    <w:rsid w:val="00A94F8E"/>
    <w:rsid w:val="00A96876"/>
    <w:rsid w:val="00AA7CC4"/>
    <w:rsid w:val="00AB17ED"/>
    <w:rsid w:val="00AB6695"/>
    <w:rsid w:val="00AC1503"/>
    <w:rsid w:val="00AC1508"/>
    <w:rsid w:val="00AC24F4"/>
    <w:rsid w:val="00AC4958"/>
    <w:rsid w:val="00AC569A"/>
    <w:rsid w:val="00AC62F7"/>
    <w:rsid w:val="00AC795E"/>
    <w:rsid w:val="00AC7AE3"/>
    <w:rsid w:val="00AD2269"/>
    <w:rsid w:val="00AD28CE"/>
    <w:rsid w:val="00AD30D5"/>
    <w:rsid w:val="00AD389C"/>
    <w:rsid w:val="00AD3E6C"/>
    <w:rsid w:val="00AD5315"/>
    <w:rsid w:val="00AD6532"/>
    <w:rsid w:val="00AE00EC"/>
    <w:rsid w:val="00AE0AFA"/>
    <w:rsid w:val="00AE2826"/>
    <w:rsid w:val="00AE31FA"/>
    <w:rsid w:val="00AE341F"/>
    <w:rsid w:val="00AE4AA1"/>
    <w:rsid w:val="00AF3520"/>
    <w:rsid w:val="00AF3781"/>
    <w:rsid w:val="00AF3D9A"/>
    <w:rsid w:val="00AF3E19"/>
    <w:rsid w:val="00AF426A"/>
    <w:rsid w:val="00AF7A68"/>
    <w:rsid w:val="00B00721"/>
    <w:rsid w:val="00B00A55"/>
    <w:rsid w:val="00B00B6C"/>
    <w:rsid w:val="00B0206D"/>
    <w:rsid w:val="00B03835"/>
    <w:rsid w:val="00B05F77"/>
    <w:rsid w:val="00B07A19"/>
    <w:rsid w:val="00B11905"/>
    <w:rsid w:val="00B1287E"/>
    <w:rsid w:val="00B13345"/>
    <w:rsid w:val="00B1395B"/>
    <w:rsid w:val="00B13B0C"/>
    <w:rsid w:val="00B14435"/>
    <w:rsid w:val="00B16F60"/>
    <w:rsid w:val="00B200BC"/>
    <w:rsid w:val="00B20A7A"/>
    <w:rsid w:val="00B20D56"/>
    <w:rsid w:val="00B21933"/>
    <w:rsid w:val="00B225F1"/>
    <w:rsid w:val="00B23E82"/>
    <w:rsid w:val="00B26DD1"/>
    <w:rsid w:val="00B2745D"/>
    <w:rsid w:val="00B27C1D"/>
    <w:rsid w:val="00B31981"/>
    <w:rsid w:val="00B34AF2"/>
    <w:rsid w:val="00B359A2"/>
    <w:rsid w:val="00B37CEA"/>
    <w:rsid w:val="00B412F7"/>
    <w:rsid w:val="00B42406"/>
    <w:rsid w:val="00B439D6"/>
    <w:rsid w:val="00B446FF"/>
    <w:rsid w:val="00B44F34"/>
    <w:rsid w:val="00B45CA9"/>
    <w:rsid w:val="00B469AB"/>
    <w:rsid w:val="00B46BC6"/>
    <w:rsid w:val="00B544DA"/>
    <w:rsid w:val="00B5614C"/>
    <w:rsid w:val="00B56384"/>
    <w:rsid w:val="00B573C1"/>
    <w:rsid w:val="00B575DB"/>
    <w:rsid w:val="00B60237"/>
    <w:rsid w:val="00B6316D"/>
    <w:rsid w:val="00B632E5"/>
    <w:rsid w:val="00B63630"/>
    <w:rsid w:val="00B64F9D"/>
    <w:rsid w:val="00B65AA0"/>
    <w:rsid w:val="00B751AB"/>
    <w:rsid w:val="00B77969"/>
    <w:rsid w:val="00B77A04"/>
    <w:rsid w:val="00B77B7F"/>
    <w:rsid w:val="00B81FE5"/>
    <w:rsid w:val="00B82838"/>
    <w:rsid w:val="00B8783A"/>
    <w:rsid w:val="00B91486"/>
    <w:rsid w:val="00B93735"/>
    <w:rsid w:val="00B938A1"/>
    <w:rsid w:val="00B94272"/>
    <w:rsid w:val="00B944AE"/>
    <w:rsid w:val="00B95282"/>
    <w:rsid w:val="00BA48EE"/>
    <w:rsid w:val="00BA7CD0"/>
    <w:rsid w:val="00BB13A1"/>
    <w:rsid w:val="00BB316A"/>
    <w:rsid w:val="00BB379E"/>
    <w:rsid w:val="00BB3860"/>
    <w:rsid w:val="00BB7F0C"/>
    <w:rsid w:val="00BC1DD7"/>
    <w:rsid w:val="00BC3EB7"/>
    <w:rsid w:val="00BD11FB"/>
    <w:rsid w:val="00BD1C57"/>
    <w:rsid w:val="00BD529B"/>
    <w:rsid w:val="00BD7D3E"/>
    <w:rsid w:val="00BE1FB9"/>
    <w:rsid w:val="00BE50BD"/>
    <w:rsid w:val="00BE61F0"/>
    <w:rsid w:val="00BE6BEB"/>
    <w:rsid w:val="00BE6E10"/>
    <w:rsid w:val="00BF06AB"/>
    <w:rsid w:val="00BF22B9"/>
    <w:rsid w:val="00BF3777"/>
    <w:rsid w:val="00BF420C"/>
    <w:rsid w:val="00C037B6"/>
    <w:rsid w:val="00C0467F"/>
    <w:rsid w:val="00C11FD3"/>
    <w:rsid w:val="00C1492E"/>
    <w:rsid w:val="00C16463"/>
    <w:rsid w:val="00C23AA3"/>
    <w:rsid w:val="00C25240"/>
    <w:rsid w:val="00C27436"/>
    <w:rsid w:val="00C31B17"/>
    <w:rsid w:val="00C34E2D"/>
    <w:rsid w:val="00C34F51"/>
    <w:rsid w:val="00C35D6A"/>
    <w:rsid w:val="00C37FB0"/>
    <w:rsid w:val="00C40A2A"/>
    <w:rsid w:val="00C40F11"/>
    <w:rsid w:val="00C424E6"/>
    <w:rsid w:val="00C424FE"/>
    <w:rsid w:val="00C432B0"/>
    <w:rsid w:val="00C44CD1"/>
    <w:rsid w:val="00C4642F"/>
    <w:rsid w:val="00C46E2C"/>
    <w:rsid w:val="00C4761C"/>
    <w:rsid w:val="00C52097"/>
    <w:rsid w:val="00C5231B"/>
    <w:rsid w:val="00C53523"/>
    <w:rsid w:val="00C54838"/>
    <w:rsid w:val="00C55ECE"/>
    <w:rsid w:val="00C5629B"/>
    <w:rsid w:val="00C56C1D"/>
    <w:rsid w:val="00C570B8"/>
    <w:rsid w:val="00C57E5D"/>
    <w:rsid w:val="00C647FC"/>
    <w:rsid w:val="00C8117F"/>
    <w:rsid w:val="00C91F12"/>
    <w:rsid w:val="00C925BA"/>
    <w:rsid w:val="00C962C1"/>
    <w:rsid w:val="00C97985"/>
    <w:rsid w:val="00CA30F4"/>
    <w:rsid w:val="00CA4E17"/>
    <w:rsid w:val="00CA5F61"/>
    <w:rsid w:val="00CA6D59"/>
    <w:rsid w:val="00CB2971"/>
    <w:rsid w:val="00CB2A1C"/>
    <w:rsid w:val="00CB32C2"/>
    <w:rsid w:val="00CB4740"/>
    <w:rsid w:val="00CB5D82"/>
    <w:rsid w:val="00CB7CA8"/>
    <w:rsid w:val="00CC4B0F"/>
    <w:rsid w:val="00CC7383"/>
    <w:rsid w:val="00CD2251"/>
    <w:rsid w:val="00CD301F"/>
    <w:rsid w:val="00CD60F8"/>
    <w:rsid w:val="00CE2263"/>
    <w:rsid w:val="00CE29C7"/>
    <w:rsid w:val="00CE59E0"/>
    <w:rsid w:val="00CE622D"/>
    <w:rsid w:val="00CE72F6"/>
    <w:rsid w:val="00CF0418"/>
    <w:rsid w:val="00CF140F"/>
    <w:rsid w:val="00CF2335"/>
    <w:rsid w:val="00CF416D"/>
    <w:rsid w:val="00CF74F3"/>
    <w:rsid w:val="00D028A2"/>
    <w:rsid w:val="00D02D7B"/>
    <w:rsid w:val="00D03581"/>
    <w:rsid w:val="00D04838"/>
    <w:rsid w:val="00D07E12"/>
    <w:rsid w:val="00D113B5"/>
    <w:rsid w:val="00D15441"/>
    <w:rsid w:val="00D15E83"/>
    <w:rsid w:val="00D20C60"/>
    <w:rsid w:val="00D229B1"/>
    <w:rsid w:val="00D32AA9"/>
    <w:rsid w:val="00D3423B"/>
    <w:rsid w:val="00D40218"/>
    <w:rsid w:val="00D462B3"/>
    <w:rsid w:val="00D466BC"/>
    <w:rsid w:val="00D521EF"/>
    <w:rsid w:val="00D5540F"/>
    <w:rsid w:val="00D5577A"/>
    <w:rsid w:val="00D57516"/>
    <w:rsid w:val="00D60A1C"/>
    <w:rsid w:val="00D651FB"/>
    <w:rsid w:val="00D666C5"/>
    <w:rsid w:val="00D6673A"/>
    <w:rsid w:val="00D67ADC"/>
    <w:rsid w:val="00D761E6"/>
    <w:rsid w:val="00D80CD5"/>
    <w:rsid w:val="00D80D87"/>
    <w:rsid w:val="00D813C3"/>
    <w:rsid w:val="00D82BCB"/>
    <w:rsid w:val="00D83032"/>
    <w:rsid w:val="00D83DBA"/>
    <w:rsid w:val="00D83DEF"/>
    <w:rsid w:val="00D868F2"/>
    <w:rsid w:val="00D92300"/>
    <w:rsid w:val="00D92560"/>
    <w:rsid w:val="00D951A2"/>
    <w:rsid w:val="00DA1833"/>
    <w:rsid w:val="00DA21E3"/>
    <w:rsid w:val="00DA2E29"/>
    <w:rsid w:val="00DA3C3E"/>
    <w:rsid w:val="00DA45E9"/>
    <w:rsid w:val="00DA7258"/>
    <w:rsid w:val="00DA7A06"/>
    <w:rsid w:val="00DB310C"/>
    <w:rsid w:val="00DB536D"/>
    <w:rsid w:val="00DC2AB5"/>
    <w:rsid w:val="00DC392B"/>
    <w:rsid w:val="00DC4530"/>
    <w:rsid w:val="00DD0335"/>
    <w:rsid w:val="00DD101E"/>
    <w:rsid w:val="00DD16F7"/>
    <w:rsid w:val="00DD2836"/>
    <w:rsid w:val="00DD6EDB"/>
    <w:rsid w:val="00DD76A7"/>
    <w:rsid w:val="00DD7FAF"/>
    <w:rsid w:val="00DE01F2"/>
    <w:rsid w:val="00DE4E7D"/>
    <w:rsid w:val="00DE5697"/>
    <w:rsid w:val="00DE69B2"/>
    <w:rsid w:val="00DE70E7"/>
    <w:rsid w:val="00DF01A2"/>
    <w:rsid w:val="00DF1F44"/>
    <w:rsid w:val="00DF2B46"/>
    <w:rsid w:val="00DF42B9"/>
    <w:rsid w:val="00DF5991"/>
    <w:rsid w:val="00DF60E9"/>
    <w:rsid w:val="00DF636D"/>
    <w:rsid w:val="00DF642F"/>
    <w:rsid w:val="00DF76A7"/>
    <w:rsid w:val="00DF7B6C"/>
    <w:rsid w:val="00E007A3"/>
    <w:rsid w:val="00E00AE7"/>
    <w:rsid w:val="00E01F99"/>
    <w:rsid w:val="00E0226B"/>
    <w:rsid w:val="00E06319"/>
    <w:rsid w:val="00E07C95"/>
    <w:rsid w:val="00E153D1"/>
    <w:rsid w:val="00E21F63"/>
    <w:rsid w:val="00E23F6E"/>
    <w:rsid w:val="00E3178B"/>
    <w:rsid w:val="00E321F7"/>
    <w:rsid w:val="00E34FB8"/>
    <w:rsid w:val="00E35767"/>
    <w:rsid w:val="00E35785"/>
    <w:rsid w:val="00E35E99"/>
    <w:rsid w:val="00E4007F"/>
    <w:rsid w:val="00E42FC2"/>
    <w:rsid w:val="00E45E9E"/>
    <w:rsid w:val="00E5025B"/>
    <w:rsid w:val="00E50E02"/>
    <w:rsid w:val="00E570C4"/>
    <w:rsid w:val="00E574C6"/>
    <w:rsid w:val="00E57DE4"/>
    <w:rsid w:val="00E60AB7"/>
    <w:rsid w:val="00E61755"/>
    <w:rsid w:val="00E76A44"/>
    <w:rsid w:val="00E771D0"/>
    <w:rsid w:val="00E772A6"/>
    <w:rsid w:val="00E819B2"/>
    <w:rsid w:val="00E8682D"/>
    <w:rsid w:val="00E9187F"/>
    <w:rsid w:val="00E96467"/>
    <w:rsid w:val="00E964EC"/>
    <w:rsid w:val="00E96537"/>
    <w:rsid w:val="00EA0B5F"/>
    <w:rsid w:val="00EA1C41"/>
    <w:rsid w:val="00EA45C7"/>
    <w:rsid w:val="00EB0976"/>
    <w:rsid w:val="00EB34FC"/>
    <w:rsid w:val="00EB38A7"/>
    <w:rsid w:val="00EB4DE5"/>
    <w:rsid w:val="00EC0960"/>
    <w:rsid w:val="00EC265C"/>
    <w:rsid w:val="00EC31EB"/>
    <w:rsid w:val="00EC5D03"/>
    <w:rsid w:val="00EC7346"/>
    <w:rsid w:val="00EC7F22"/>
    <w:rsid w:val="00ED04EF"/>
    <w:rsid w:val="00ED27A3"/>
    <w:rsid w:val="00ED3294"/>
    <w:rsid w:val="00ED42EA"/>
    <w:rsid w:val="00ED54FC"/>
    <w:rsid w:val="00ED6CFF"/>
    <w:rsid w:val="00EE0EE5"/>
    <w:rsid w:val="00EE2B5B"/>
    <w:rsid w:val="00EE2F3A"/>
    <w:rsid w:val="00EE30AF"/>
    <w:rsid w:val="00EE3C19"/>
    <w:rsid w:val="00EE48D0"/>
    <w:rsid w:val="00EF24A3"/>
    <w:rsid w:val="00EF4A03"/>
    <w:rsid w:val="00EF58D4"/>
    <w:rsid w:val="00F02156"/>
    <w:rsid w:val="00F04998"/>
    <w:rsid w:val="00F05A8F"/>
    <w:rsid w:val="00F05CC3"/>
    <w:rsid w:val="00F071C5"/>
    <w:rsid w:val="00F07E4F"/>
    <w:rsid w:val="00F11326"/>
    <w:rsid w:val="00F1247C"/>
    <w:rsid w:val="00F157BB"/>
    <w:rsid w:val="00F168D3"/>
    <w:rsid w:val="00F206E3"/>
    <w:rsid w:val="00F211DB"/>
    <w:rsid w:val="00F224F2"/>
    <w:rsid w:val="00F22722"/>
    <w:rsid w:val="00F23EED"/>
    <w:rsid w:val="00F24F69"/>
    <w:rsid w:val="00F26BED"/>
    <w:rsid w:val="00F31EFB"/>
    <w:rsid w:val="00F33CDB"/>
    <w:rsid w:val="00F361E1"/>
    <w:rsid w:val="00F374AF"/>
    <w:rsid w:val="00F43CE1"/>
    <w:rsid w:val="00F4410A"/>
    <w:rsid w:val="00F455E9"/>
    <w:rsid w:val="00F46E6A"/>
    <w:rsid w:val="00F51EA2"/>
    <w:rsid w:val="00F53038"/>
    <w:rsid w:val="00F53133"/>
    <w:rsid w:val="00F6220E"/>
    <w:rsid w:val="00F63B7A"/>
    <w:rsid w:val="00F64447"/>
    <w:rsid w:val="00F65B11"/>
    <w:rsid w:val="00F661A3"/>
    <w:rsid w:val="00F66927"/>
    <w:rsid w:val="00F72D0D"/>
    <w:rsid w:val="00F75B2A"/>
    <w:rsid w:val="00F76389"/>
    <w:rsid w:val="00F812FC"/>
    <w:rsid w:val="00F83068"/>
    <w:rsid w:val="00F83D20"/>
    <w:rsid w:val="00F84F8D"/>
    <w:rsid w:val="00F85008"/>
    <w:rsid w:val="00F867DE"/>
    <w:rsid w:val="00F86EC7"/>
    <w:rsid w:val="00F900F9"/>
    <w:rsid w:val="00F96527"/>
    <w:rsid w:val="00FA1FD1"/>
    <w:rsid w:val="00FA492F"/>
    <w:rsid w:val="00FA744D"/>
    <w:rsid w:val="00FA78CA"/>
    <w:rsid w:val="00FB1A7C"/>
    <w:rsid w:val="00FB25D6"/>
    <w:rsid w:val="00FB28DA"/>
    <w:rsid w:val="00FC158A"/>
    <w:rsid w:val="00FC333E"/>
    <w:rsid w:val="00FC725A"/>
    <w:rsid w:val="00FD4073"/>
    <w:rsid w:val="00FD4EF6"/>
    <w:rsid w:val="00FD62BA"/>
    <w:rsid w:val="00FE2996"/>
    <w:rsid w:val="00FE3120"/>
    <w:rsid w:val="00FE4172"/>
    <w:rsid w:val="00FE64A1"/>
    <w:rsid w:val="00FF1151"/>
    <w:rsid w:val="00FF158E"/>
    <w:rsid w:val="00FF1DD4"/>
    <w:rsid w:val="00FF451F"/>
    <w:rsid w:val="00FF47F7"/>
    <w:rsid w:val="00FF5683"/>
    <w:rsid w:val="00FF6442"/>
    <w:rsid w:val="56A03E18"/>
    <w:rsid w:val="5D39CA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1A404C"/>
  <w15:chartTrackingRefBased/>
  <w15:docId w15:val="{FEFDE737-A628-4330-BB75-50567186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1"/>
    <w:qFormat/>
    <w:rsid w:val="003239F9"/>
    <w:pPr>
      <w:widowControl w:val="0"/>
      <w:autoSpaceDE w:val="0"/>
      <w:autoSpaceDN w:val="0"/>
      <w:spacing w:before="89" w:after="0" w:line="240" w:lineRule="auto"/>
      <w:outlineLvl w:val="0"/>
    </w:pPr>
    <w:rPr>
      <w:rFonts w:ascii="Times New Roman" w:eastAsia="Times New Roman" w:hAnsi="Times New Roman" w:cs="Times New Roman"/>
      <w:b/>
      <w:bCs/>
      <w:sz w:val="28"/>
      <w:szCs w:val="28"/>
    </w:rPr>
  </w:style>
  <w:style w:type="paragraph" w:styleId="Titre2">
    <w:name w:val="heading 2"/>
    <w:basedOn w:val="Normal"/>
    <w:next w:val="Normal"/>
    <w:link w:val="Titre2Car"/>
    <w:uiPriority w:val="9"/>
    <w:unhideWhenUsed/>
    <w:qFormat/>
    <w:rsid w:val="003239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E3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3239F9"/>
    <w:rPr>
      <w:rFonts w:ascii="Times New Roman" w:eastAsia="Times New Roman" w:hAnsi="Times New Roman" w:cs="Times New Roman"/>
      <w:b/>
      <w:bCs/>
      <w:sz w:val="28"/>
      <w:szCs w:val="28"/>
    </w:rPr>
  </w:style>
  <w:style w:type="character" w:customStyle="1" w:styleId="Titre2Car">
    <w:name w:val="Titre 2 Car"/>
    <w:basedOn w:val="Policepardfaut"/>
    <w:link w:val="Titre2"/>
    <w:uiPriority w:val="9"/>
    <w:rsid w:val="003239F9"/>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3239F9"/>
    <w:pPr>
      <w:tabs>
        <w:tab w:val="center" w:pos="4536"/>
        <w:tab w:val="right" w:pos="9072"/>
      </w:tabs>
      <w:spacing w:after="0" w:line="240" w:lineRule="auto"/>
    </w:pPr>
  </w:style>
  <w:style w:type="character" w:customStyle="1" w:styleId="En-tteCar">
    <w:name w:val="En-tête Car"/>
    <w:basedOn w:val="Policepardfaut"/>
    <w:link w:val="En-tte"/>
    <w:uiPriority w:val="99"/>
    <w:rsid w:val="003239F9"/>
  </w:style>
  <w:style w:type="paragraph" w:styleId="Pieddepage">
    <w:name w:val="footer"/>
    <w:basedOn w:val="Normal"/>
    <w:link w:val="PieddepageCar"/>
    <w:uiPriority w:val="99"/>
    <w:unhideWhenUsed/>
    <w:rsid w:val="003239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39F9"/>
  </w:style>
  <w:style w:type="paragraph" w:styleId="Corpsdetexte">
    <w:name w:val="Body Text"/>
    <w:basedOn w:val="Normal"/>
    <w:link w:val="CorpsdetexteCar"/>
    <w:uiPriority w:val="1"/>
    <w:qFormat/>
    <w:rsid w:val="00AE31F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AE31FA"/>
    <w:rPr>
      <w:rFonts w:ascii="Times New Roman" w:eastAsia="Times New Roman" w:hAnsi="Times New Roman" w:cs="Times New Roman"/>
      <w:sz w:val="24"/>
      <w:szCs w:val="24"/>
    </w:rPr>
  </w:style>
  <w:style w:type="paragraph" w:styleId="Paragraphedeliste">
    <w:name w:val="List Paragraph"/>
    <w:aliases w:val="Liste à puce,Liste.,_CC_Bullet,Paragraphe de liste1,Bullet1,Section 5,Bullet 1,List Paragraph1,Table Legend,Bullet List,Bullets Points,Bullet List 2"/>
    <w:basedOn w:val="Normal"/>
    <w:link w:val="ParagraphedelisteCar"/>
    <w:uiPriority w:val="34"/>
    <w:qFormat/>
    <w:rsid w:val="00AE31FA"/>
    <w:pPr>
      <w:ind w:left="720"/>
      <w:contextualSpacing/>
    </w:pPr>
  </w:style>
  <w:style w:type="character" w:customStyle="1" w:styleId="Titre3Car">
    <w:name w:val="Titre 3 Car"/>
    <w:basedOn w:val="Policepardfaut"/>
    <w:link w:val="Titre3"/>
    <w:uiPriority w:val="9"/>
    <w:rsid w:val="00AE31FA"/>
    <w:rPr>
      <w:rFonts w:asciiTheme="majorHAnsi" w:eastAsiaTheme="majorEastAsia" w:hAnsiTheme="majorHAnsi" w:cstheme="majorBidi"/>
      <w:color w:val="1F4D78" w:themeColor="accent1" w:themeShade="7F"/>
      <w:sz w:val="24"/>
      <w:szCs w:val="24"/>
    </w:rPr>
  </w:style>
  <w:style w:type="paragraph" w:customStyle="1" w:styleId="CarCar1Char">
    <w:name w:val="Car Car1 Char"/>
    <w:basedOn w:val="Normal"/>
    <w:rsid w:val="00100401"/>
    <w:pPr>
      <w:spacing w:line="240" w:lineRule="exact"/>
    </w:pPr>
    <w:rPr>
      <w:rFonts w:ascii="Verdana" w:eastAsia="Times New Roman" w:hAnsi="Verdana" w:cs="Verdana"/>
      <w:sz w:val="20"/>
      <w:szCs w:val="20"/>
      <w:lang w:val="en-GB"/>
    </w:rPr>
  </w:style>
  <w:style w:type="character" w:customStyle="1" w:styleId="ParagraphedelisteCar">
    <w:name w:val="Paragraphe de liste Car"/>
    <w:aliases w:val="Liste à puce Car,Liste. Car,_CC_Bullet Car,Paragraphe de liste1 Car,Bullet1 Car,Section 5 Car,Bullet 1 Car,List Paragraph1 Car,Table Legend Car,Bullet List Car,Bullets Points Car,Bullet List 2 Car"/>
    <w:link w:val="Paragraphedeliste"/>
    <w:uiPriority w:val="34"/>
    <w:rsid w:val="000252B1"/>
  </w:style>
  <w:style w:type="paragraph" w:customStyle="1" w:styleId="Default">
    <w:name w:val="Default"/>
    <w:link w:val="DefaultCar"/>
    <w:rsid w:val="005E4E1E"/>
    <w:pPr>
      <w:autoSpaceDE w:val="0"/>
      <w:autoSpaceDN w:val="0"/>
      <w:adjustRightInd w:val="0"/>
      <w:spacing w:after="0" w:line="240" w:lineRule="auto"/>
    </w:pPr>
    <w:rPr>
      <w:rFonts w:ascii="Times New Roman" w:eastAsia="Times New Roman" w:hAnsi="Times New Roman" w:cs="Times New Roman"/>
      <w:color w:val="000000"/>
      <w:lang w:eastAsia="fr-FR"/>
    </w:rPr>
  </w:style>
  <w:style w:type="character" w:customStyle="1" w:styleId="DefaultCar">
    <w:name w:val="Default Car"/>
    <w:link w:val="Default"/>
    <w:locked/>
    <w:rsid w:val="005E4E1E"/>
    <w:rPr>
      <w:rFonts w:ascii="Times New Roman" w:eastAsia="Times New Roman" w:hAnsi="Times New Roman" w:cs="Times New Roman"/>
      <w:color w:val="000000"/>
      <w:lang w:eastAsia="fr-FR"/>
    </w:rPr>
  </w:style>
  <w:style w:type="character" w:styleId="Marquedecommentaire">
    <w:name w:val="annotation reference"/>
    <w:basedOn w:val="Policepardfaut"/>
    <w:uiPriority w:val="99"/>
    <w:unhideWhenUsed/>
    <w:rsid w:val="00187211"/>
    <w:rPr>
      <w:sz w:val="16"/>
      <w:szCs w:val="16"/>
    </w:rPr>
  </w:style>
  <w:style w:type="paragraph" w:styleId="Commentaire">
    <w:name w:val="annotation text"/>
    <w:basedOn w:val="Normal"/>
    <w:link w:val="CommentaireCar"/>
    <w:uiPriority w:val="99"/>
    <w:unhideWhenUsed/>
    <w:rsid w:val="00187211"/>
    <w:pPr>
      <w:spacing w:line="240" w:lineRule="auto"/>
    </w:pPr>
    <w:rPr>
      <w:sz w:val="20"/>
      <w:szCs w:val="20"/>
    </w:rPr>
  </w:style>
  <w:style w:type="character" w:customStyle="1" w:styleId="CommentaireCar">
    <w:name w:val="Commentaire Car"/>
    <w:basedOn w:val="Policepardfaut"/>
    <w:link w:val="Commentaire"/>
    <w:uiPriority w:val="99"/>
    <w:rsid w:val="00187211"/>
    <w:rPr>
      <w:sz w:val="20"/>
      <w:szCs w:val="20"/>
    </w:rPr>
  </w:style>
  <w:style w:type="paragraph" w:styleId="Objetducommentaire">
    <w:name w:val="annotation subject"/>
    <w:basedOn w:val="Commentaire"/>
    <w:next w:val="Commentaire"/>
    <w:link w:val="ObjetducommentaireCar"/>
    <w:uiPriority w:val="99"/>
    <w:semiHidden/>
    <w:unhideWhenUsed/>
    <w:rsid w:val="00187211"/>
    <w:rPr>
      <w:b/>
      <w:bCs/>
    </w:rPr>
  </w:style>
  <w:style w:type="character" w:customStyle="1" w:styleId="ObjetducommentaireCar">
    <w:name w:val="Objet du commentaire Car"/>
    <w:basedOn w:val="CommentaireCar"/>
    <w:link w:val="Objetducommentaire"/>
    <w:uiPriority w:val="99"/>
    <w:semiHidden/>
    <w:rsid w:val="00187211"/>
    <w:rPr>
      <w:b/>
      <w:bCs/>
      <w:sz w:val="20"/>
      <w:szCs w:val="20"/>
    </w:rPr>
  </w:style>
  <w:style w:type="paragraph" w:styleId="Textedebulles">
    <w:name w:val="Balloon Text"/>
    <w:basedOn w:val="Normal"/>
    <w:link w:val="TextedebullesCar"/>
    <w:uiPriority w:val="99"/>
    <w:semiHidden/>
    <w:unhideWhenUsed/>
    <w:rsid w:val="0018721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7211"/>
    <w:rPr>
      <w:rFonts w:ascii="Segoe UI" w:hAnsi="Segoe UI" w:cs="Segoe UI"/>
      <w:sz w:val="18"/>
      <w:szCs w:val="18"/>
    </w:rPr>
  </w:style>
  <w:style w:type="paragraph" w:styleId="Titredenote">
    <w:name w:val="Note Heading"/>
    <w:aliases w:val="Titre de fiche"/>
    <w:basedOn w:val="Normal"/>
    <w:next w:val="Normal"/>
    <w:link w:val="TitredenoteCar"/>
    <w:unhideWhenUsed/>
    <w:rsid w:val="00A36E3B"/>
    <w:pPr>
      <w:keepNext/>
      <w:autoSpaceDE w:val="0"/>
      <w:autoSpaceDN w:val="0"/>
      <w:adjustRightInd w:val="0"/>
      <w:spacing w:after="0" w:line="288" w:lineRule="auto"/>
      <w:jc w:val="center"/>
    </w:pPr>
    <w:rPr>
      <w:rFonts w:ascii="Arial Narrow" w:eastAsiaTheme="minorEastAsia" w:hAnsi="Arial Narrow" w:cs="Arial"/>
      <w:color w:val="000000" w:themeColor="text1"/>
      <w:sz w:val="36"/>
      <w:szCs w:val="36"/>
      <w:lang w:eastAsia="fr-FR"/>
    </w:rPr>
  </w:style>
  <w:style w:type="character" w:customStyle="1" w:styleId="TitredenoteCar">
    <w:name w:val="Titre de note Car"/>
    <w:aliases w:val="Titre de fiche Car"/>
    <w:basedOn w:val="Policepardfaut"/>
    <w:link w:val="Titredenote"/>
    <w:rsid w:val="00A36E3B"/>
    <w:rPr>
      <w:rFonts w:ascii="Arial Narrow" w:eastAsiaTheme="minorEastAsia" w:hAnsi="Arial Narrow" w:cs="Arial"/>
      <w:color w:val="000000" w:themeColor="text1"/>
      <w:sz w:val="36"/>
      <w:szCs w:val="36"/>
      <w:lang w:eastAsia="fr-FR"/>
    </w:rPr>
  </w:style>
  <w:style w:type="paragraph" w:styleId="NormalWeb">
    <w:name w:val="Normal (Web)"/>
    <w:basedOn w:val="Normal"/>
    <w:uiPriority w:val="99"/>
    <w:rsid w:val="00A36E3B"/>
    <w:pPr>
      <w:keepLines/>
      <w:spacing w:after="0" w:line="240" w:lineRule="auto"/>
    </w:pPr>
    <w:rPr>
      <w:rFonts w:ascii="Imago" w:eastAsia="Times New Roman" w:hAnsi="Imago" w:cs="Times New Roman"/>
      <w:sz w:val="24"/>
      <w:szCs w:val="24"/>
      <w:lang w:val="en-US"/>
    </w:rPr>
  </w:style>
  <w:style w:type="paragraph" w:customStyle="1" w:styleId="CarCar1Char0">
    <w:name w:val="Car Car1 Char"/>
    <w:basedOn w:val="Normal"/>
    <w:rsid w:val="00A36E3B"/>
    <w:pPr>
      <w:spacing w:line="240" w:lineRule="exact"/>
    </w:pPr>
    <w:rPr>
      <w:rFonts w:ascii="Verdana" w:eastAsia="Times New Roman" w:hAnsi="Verdana" w:cs="Verdana"/>
      <w:sz w:val="20"/>
      <w:szCs w:val="20"/>
      <w:lang w:val="en-GB"/>
    </w:rPr>
  </w:style>
  <w:style w:type="paragraph" w:styleId="En-ttedetabledesmatires">
    <w:name w:val="TOC Heading"/>
    <w:basedOn w:val="Titre1"/>
    <w:next w:val="Normal"/>
    <w:uiPriority w:val="39"/>
    <w:unhideWhenUsed/>
    <w:qFormat/>
    <w:rsid w:val="00CD60F8"/>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fr-FR"/>
    </w:rPr>
  </w:style>
  <w:style w:type="paragraph" w:styleId="TM1">
    <w:name w:val="toc 1"/>
    <w:basedOn w:val="Normal"/>
    <w:next w:val="Normal"/>
    <w:autoRedefine/>
    <w:uiPriority w:val="39"/>
    <w:unhideWhenUsed/>
    <w:rsid w:val="00CD60F8"/>
    <w:pPr>
      <w:spacing w:after="100"/>
    </w:pPr>
  </w:style>
  <w:style w:type="character" w:styleId="Lienhypertexte">
    <w:name w:val="Hyperlink"/>
    <w:basedOn w:val="Policepardfaut"/>
    <w:uiPriority w:val="99"/>
    <w:unhideWhenUsed/>
    <w:rsid w:val="00CD60F8"/>
    <w:rPr>
      <w:color w:val="0563C1" w:themeColor="hyperlink"/>
      <w:u w:val="single"/>
    </w:rPr>
  </w:style>
  <w:style w:type="character" w:styleId="Titredulivre">
    <w:name w:val="Book Title"/>
    <w:aliases w:val="Pied de page-mentions légales,HAS- Pied de page"/>
    <w:basedOn w:val="Policepardfaut"/>
    <w:uiPriority w:val="99"/>
    <w:rsid w:val="00CD60F8"/>
    <w:rPr>
      <w:rFonts w:ascii="Arial" w:hAnsi="Arial"/>
      <w:b w:val="0"/>
      <w:bCs/>
      <w:caps w:val="0"/>
      <w:smallCaps w:val="0"/>
      <w:color w:val="808080" w:themeColor="background1" w:themeShade="80"/>
      <w:spacing w:val="0"/>
      <w:sz w:val="16"/>
    </w:rPr>
  </w:style>
  <w:style w:type="paragraph" w:styleId="Titre">
    <w:name w:val="Title"/>
    <w:aliases w:val="Titre publication"/>
    <w:basedOn w:val="Normal"/>
    <w:next w:val="Normal"/>
    <w:link w:val="TitreCar"/>
    <w:uiPriority w:val="99"/>
    <w:qFormat/>
    <w:rsid w:val="00CD60F8"/>
    <w:pPr>
      <w:pageBreakBefore/>
      <w:spacing w:after="0" w:line="240" w:lineRule="auto"/>
    </w:pPr>
    <w:rPr>
      <w:rFonts w:ascii="Arial Narrow" w:eastAsiaTheme="majorEastAsia" w:hAnsi="Arial Narrow" w:cstheme="majorBidi"/>
      <w:bCs/>
      <w:color w:val="0D0D0D" w:themeColor="text1" w:themeTint="F2"/>
      <w:sz w:val="60"/>
      <w:szCs w:val="26"/>
      <w:lang w:eastAsia="fr-FR"/>
    </w:rPr>
  </w:style>
  <w:style w:type="character" w:customStyle="1" w:styleId="TitreCar">
    <w:name w:val="Titre Car"/>
    <w:aliases w:val="Titre publication Car"/>
    <w:basedOn w:val="Policepardfaut"/>
    <w:link w:val="Titre"/>
    <w:uiPriority w:val="99"/>
    <w:rsid w:val="00CD60F8"/>
    <w:rPr>
      <w:rFonts w:ascii="Arial Narrow" w:eastAsiaTheme="majorEastAsia" w:hAnsi="Arial Narrow" w:cstheme="majorBidi"/>
      <w:bCs/>
      <w:color w:val="0D0D0D" w:themeColor="text1" w:themeTint="F2"/>
      <w:sz w:val="60"/>
      <w:szCs w:val="26"/>
      <w:lang w:eastAsia="fr-FR"/>
    </w:rPr>
  </w:style>
  <w:style w:type="paragraph" w:styleId="Sous-titre">
    <w:name w:val="Subtitle"/>
    <w:basedOn w:val="Normal"/>
    <w:next w:val="Normal"/>
    <w:link w:val="Sous-titreCar"/>
    <w:qFormat/>
    <w:rsid w:val="00CD60F8"/>
    <w:pPr>
      <w:spacing w:before="100" w:after="40" w:line="288" w:lineRule="auto"/>
      <w:jc w:val="both"/>
    </w:pPr>
    <w:rPr>
      <w:rFonts w:ascii="Arial" w:eastAsiaTheme="minorEastAsia" w:hAnsi="Arial"/>
      <w:color w:val="808080" w:themeColor="background1" w:themeShade="80"/>
      <w:sz w:val="32"/>
      <w:szCs w:val="32"/>
      <w:lang w:eastAsia="fr-FR"/>
    </w:rPr>
  </w:style>
  <w:style w:type="character" w:customStyle="1" w:styleId="Sous-titreCar">
    <w:name w:val="Sous-titre Car"/>
    <w:basedOn w:val="Policepardfaut"/>
    <w:link w:val="Sous-titre"/>
    <w:rsid w:val="00CD60F8"/>
    <w:rPr>
      <w:rFonts w:ascii="Arial" w:eastAsiaTheme="minorEastAsia" w:hAnsi="Arial"/>
      <w:color w:val="808080" w:themeColor="background1" w:themeShade="80"/>
      <w:sz w:val="32"/>
      <w:szCs w:val="32"/>
      <w:lang w:eastAsia="fr-FR"/>
    </w:rPr>
  </w:style>
  <w:style w:type="table" w:styleId="Grilledutableau">
    <w:name w:val="Table Grid"/>
    <w:basedOn w:val="TableauNormal"/>
    <w:uiPriority w:val="59"/>
    <w:rsid w:val="00CD60F8"/>
    <w:pPr>
      <w:spacing w:after="0" w:line="240" w:lineRule="auto"/>
    </w:pPr>
    <w:rPr>
      <w:rFonts w:ascii="Arial" w:eastAsiaTheme="minorEastAsia" w:hAnsi="Arial"/>
      <w:lang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character" w:styleId="lev">
    <w:name w:val="Strong"/>
    <w:aliases w:val="Gras"/>
    <w:basedOn w:val="Policepardfaut"/>
    <w:qFormat/>
    <w:rsid w:val="00CD60F8"/>
    <w:rPr>
      <w:b/>
      <w:bCs/>
    </w:rPr>
  </w:style>
  <w:style w:type="paragraph" w:customStyle="1" w:styleId="Intertitre">
    <w:name w:val="¶ Intertitre"/>
    <w:basedOn w:val="Normal"/>
    <w:next w:val="Normal"/>
    <w:link w:val="IntertitreCar"/>
    <w:uiPriority w:val="11"/>
    <w:qFormat/>
    <w:rsid w:val="00CD60F8"/>
    <w:pPr>
      <w:keepNext/>
      <w:autoSpaceDE w:val="0"/>
      <w:autoSpaceDN w:val="0"/>
      <w:adjustRightInd w:val="0"/>
      <w:spacing w:before="120" w:after="60" w:line="288" w:lineRule="auto"/>
    </w:pPr>
    <w:rPr>
      <w:rFonts w:ascii="Arial Narrow" w:eastAsiaTheme="minorEastAsia" w:hAnsi="Arial Narrow" w:cs="Arial"/>
      <w:b/>
      <w:bCs/>
      <w:color w:val="000000" w:themeColor="text1"/>
      <w:sz w:val="26"/>
      <w:lang w:eastAsia="fr-FR"/>
    </w:rPr>
  </w:style>
  <w:style w:type="character" w:customStyle="1" w:styleId="IntertitreCar">
    <w:name w:val="¶ Intertitre Car"/>
    <w:basedOn w:val="Policepardfaut"/>
    <w:link w:val="Intertitre"/>
    <w:uiPriority w:val="11"/>
    <w:rsid w:val="00CD60F8"/>
    <w:rPr>
      <w:rFonts w:ascii="Arial Narrow" w:eastAsiaTheme="minorEastAsia" w:hAnsi="Arial Narrow" w:cs="Arial"/>
      <w:b/>
      <w:bCs/>
      <w:color w:val="000000" w:themeColor="text1"/>
      <w:sz w:val="26"/>
      <w:lang w:eastAsia="fr-FR"/>
    </w:rPr>
  </w:style>
  <w:style w:type="character" w:styleId="Accentuation">
    <w:name w:val="Emphasis"/>
    <w:aliases w:val="Italique"/>
    <w:basedOn w:val="Policepardfaut"/>
    <w:qFormat/>
    <w:rsid w:val="00CD60F8"/>
    <w:rPr>
      <w:i/>
      <w:iCs/>
    </w:rPr>
  </w:style>
  <w:style w:type="character" w:customStyle="1" w:styleId="Condens">
    <w:name w:val="Condensé"/>
    <w:basedOn w:val="Policepardfaut"/>
    <w:uiPriority w:val="4"/>
    <w:qFormat/>
    <w:rsid w:val="00CD60F8"/>
    <w:rPr>
      <w:spacing w:val="-2"/>
    </w:rPr>
  </w:style>
  <w:style w:type="character" w:customStyle="1" w:styleId="Mention1">
    <w:name w:val="Mention1"/>
    <w:aliases w:val="Texte d'aide"/>
    <w:uiPriority w:val="99"/>
    <w:unhideWhenUsed/>
    <w:rsid w:val="00CD60F8"/>
    <w:rPr>
      <w:rFonts w:ascii="Arial Nova Cond" w:hAnsi="Arial Nova Cond"/>
      <w:color w:val="595959" w:themeColor="text1" w:themeTint="A6"/>
      <w:sz w:val="22"/>
      <w:shd w:val="clear" w:color="auto" w:fill="F2F2F2" w:themeFill="background1" w:themeFillShade="F2"/>
    </w:rPr>
  </w:style>
  <w:style w:type="character" w:styleId="Textedelespacerserv">
    <w:name w:val="Placeholder Text"/>
    <w:basedOn w:val="Policepardfaut"/>
    <w:uiPriority w:val="99"/>
    <w:semiHidden/>
    <w:rsid w:val="00D92560"/>
    <w:rPr>
      <w:color w:val="808080"/>
    </w:rPr>
  </w:style>
  <w:style w:type="paragraph" w:customStyle="1" w:styleId="Paragraphedexplications">
    <w:name w:val="Paragraphe d'explications"/>
    <w:basedOn w:val="Normal"/>
    <w:uiPriority w:val="7"/>
    <w:qFormat/>
    <w:rsid w:val="00D92560"/>
    <w:pPr>
      <w:pBdr>
        <w:left w:val="single" w:sz="4" w:space="4" w:color="808080" w:themeColor="background1" w:themeShade="80"/>
      </w:pBdr>
      <w:spacing w:after="40" w:line="240" w:lineRule="auto"/>
      <w:ind w:left="851"/>
      <w:jc w:val="both"/>
    </w:pPr>
    <w:rPr>
      <w:rFonts w:ascii="Arial Nova Cond" w:eastAsiaTheme="minorEastAsia" w:hAnsi="Arial Nova Cond"/>
      <w:color w:val="808080" w:themeColor="background1" w:themeShade="80"/>
      <w:lang w:eastAsia="fr-FR"/>
    </w:rPr>
  </w:style>
  <w:style w:type="table" w:styleId="Grilledetableauclaire">
    <w:name w:val="Grid Table Light"/>
    <w:aliases w:val="Fond gris"/>
    <w:basedOn w:val="TableauNormal"/>
    <w:uiPriority w:val="40"/>
    <w:rsid w:val="00D92560"/>
    <w:pPr>
      <w:spacing w:after="0" w:line="240" w:lineRule="auto"/>
    </w:pPr>
    <w:rPr>
      <w:rFonts w:ascii="Arial" w:eastAsiaTheme="minorEastAsia" w:hAnsi="Arial"/>
      <w:lang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paragraph" w:customStyle="1" w:styleId="Asupprimer">
    <w:name w:val="A supprimer"/>
    <w:basedOn w:val="Paragraphedexplications"/>
    <w:qFormat/>
    <w:rsid w:val="00CB5D82"/>
    <w:pPr>
      <w:pBdr>
        <w:left w:val="dotted" w:sz="12" w:space="4" w:color="538135" w:themeColor="accent6" w:themeShade="BF"/>
      </w:pBdr>
    </w:pPr>
    <w:rPr>
      <w:color w:val="538135" w:themeColor="accent6" w:themeShade="BF"/>
    </w:rPr>
  </w:style>
  <w:style w:type="paragraph" w:styleId="TM2">
    <w:name w:val="toc 2"/>
    <w:basedOn w:val="Normal"/>
    <w:next w:val="Normal"/>
    <w:autoRedefine/>
    <w:uiPriority w:val="39"/>
    <w:unhideWhenUsed/>
    <w:rsid w:val="005B3210"/>
    <w:pPr>
      <w:spacing w:after="100"/>
      <w:ind w:left="220"/>
    </w:pPr>
  </w:style>
  <w:style w:type="paragraph" w:styleId="Listepuces">
    <w:name w:val="List Bullet"/>
    <w:aliases w:val="Flèche"/>
    <w:basedOn w:val="Paragraphedeliste"/>
    <w:qFormat/>
    <w:rsid w:val="008D5B2B"/>
    <w:pPr>
      <w:tabs>
        <w:tab w:val="num" w:pos="360"/>
      </w:tabs>
      <w:spacing w:before="40" w:after="20" w:line="288" w:lineRule="auto"/>
      <w:ind w:left="360" w:hanging="360"/>
      <w:contextualSpacing w:val="0"/>
      <w:jc w:val="both"/>
    </w:pPr>
    <w:rPr>
      <w:rFonts w:ascii="Arial" w:eastAsiaTheme="minorEastAsia" w:hAnsi="Arial"/>
      <w:color w:val="404040" w:themeColor="text1" w:themeTint="BF"/>
      <w:lang w:eastAsia="fr-FR"/>
    </w:rPr>
  </w:style>
  <w:style w:type="paragraph" w:styleId="Rvision">
    <w:name w:val="Revision"/>
    <w:hidden/>
    <w:uiPriority w:val="99"/>
    <w:semiHidden/>
    <w:rsid w:val="00275EFD"/>
    <w:pPr>
      <w:spacing w:after="0" w:line="240" w:lineRule="auto"/>
    </w:pPr>
  </w:style>
  <w:style w:type="paragraph" w:styleId="Liste2">
    <w:name w:val="List 2"/>
    <w:aliases w:val="Liste tableau"/>
    <w:basedOn w:val="Normal"/>
    <w:qFormat/>
    <w:rsid w:val="00513244"/>
    <w:pPr>
      <w:spacing w:after="40" w:line="288" w:lineRule="auto"/>
      <w:contextualSpacing/>
    </w:pPr>
    <w:rPr>
      <w:rFonts w:ascii="Arial" w:eastAsiaTheme="minorEastAsia" w:hAnsi="Arial"/>
      <w:color w:val="404040" w:themeColor="text1" w:themeTint="BF"/>
      <w:szCs w:val="20"/>
      <w:lang w:eastAsia="fr-FR"/>
    </w:rPr>
  </w:style>
  <w:style w:type="paragraph" w:styleId="Notedebasdepage">
    <w:name w:val="footnote text"/>
    <w:basedOn w:val="Normal"/>
    <w:link w:val="NotedebasdepageCar"/>
    <w:uiPriority w:val="99"/>
    <w:unhideWhenUsed/>
    <w:rsid w:val="00513244"/>
    <w:pPr>
      <w:spacing w:after="40" w:line="240" w:lineRule="auto"/>
    </w:pPr>
    <w:rPr>
      <w:rFonts w:ascii="Arial" w:eastAsiaTheme="minorEastAsia" w:hAnsi="Arial"/>
      <w:color w:val="404040" w:themeColor="text1" w:themeTint="BF"/>
      <w:sz w:val="17"/>
      <w:szCs w:val="20"/>
      <w:lang w:eastAsia="fr-FR"/>
    </w:rPr>
  </w:style>
  <w:style w:type="character" w:customStyle="1" w:styleId="NotedebasdepageCar">
    <w:name w:val="Note de bas de page Car"/>
    <w:basedOn w:val="Policepardfaut"/>
    <w:link w:val="Notedebasdepage"/>
    <w:uiPriority w:val="99"/>
    <w:rsid w:val="00513244"/>
    <w:rPr>
      <w:rFonts w:ascii="Arial" w:eastAsiaTheme="minorEastAsia" w:hAnsi="Arial"/>
      <w:color w:val="404040" w:themeColor="text1" w:themeTint="BF"/>
      <w:sz w:val="17"/>
      <w:szCs w:val="20"/>
      <w:lang w:eastAsia="fr-FR"/>
    </w:rPr>
  </w:style>
  <w:style w:type="character" w:styleId="Appelnotedebasdep">
    <w:name w:val="footnote reference"/>
    <w:basedOn w:val="Policepardfaut"/>
    <w:semiHidden/>
    <w:unhideWhenUsed/>
    <w:rsid w:val="00513244"/>
    <w:rPr>
      <w:vertAlign w:val="superscript"/>
    </w:rPr>
  </w:style>
  <w:style w:type="table" w:customStyle="1" w:styleId="Fondgris1">
    <w:name w:val="Fond gris1"/>
    <w:basedOn w:val="TableauNormal"/>
    <w:next w:val="Grilledetableauclaire"/>
    <w:uiPriority w:val="40"/>
    <w:rsid w:val="00513244"/>
    <w:pPr>
      <w:spacing w:after="0" w:line="240" w:lineRule="auto"/>
    </w:pPr>
    <w:rPr>
      <w:rFonts w:ascii="Arial" w:eastAsiaTheme="minorEastAsia" w:hAnsi="Arial"/>
      <w:lang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paragraph" w:customStyle="1" w:styleId="Text">
    <w:name w:val="Text"/>
    <w:basedOn w:val="Normal"/>
    <w:link w:val="TextChar3"/>
    <w:rsid w:val="00414033"/>
    <w:pPr>
      <w:keepLines/>
      <w:spacing w:before="120" w:after="0" w:line="240" w:lineRule="auto"/>
      <w:jc w:val="both"/>
    </w:pPr>
    <w:rPr>
      <w:rFonts w:ascii="Imago" w:eastAsia="Times New Roman" w:hAnsi="Imago" w:cs="Times New Roman"/>
      <w:sz w:val="24"/>
      <w:szCs w:val="20"/>
      <w:lang w:val="en-US"/>
    </w:rPr>
  </w:style>
  <w:style w:type="paragraph" w:customStyle="1" w:styleId="Listlevel2">
    <w:name w:val="List level 2"/>
    <w:basedOn w:val="Normal"/>
    <w:rsid w:val="00414033"/>
    <w:pPr>
      <w:keepLines/>
      <w:spacing w:before="40" w:after="20" w:line="240" w:lineRule="auto"/>
      <w:ind w:left="850" w:hanging="425"/>
    </w:pPr>
    <w:rPr>
      <w:rFonts w:ascii="Imago" w:eastAsia="Times New Roman" w:hAnsi="Imago" w:cs="Times New Roman"/>
      <w:sz w:val="24"/>
      <w:szCs w:val="20"/>
      <w:lang w:val="en-US"/>
    </w:rPr>
  </w:style>
  <w:style w:type="character" w:customStyle="1" w:styleId="TextChar3">
    <w:name w:val="Text Char3"/>
    <w:link w:val="Text"/>
    <w:locked/>
    <w:rsid w:val="00414033"/>
    <w:rPr>
      <w:rFonts w:ascii="Imago" w:eastAsia="Times New Roman" w:hAnsi="Imago" w:cs="Times New Roman"/>
      <w:sz w:val="24"/>
      <w:szCs w:val="20"/>
      <w:lang w:val="en-US"/>
    </w:rPr>
  </w:style>
  <w:style w:type="paragraph" w:customStyle="1" w:styleId="CarCar1Char1">
    <w:name w:val="Car Car1 Char"/>
    <w:basedOn w:val="Normal"/>
    <w:rsid w:val="00414033"/>
    <w:pPr>
      <w:spacing w:line="240" w:lineRule="exact"/>
    </w:pPr>
    <w:rPr>
      <w:rFonts w:ascii="Verdana" w:eastAsia="Times New Roman" w:hAnsi="Verdana" w:cs="Verdana"/>
      <w:sz w:val="20"/>
      <w:szCs w:val="20"/>
      <w:lang w:val="en-GB"/>
    </w:rPr>
  </w:style>
  <w:style w:type="paragraph" w:customStyle="1" w:styleId="2">
    <w:name w:val="2"/>
    <w:basedOn w:val="Normal"/>
    <w:rsid w:val="007D54B0"/>
    <w:pPr>
      <w:autoSpaceDE w:val="0"/>
      <w:autoSpaceDN w:val="0"/>
      <w:adjustRightInd w:val="0"/>
      <w:spacing w:line="240" w:lineRule="exact"/>
    </w:pPr>
    <w:rPr>
      <w:rFonts w:ascii="Verdana" w:eastAsia="Times New Roman" w:hAnsi="Verdana" w:cs="Verdana"/>
      <w:sz w:val="20"/>
      <w:szCs w:val="20"/>
      <w:lang w:val="en-US"/>
    </w:rPr>
  </w:style>
  <w:style w:type="character" w:styleId="Lienhypertextesuivivisit">
    <w:name w:val="FollowedHyperlink"/>
    <w:basedOn w:val="Policepardfaut"/>
    <w:uiPriority w:val="99"/>
    <w:semiHidden/>
    <w:unhideWhenUsed/>
    <w:rsid w:val="00D32AA9"/>
    <w:rPr>
      <w:color w:val="954F72" w:themeColor="followedHyperlink"/>
      <w:u w:val="single"/>
    </w:rPr>
  </w:style>
  <w:style w:type="paragraph" w:customStyle="1" w:styleId="CarCar1Char2">
    <w:name w:val="Car Car1 Char"/>
    <w:basedOn w:val="Normal"/>
    <w:rsid w:val="000B4F25"/>
    <w:pPr>
      <w:spacing w:line="240" w:lineRule="exact"/>
    </w:pPr>
    <w:rPr>
      <w:rFonts w:ascii="Verdana" w:eastAsia="Times New Roman" w:hAnsi="Verdana" w:cs="Verdana"/>
      <w:sz w:val="20"/>
      <w:szCs w:val="20"/>
      <w:lang w:val="en-GB"/>
    </w:rPr>
  </w:style>
  <w:style w:type="character" w:customStyle="1" w:styleId="markedcontent">
    <w:name w:val="markedcontent"/>
    <w:basedOn w:val="Policepardfaut"/>
    <w:rsid w:val="008E06EA"/>
  </w:style>
  <w:style w:type="paragraph" w:customStyle="1" w:styleId="CarCar1Char3">
    <w:name w:val="Car Car1 Char"/>
    <w:basedOn w:val="Normal"/>
    <w:rsid w:val="003D12FA"/>
    <w:pPr>
      <w:spacing w:line="240" w:lineRule="exact"/>
    </w:pPr>
    <w:rPr>
      <w:rFonts w:ascii="Verdana" w:eastAsia="Times New Roman" w:hAnsi="Verdana" w:cs="Verdana"/>
      <w:sz w:val="20"/>
      <w:szCs w:val="20"/>
      <w:lang w:val="en-GB"/>
    </w:rPr>
  </w:style>
  <w:style w:type="table" w:customStyle="1" w:styleId="Grilledutableau1">
    <w:name w:val="Grille du tableau1"/>
    <w:basedOn w:val="TableauNormal"/>
    <w:next w:val="Grilledutableau"/>
    <w:rsid w:val="006E52FB"/>
    <w:pPr>
      <w:spacing w:after="0" w:line="240" w:lineRule="auto"/>
    </w:pPr>
    <w:rPr>
      <w:rFonts w:ascii="Arial" w:eastAsiaTheme="minorEastAsia" w:hAnsi="Arial"/>
      <w:lang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paragraph" w:customStyle="1" w:styleId="CarCar1Char4">
    <w:name w:val="Car Car1 Char"/>
    <w:basedOn w:val="Normal"/>
    <w:rsid w:val="000129AD"/>
    <w:pPr>
      <w:spacing w:line="240" w:lineRule="exact"/>
    </w:pPr>
    <w:rPr>
      <w:rFonts w:ascii="Verdana" w:eastAsia="Times New Roman" w:hAnsi="Verdana" w:cs="Verdana"/>
      <w:sz w:val="20"/>
      <w:szCs w:val="20"/>
      <w:lang w:val="en-GB"/>
    </w:rPr>
  </w:style>
  <w:style w:type="character" w:customStyle="1" w:styleId="ui-provider">
    <w:name w:val="ui-provider"/>
    <w:basedOn w:val="Policepardfaut"/>
    <w:rsid w:val="003B07E2"/>
  </w:style>
  <w:style w:type="character" w:customStyle="1" w:styleId="cf01">
    <w:name w:val="cf01"/>
    <w:basedOn w:val="Policepardfaut"/>
    <w:rsid w:val="00AA7CC4"/>
    <w:rPr>
      <w:rFonts w:ascii="Segoe UI" w:hAnsi="Segoe UI" w:cs="Segoe UI" w:hint="default"/>
      <w:sz w:val="18"/>
      <w:szCs w:val="18"/>
    </w:rPr>
  </w:style>
  <w:style w:type="paragraph" w:customStyle="1" w:styleId="pf0">
    <w:name w:val="pf0"/>
    <w:basedOn w:val="Normal"/>
    <w:rsid w:val="00AA7C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ixed-citation">
    <w:name w:val="mixed-citation"/>
    <w:basedOn w:val="Policepardfaut"/>
    <w:rsid w:val="00B13B0C"/>
  </w:style>
  <w:style w:type="paragraph" w:styleId="TM3">
    <w:name w:val="toc 3"/>
    <w:basedOn w:val="Normal"/>
    <w:next w:val="Normal"/>
    <w:autoRedefine/>
    <w:uiPriority w:val="39"/>
    <w:unhideWhenUsed/>
    <w:rsid w:val="00E42FC2"/>
    <w:pPr>
      <w:spacing w:after="100"/>
      <w:ind w:left="440"/>
    </w:pPr>
  </w:style>
  <w:style w:type="character" w:customStyle="1" w:styleId="UnresolvedMention">
    <w:name w:val="Unresolved Mention"/>
    <w:basedOn w:val="Policepardfaut"/>
    <w:uiPriority w:val="99"/>
    <w:semiHidden/>
    <w:unhideWhenUsed/>
    <w:rsid w:val="00B37CEA"/>
    <w:rPr>
      <w:color w:val="605E5C"/>
      <w:shd w:val="clear" w:color="auto" w:fill="E1DFDD"/>
    </w:rPr>
  </w:style>
  <w:style w:type="paragraph" w:customStyle="1" w:styleId="CarCar1Char00">
    <w:name w:val="Car Car1 Char0"/>
    <w:basedOn w:val="Normal"/>
    <w:rsid w:val="00F071C5"/>
    <w:pPr>
      <w:spacing w:line="240" w:lineRule="exact"/>
    </w:pPr>
    <w:rPr>
      <w:rFonts w:ascii="Verdana" w:eastAsia="Times New Roman" w:hAnsi="Verdana" w:cs="Verdana"/>
      <w:sz w:val="20"/>
      <w:szCs w:val="20"/>
      <w:lang w:val="en-GB"/>
    </w:rPr>
  </w:style>
  <w:style w:type="paragraph" w:customStyle="1" w:styleId="CarCar1Char10">
    <w:name w:val="Car Car1 Char1"/>
    <w:basedOn w:val="Normal"/>
    <w:rsid w:val="00F071C5"/>
    <w:pPr>
      <w:spacing w:line="240" w:lineRule="exact"/>
    </w:pPr>
    <w:rPr>
      <w:rFonts w:ascii="Verdana" w:eastAsia="Times New Roman" w:hAnsi="Verdana" w:cs="Verdana"/>
      <w:sz w:val="20"/>
      <w:szCs w:val="20"/>
      <w:lang w:val="en-GB"/>
    </w:rPr>
  </w:style>
  <w:style w:type="paragraph" w:customStyle="1" w:styleId="CarCar1Char20">
    <w:name w:val="Car Car1 Char2"/>
    <w:basedOn w:val="Normal"/>
    <w:rsid w:val="00F071C5"/>
    <w:pPr>
      <w:spacing w:line="240" w:lineRule="exact"/>
    </w:pPr>
    <w:rPr>
      <w:rFonts w:ascii="Verdana" w:eastAsia="Times New Roman" w:hAnsi="Verdana" w:cs="Verdana"/>
      <w:sz w:val="20"/>
      <w:szCs w:val="20"/>
      <w:lang w:val="en-GB"/>
    </w:rPr>
  </w:style>
  <w:style w:type="paragraph" w:customStyle="1" w:styleId="CarCar1Char30">
    <w:name w:val="Car Car1 Char3"/>
    <w:basedOn w:val="Normal"/>
    <w:rsid w:val="00F071C5"/>
    <w:pPr>
      <w:spacing w:line="240" w:lineRule="exact"/>
    </w:pPr>
    <w:rPr>
      <w:rFonts w:ascii="Verdana" w:eastAsia="Times New Roman" w:hAnsi="Verdana" w:cs="Verdana"/>
      <w:sz w:val="20"/>
      <w:szCs w:val="20"/>
      <w:lang w:val="en-GB"/>
    </w:rPr>
  </w:style>
  <w:style w:type="paragraph" w:customStyle="1" w:styleId="CarCar1Char40">
    <w:name w:val="Car Car1 Char4"/>
    <w:basedOn w:val="Normal"/>
    <w:rsid w:val="00F071C5"/>
    <w:pPr>
      <w:spacing w:line="240" w:lineRule="exact"/>
    </w:pPr>
    <w:rPr>
      <w:rFonts w:ascii="Verdana" w:eastAsia="Times New Roman"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572951">
      <w:bodyDiv w:val="1"/>
      <w:marLeft w:val="0"/>
      <w:marRight w:val="0"/>
      <w:marTop w:val="0"/>
      <w:marBottom w:val="0"/>
      <w:divBdr>
        <w:top w:val="none" w:sz="0" w:space="0" w:color="auto"/>
        <w:left w:val="none" w:sz="0" w:space="0" w:color="auto"/>
        <w:bottom w:val="none" w:sz="0" w:space="0" w:color="auto"/>
        <w:right w:val="none" w:sz="0" w:space="0" w:color="auto"/>
      </w:divBdr>
    </w:div>
    <w:div w:id="309209973">
      <w:bodyDiv w:val="1"/>
      <w:marLeft w:val="0"/>
      <w:marRight w:val="0"/>
      <w:marTop w:val="0"/>
      <w:marBottom w:val="0"/>
      <w:divBdr>
        <w:top w:val="none" w:sz="0" w:space="0" w:color="auto"/>
        <w:left w:val="none" w:sz="0" w:space="0" w:color="auto"/>
        <w:bottom w:val="none" w:sz="0" w:space="0" w:color="auto"/>
        <w:right w:val="none" w:sz="0" w:space="0" w:color="auto"/>
      </w:divBdr>
    </w:div>
    <w:div w:id="1441146301">
      <w:bodyDiv w:val="1"/>
      <w:marLeft w:val="240"/>
      <w:marRight w:val="240"/>
      <w:marTop w:val="240"/>
      <w:marBottom w:val="60"/>
      <w:divBdr>
        <w:top w:val="none" w:sz="0" w:space="0" w:color="auto"/>
        <w:left w:val="none" w:sz="0" w:space="0" w:color="auto"/>
        <w:bottom w:val="none" w:sz="0" w:space="0" w:color="auto"/>
        <w:right w:val="none" w:sz="0" w:space="0" w:color="auto"/>
      </w:divBdr>
      <w:divsChild>
        <w:div w:id="332682645">
          <w:marLeft w:val="0"/>
          <w:marRight w:val="0"/>
          <w:marTop w:val="0"/>
          <w:marBottom w:val="0"/>
          <w:divBdr>
            <w:top w:val="none" w:sz="0" w:space="0" w:color="auto"/>
            <w:left w:val="none" w:sz="0" w:space="0" w:color="auto"/>
            <w:bottom w:val="single" w:sz="6" w:space="9" w:color="C8C8C8"/>
            <w:right w:val="none" w:sz="0" w:space="0" w:color="auto"/>
          </w:divBdr>
          <w:divsChild>
            <w:div w:id="1636175453">
              <w:marLeft w:val="0"/>
              <w:marRight w:val="0"/>
              <w:marTop w:val="0"/>
              <w:marBottom w:val="0"/>
              <w:divBdr>
                <w:top w:val="none" w:sz="0" w:space="0" w:color="auto"/>
                <w:left w:val="none" w:sz="0" w:space="0" w:color="auto"/>
                <w:bottom w:val="none" w:sz="0" w:space="0" w:color="auto"/>
                <w:right w:val="none" w:sz="0" w:space="0" w:color="auto"/>
              </w:divBdr>
              <w:divsChild>
                <w:div w:id="229535621">
                  <w:marLeft w:val="0"/>
                  <w:marRight w:val="0"/>
                  <w:marTop w:val="0"/>
                  <w:marBottom w:val="0"/>
                  <w:divBdr>
                    <w:top w:val="none" w:sz="0" w:space="0" w:color="auto"/>
                    <w:left w:val="none" w:sz="0" w:space="0" w:color="auto"/>
                    <w:bottom w:val="none" w:sz="0" w:space="0" w:color="auto"/>
                    <w:right w:val="none" w:sz="0" w:space="0" w:color="auto"/>
                  </w:divBdr>
                  <w:divsChild>
                    <w:div w:id="119567936">
                      <w:marLeft w:val="272"/>
                      <w:marRight w:val="46"/>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812791662">
      <w:bodyDiv w:val="1"/>
      <w:marLeft w:val="0"/>
      <w:marRight w:val="0"/>
      <w:marTop w:val="0"/>
      <w:marBottom w:val="0"/>
      <w:divBdr>
        <w:top w:val="none" w:sz="0" w:space="0" w:color="auto"/>
        <w:left w:val="none" w:sz="0" w:space="0" w:color="auto"/>
        <w:bottom w:val="none" w:sz="0" w:space="0" w:color="auto"/>
        <w:right w:val="none" w:sz="0" w:space="0" w:color="auto"/>
      </w:divBdr>
    </w:div>
    <w:div w:id="187414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hyperlink" Target="https://signalement.social-sante.gouv.fr" TargetMode="External"/><Relationship Id="rId26" Type="http://schemas.openxmlformats.org/officeDocument/2006/relationships/hyperlink" Target="mailto:privacyoffice@abbvie.com" TargetMode="External"/><Relationship Id="rId39" Type="http://schemas.openxmlformats.org/officeDocument/2006/relationships/hyperlink" Target="mailto:privacyoffice@abbvie.com" TargetMode="External"/><Relationship Id="rId21" Type="http://schemas.openxmlformats.org/officeDocument/2006/relationships/hyperlink" Target="mailto:cpc-botox@axonal.com" TargetMode="External"/><Relationship Id="rId34" Type="http://schemas.openxmlformats.org/officeDocument/2006/relationships/hyperlink" Target="file:///D:\Users\Mreidibo\AppData\Local\Temp\kaftrio_putrd_vcellule.docx" TargetMode="External"/><Relationship Id="rId42" Type="http://schemas.openxmlformats.org/officeDocument/2006/relationships/hyperlink" Target="file:///D:\Users\Mreidibo\AppData\Local\Temp\kaftrio_putrd_vcellule.docx" TargetMode="External"/><Relationship Id="rId47" Type="http://schemas.openxmlformats.org/officeDocument/2006/relationships/hyperlink" Target="mailto:privacyoffice@abbvie.com" TargetMode="External"/><Relationship Id="rId50" Type="http://schemas.openxmlformats.org/officeDocument/2006/relationships/hyperlink" Target="mailto:privacyoffice@abbvie.com" TargetMode="External"/><Relationship Id="rId55" Type="http://schemas.openxmlformats.org/officeDocument/2006/relationships/hyperlink" Target="http://www.ansm.sante.fr" TargetMode="External"/><Relationship Id="rId63" Type="http://schemas.openxmlformats.org/officeDocument/2006/relationships/hyperlink" Target="https://vraie-vie.abbvie.fr/" TargetMode="External"/><Relationship Id="rId68" Type="http://schemas.openxmlformats.org/officeDocument/2006/relationships/hyperlink" Target="mailto:privacyoffice@abbvie.com" TargetMode="External"/><Relationship Id="rId76" Type="http://schemas.openxmlformats.org/officeDocument/2006/relationships/hyperlink" Target="https://abbviemetadata.my.site.com/AbbvieDSRM/s/?language=en_US"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legifrance.gouv.fr/codes/article_lc/LEGIARTI000041721215/" TargetMode="Externa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hyperlink" Target="https://abbviemetadata.my.site.com/AbbvieDSRM/s/?language=en_US" TargetMode="External"/><Relationship Id="rId11" Type="http://schemas.openxmlformats.org/officeDocument/2006/relationships/customXml" Target="ink/ink1.xml"/><Relationship Id="rId24" Type="http://schemas.openxmlformats.org/officeDocument/2006/relationships/hyperlink" Target="mailto:cpc-botox@axonal.com" TargetMode="External"/><Relationship Id="rId32" Type="http://schemas.openxmlformats.org/officeDocument/2006/relationships/hyperlink" Target="http://www.abbvie.fr/privacy/home.html" TargetMode="External"/><Relationship Id="rId37" Type="http://schemas.openxmlformats.org/officeDocument/2006/relationships/hyperlink" Target="https://abbviemetadata.my.site.com/AbbvieDSRM/s/?language=en_US" TargetMode="External"/><Relationship Id="rId40" Type="http://schemas.openxmlformats.org/officeDocument/2006/relationships/hyperlink" Target="http://www.abbvie.fr/privacy/home.html" TargetMode="External"/><Relationship Id="rId45" Type="http://schemas.openxmlformats.org/officeDocument/2006/relationships/hyperlink" Target="https://abbviemetadata.my.site.com/AbbvieDSRM/s/?language=en_US" TargetMode="External"/><Relationship Id="rId53" Type="http://schemas.openxmlformats.org/officeDocument/2006/relationships/hyperlink" Target="mailto:privacyoffice@abbvie.com" TargetMode="External"/><Relationship Id="rId58" Type="http://schemas.openxmlformats.org/officeDocument/2006/relationships/footer" Target="footer1.xml"/><Relationship Id="rId66" Type="http://schemas.openxmlformats.org/officeDocument/2006/relationships/hyperlink" Target="https://eur-lex.europa.eu/legal-content/FR/TXT/PDF/?uri=CELEX:32016R0679&amp;from=FR" TargetMode="External"/><Relationship Id="rId74" Type="http://schemas.openxmlformats.org/officeDocument/2006/relationships/hyperlink" Target="mailto:privacyoffice@abbvie.com" TargetMode="External"/><Relationship Id="rId79" Type="http://schemas.openxmlformats.org/officeDocument/2006/relationships/hyperlink" Target="file:///D:\Users\emichaud\Documents\GroupWise\www.cnil.fr" TargetMode="External"/><Relationship Id="rId5" Type="http://schemas.openxmlformats.org/officeDocument/2006/relationships/webSettings" Target="webSettings.xml"/><Relationship Id="rId61" Type="http://schemas.openxmlformats.org/officeDocument/2006/relationships/hyperlink" Target="https://www.legifrance.gouv.fr/loda/id/LEGISCTA000006095896" TargetMode="External"/><Relationship Id="rId82" Type="http://schemas.openxmlformats.org/officeDocument/2006/relationships/hyperlink" Target="https://ansm.sante.fr/documents/reference/referentiel-des-specialites-en-acces-derogatoire?checked%5B%5D=cpc+en+cours" TargetMode="External"/><Relationship Id="rId90" Type="http://schemas.microsoft.com/office/2016/09/relationships/commentsIds" Target="commentsIds.xml"/><Relationship Id="rId19" Type="http://schemas.openxmlformats.org/officeDocument/2006/relationships/hyperlink" Target="http://www.ansm.sante.fr/" TargetMode="External"/><Relationship Id="rId4" Type="http://schemas.openxmlformats.org/officeDocument/2006/relationships/settings" Target="settings.xml"/><Relationship Id="rId9" Type="http://schemas.openxmlformats.org/officeDocument/2006/relationships/hyperlink" Target="mailto:cpc@ansm.sante.fr" TargetMode="External"/><Relationship Id="rId14" Type="http://schemas.openxmlformats.org/officeDocument/2006/relationships/image" Target="media/image1.emf"/><Relationship Id="rId22" Type="http://schemas.openxmlformats.org/officeDocument/2006/relationships/hyperlink" Target="http://www.ansm.sante.fr" TargetMode="External"/><Relationship Id="rId27" Type="http://schemas.openxmlformats.org/officeDocument/2006/relationships/hyperlink" Target="mailto:privacyoffice@abbvie.com" TargetMode="External"/><Relationship Id="rId30" Type="http://schemas.openxmlformats.org/officeDocument/2006/relationships/hyperlink" Target="mailto:privacydsr@abbvie.com" TargetMode="External"/><Relationship Id="rId35" Type="http://schemas.openxmlformats.org/officeDocument/2006/relationships/hyperlink" Target="mailto:privacyoffice@abbvie.com" TargetMode="External"/><Relationship Id="rId43" Type="http://schemas.openxmlformats.org/officeDocument/2006/relationships/hyperlink" Target="mailto:privacyoffice@abbvie.com" TargetMode="External"/><Relationship Id="rId48" Type="http://schemas.openxmlformats.org/officeDocument/2006/relationships/hyperlink" Target="http://www.abbvie.fr/privacy/home.html" TargetMode="External"/><Relationship Id="rId56" Type="http://schemas.openxmlformats.org/officeDocument/2006/relationships/hyperlink" Target="http://base-/" TargetMode="External"/><Relationship Id="rId64" Type="http://schemas.openxmlformats.org/officeDocument/2006/relationships/hyperlink" Target="https://eur-lex.europa.eu/legal-content/FR/TXT/PDF/?uri=CELEX:32016R0679&amp;from=FR" TargetMode="External"/><Relationship Id="rId69" Type="http://schemas.openxmlformats.org/officeDocument/2006/relationships/hyperlink" Target="https://www.cnil.fr/" TargetMode="External"/><Relationship Id="rId77" Type="http://schemas.openxmlformats.org/officeDocument/2006/relationships/hyperlink" Target="mailto:privacydsr@abbvie.com" TargetMode="External"/><Relationship Id="rId8" Type="http://schemas.openxmlformats.org/officeDocument/2006/relationships/hyperlink" Target="mailto:France.acap@abbvie.com" TargetMode="External"/><Relationship Id="rId51" Type="http://schemas.openxmlformats.org/officeDocument/2006/relationships/hyperlink" Target="https://abbviemetadata.my.site.com/AbbvieDSRM/s/?language=en_US" TargetMode="External"/><Relationship Id="rId72" Type="http://schemas.openxmlformats.org/officeDocument/2006/relationships/hyperlink" Target="https://www.legifrance.gouv.fr/codes/section_lc/LEGITEXT000006072665/LEGISCTA000045163336/" TargetMode="External"/><Relationship Id="rId80" Type="http://schemas.openxmlformats.org/officeDocument/2006/relationships/hyperlink" Target="https://base-donnees-publique.medicaments.gouv.fr/" TargetMode="External"/><Relationship Id="rId85" Type="http://schemas.openxmlformats.org/officeDocument/2006/relationships/glossaryDocument" Target="glossary/document.xml"/><Relationship Id="rId3" Type="http://schemas.openxmlformats.org/officeDocument/2006/relationships/styles" Target="styles.xml"/><Relationship Id="rId17" Type="http://schemas.openxmlformats.org/officeDocument/2006/relationships/image" Target="media/image2.png"/><Relationship Id="rId25" Type="http://schemas.openxmlformats.org/officeDocument/2006/relationships/hyperlink" Target="http://www.ansm.sante.fr" TargetMode="External"/><Relationship Id="rId33" Type="http://schemas.openxmlformats.org/officeDocument/2006/relationships/hyperlink" Target="file:///D:\Users\Mreidibo\AppData\Local\Temp\kaftrio_putrd_vcellule.docx" TargetMode="External"/><Relationship Id="rId38" Type="http://schemas.openxmlformats.org/officeDocument/2006/relationships/hyperlink" Target="mailto:privacydsr@abbvie.com" TargetMode="External"/><Relationship Id="rId46" Type="http://schemas.openxmlformats.org/officeDocument/2006/relationships/hyperlink" Target="mailto:privacydsr@abbvie.com" TargetMode="External"/><Relationship Id="rId59" Type="http://schemas.openxmlformats.org/officeDocument/2006/relationships/hyperlink" Target="mailto:privacyoffice@abbvie.com" TargetMode="External"/><Relationship Id="rId67" Type="http://schemas.openxmlformats.org/officeDocument/2006/relationships/hyperlink" Target="mailto:privacyoffice@abbvie.com" TargetMode="External"/><Relationship Id="rId20" Type="http://schemas.openxmlformats.org/officeDocument/2006/relationships/hyperlink" Target="https://vraie-vie.abbvie.fr/" TargetMode="External"/><Relationship Id="rId41" Type="http://schemas.openxmlformats.org/officeDocument/2006/relationships/hyperlink" Target="file:///D:\Users\Mreidibo\AppData\Local\Temp\kaftrio_putrd_vcellule.docx" TargetMode="External"/><Relationship Id="rId54" Type="http://schemas.openxmlformats.org/officeDocument/2006/relationships/hyperlink" Target="http://www.abbvie.fr/privacy/home.html" TargetMode="External"/><Relationship Id="rId62" Type="http://schemas.openxmlformats.org/officeDocument/2006/relationships/hyperlink" Target="https://www.health-data-hub.fr/projets" TargetMode="External"/><Relationship Id="rId70" Type="http://schemas.openxmlformats.org/officeDocument/2006/relationships/hyperlink" Target="https://eur-lex.europa.eu/legal-content/FR/TXT/PDF/?uri=CELEX:32016R0679&amp;from=FR" TargetMode="External"/><Relationship Id="rId75" Type="http://schemas.openxmlformats.org/officeDocument/2006/relationships/hyperlink" Target="mailto:privacyoffice@abbvie.com" TargetMode="External"/><Relationship Id="rId83" Type="http://schemas.openxmlformats.org/officeDocument/2006/relationships/hyperlink" Target="http://www.ansm.sante.f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se-donnees-publique.medicaments.gouv.fr/" TargetMode="External"/><Relationship Id="rId23" Type="http://schemas.openxmlformats.org/officeDocument/2006/relationships/hyperlink" Target="https://vraie-vie.abbvie.fr/" TargetMode="External"/><Relationship Id="rId28" Type="http://schemas.openxmlformats.org/officeDocument/2006/relationships/hyperlink" Target="mailto:privacyoffice@abbvie.com" TargetMode="External"/><Relationship Id="rId36" Type="http://schemas.openxmlformats.org/officeDocument/2006/relationships/hyperlink" Target="mailto:privacyoffice@abbvie.com" TargetMode="External"/><Relationship Id="rId49" Type="http://schemas.openxmlformats.org/officeDocument/2006/relationships/hyperlink" Target="mailto:privacyoffice@abbvie.com" TargetMode="External"/><Relationship Id="rId57" Type="http://schemas.openxmlformats.org/officeDocument/2006/relationships/hyperlink" Target="https://urldefense.com/v3/__https:/signalement.social-sante.gouv.fr/__;!!AoaiBx6H!yxpDNFCdhn2RrTaapIgX4QXHdHf_wSc0hKuNMSvPZTxNAlljXlA0r-XzVyTgaFbu29lbqORdiJOp5dT6-3onDV-uGkQt-rBWU8Y$" TargetMode="External"/><Relationship Id="rId10" Type="http://schemas.openxmlformats.org/officeDocument/2006/relationships/hyperlink" Target="http://base-donnees-publique.medicaments.gouv.fr" TargetMode="External"/><Relationship Id="rId31" Type="http://schemas.openxmlformats.org/officeDocument/2006/relationships/hyperlink" Target="mailto:privacyoffice@abbvie.com" TargetMode="External"/><Relationship Id="rId44" Type="http://schemas.openxmlformats.org/officeDocument/2006/relationships/hyperlink" Target="mailto:privacyoffice@abbvie.com" TargetMode="External"/><Relationship Id="rId52" Type="http://schemas.openxmlformats.org/officeDocument/2006/relationships/hyperlink" Target="mailto:privacydsr@abbvie.com" TargetMode="External"/><Relationship Id="rId60" Type="http://schemas.openxmlformats.org/officeDocument/2006/relationships/hyperlink" Target="https://eur-lex.europa.eu/legal-content/FR/TXT/PDF/?uri=CELEX:32016R0679&amp;from=FR" TargetMode="External"/><Relationship Id="rId65" Type="http://schemas.openxmlformats.org/officeDocument/2006/relationships/hyperlink" Target="https://www.legifrance.gouv.fr/codes/article_lc/LEGIARTI000044628309/2023-01-16" TargetMode="External"/><Relationship Id="rId73" Type="http://schemas.openxmlformats.org/officeDocument/2006/relationships/hyperlink" Target="https://eur-lex.europa.eu/legal-content/FR/TXT/PDF/?uri=CELEX:32016R0679&amp;from=FR" TargetMode="External"/><Relationship Id="rId78" Type="http://schemas.openxmlformats.org/officeDocument/2006/relationships/hyperlink" Target="http://www.abbvie.fr/privacy/home.html" TargetMode="External"/><Relationship Id="rId81" Type="http://schemas.openxmlformats.org/officeDocument/2006/relationships/hyperlink" Target="https://base-donnees-publique.medicaments.gouv.fr/" TargetMode="External"/><Relationship Id="rId86"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82E6F3946224A8FB855746FC4822340"/>
        <w:category>
          <w:name w:val="Général"/>
          <w:gallery w:val="placeholder"/>
        </w:category>
        <w:types>
          <w:type w:val="bbPlcHdr"/>
        </w:types>
        <w:behaviors>
          <w:behavior w:val="content"/>
        </w:behaviors>
        <w:guid w:val="{28EDE14C-5996-4A42-85B5-CE998043619A}"/>
      </w:docPartPr>
      <w:docPartBody>
        <w:p w:rsidR="00581F63" w:rsidRDefault="00581F63" w:rsidP="00581F63">
          <w:pPr>
            <w:pStyle w:val="082E6F3946224A8FB855746FC4822340"/>
          </w:pPr>
          <w:r w:rsidRPr="00A62BF5">
            <w:rPr>
              <w:rStyle w:val="Mention1"/>
            </w:rPr>
            <w:t>Renseigner le nom de spécialité si déjà déterminé</w:t>
          </w:r>
        </w:p>
      </w:docPartBody>
    </w:docPart>
    <w:docPart>
      <w:docPartPr>
        <w:name w:val="4D8FEF52A8764996B03490A3A1A9A211"/>
        <w:category>
          <w:name w:val="Général"/>
          <w:gallery w:val="placeholder"/>
        </w:category>
        <w:types>
          <w:type w:val="bbPlcHdr"/>
        </w:types>
        <w:behaviors>
          <w:behavior w:val="content"/>
        </w:behaviors>
        <w:guid w:val="{28387E2D-D5C7-4003-9A72-13B1852F2799}"/>
      </w:docPartPr>
      <w:docPartBody>
        <w:p w:rsidR="00581F63" w:rsidRDefault="00581F63" w:rsidP="00581F63">
          <w:pPr>
            <w:pStyle w:val="4D8FEF52A8764996B03490A3A1A9A211"/>
          </w:pPr>
          <w:r w:rsidRPr="0031788C">
            <w:rPr>
              <w:rStyle w:val="Mention1"/>
            </w:rPr>
            <w:t>Indication simplifiée revendiquée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Gras">
    <w:panose1 w:val="020B0704020202020204"/>
    <w:charset w:val="00"/>
    <w:family w:val="swiss"/>
    <w:pitch w:val="default"/>
  </w:font>
  <w:font w:name="Arial">
    <w:panose1 w:val="020B0604020202020204"/>
    <w:charset w:val="00"/>
    <w:family w:val="swiss"/>
    <w:pitch w:val="variable"/>
    <w:sig w:usb0="E0002EFF" w:usb1="C000785B" w:usb2="00000009" w:usb3="00000000" w:csb0="000001FF" w:csb1="00000000"/>
  </w:font>
  <w:font w:name="&quot;Arial&quot;,sans-serif">
    <w:altName w:val="Cambria"/>
    <w:panose1 w:val="00000000000000000000"/>
    <w:charset w:val="00"/>
    <w:family w:val="roman"/>
    <w:notTrueType/>
    <w:pitch w:val="default"/>
  </w:font>
  <w:font w:name="Arial Nova Cond">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ago">
    <w:altName w:val="Times New Roman"/>
    <w:charset w:val="00"/>
    <w:family w:val="auto"/>
    <w:pitch w:val="variable"/>
    <w:sig w:usb0="A00002AF" w:usb1="500020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HelveticaNeueLT Std Lt">
    <w:altName w:val="Arial"/>
    <w:charset w:val="00"/>
    <w:family w:val="swiss"/>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41"/>
    <w:rsid w:val="00051FC8"/>
    <w:rsid w:val="000538A6"/>
    <w:rsid w:val="00101638"/>
    <w:rsid w:val="00101876"/>
    <w:rsid w:val="00104D56"/>
    <w:rsid w:val="00140BB6"/>
    <w:rsid w:val="001708A0"/>
    <w:rsid w:val="001B4D38"/>
    <w:rsid w:val="001D2A45"/>
    <w:rsid w:val="00213B30"/>
    <w:rsid w:val="00214302"/>
    <w:rsid w:val="00235F45"/>
    <w:rsid w:val="00290637"/>
    <w:rsid w:val="002E6732"/>
    <w:rsid w:val="003226ED"/>
    <w:rsid w:val="00323B90"/>
    <w:rsid w:val="00367CEF"/>
    <w:rsid w:val="0037660B"/>
    <w:rsid w:val="003E4B3F"/>
    <w:rsid w:val="004069F7"/>
    <w:rsid w:val="00450633"/>
    <w:rsid w:val="004A44C6"/>
    <w:rsid w:val="004B4165"/>
    <w:rsid w:val="004D26EE"/>
    <w:rsid w:val="00500426"/>
    <w:rsid w:val="00507A60"/>
    <w:rsid w:val="0051268E"/>
    <w:rsid w:val="005572B8"/>
    <w:rsid w:val="00567386"/>
    <w:rsid w:val="0057583C"/>
    <w:rsid w:val="00581F63"/>
    <w:rsid w:val="005B1A70"/>
    <w:rsid w:val="005B4D94"/>
    <w:rsid w:val="005E4597"/>
    <w:rsid w:val="005F3F83"/>
    <w:rsid w:val="005F611F"/>
    <w:rsid w:val="00614837"/>
    <w:rsid w:val="00664BC9"/>
    <w:rsid w:val="00697672"/>
    <w:rsid w:val="00744FA5"/>
    <w:rsid w:val="00765C69"/>
    <w:rsid w:val="007A0CB2"/>
    <w:rsid w:val="007C29C3"/>
    <w:rsid w:val="007C3A1C"/>
    <w:rsid w:val="007C6918"/>
    <w:rsid w:val="007D15F2"/>
    <w:rsid w:val="007F40D2"/>
    <w:rsid w:val="0081356D"/>
    <w:rsid w:val="008209E3"/>
    <w:rsid w:val="00866C7D"/>
    <w:rsid w:val="0087566D"/>
    <w:rsid w:val="00892E14"/>
    <w:rsid w:val="008940D7"/>
    <w:rsid w:val="008942AC"/>
    <w:rsid w:val="00895733"/>
    <w:rsid w:val="008B6AC5"/>
    <w:rsid w:val="008D7939"/>
    <w:rsid w:val="008E6E7F"/>
    <w:rsid w:val="00926412"/>
    <w:rsid w:val="00931783"/>
    <w:rsid w:val="00931DF0"/>
    <w:rsid w:val="00934532"/>
    <w:rsid w:val="009A69E2"/>
    <w:rsid w:val="009C659D"/>
    <w:rsid w:val="009D0562"/>
    <w:rsid w:val="009D0B3C"/>
    <w:rsid w:val="009E12D0"/>
    <w:rsid w:val="00A25F24"/>
    <w:rsid w:val="00A43F9B"/>
    <w:rsid w:val="00A930E8"/>
    <w:rsid w:val="00AF60AA"/>
    <w:rsid w:val="00B0059B"/>
    <w:rsid w:val="00B04C90"/>
    <w:rsid w:val="00B52FE7"/>
    <w:rsid w:val="00B60F6C"/>
    <w:rsid w:val="00B81609"/>
    <w:rsid w:val="00B8315E"/>
    <w:rsid w:val="00C70127"/>
    <w:rsid w:val="00C81C8C"/>
    <w:rsid w:val="00C949CA"/>
    <w:rsid w:val="00CD1A41"/>
    <w:rsid w:val="00CF275E"/>
    <w:rsid w:val="00D02CDD"/>
    <w:rsid w:val="00D13741"/>
    <w:rsid w:val="00D16437"/>
    <w:rsid w:val="00DA533A"/>
    <w:rsid w:val="00E005BB"/>
    <w:rsid w:val="00E04F5A"/>
    <w:rsid w:val="00E11E06"/>
    <w:rsid w:val="00E23A3C"/>
    <w:rsid w:val="00E70164"/>
    <w:rsid w:val="00E70F1D"/>
    <w:rsid w:val="00E86477"/>
    <w:rsid w:val="00E93A1B"/>
    <w:rsid w:val="00EA53F9"/>
    <w:rsid w:val="00ED0657"/>
    <w:rsid w:val="00ED4980"/>
    <w:rsid w:val="00F865D2"/>
    <w:rsid w:val="00FC75EF"/>
    <w:rsid w:val="00FE1D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ention1">
    <w:name w:val="Mention1"/>
    <w:aliases w:val="Texte d'aide"/>
    <w:uiPriority w:val="99"/>
    <w:unhideWhenUsed/>
    <w:rsid w:val="007C3A1C"/>
    <w:rPr>
      <w:rFonts w:ascii="Arial Nova Cond" w:hAnsi="Arial Nova Cond"/>
      <w:color w:val="595959" w:themeColor="text1" w:themeTint="A6"/>
      <w:sz w:val="22"/>
      <w:shd w:val="clear" w:color="auto" w:fill="F2F2F2" w:themeFill="background1" w:themeFillShade="F2"/>
    </w:rPr>
  </w:style>
  <w:style w:type="paragraph" w:customStyle="1" w:styleId="082E6F3946224A8FB855746FC4822340">
    <w:name w:val="082E6F3946224A8FB855746FC4822340"/>
    <w:rsid w:val="00581F63"/>
  </w:style>
  <w:style w:type="paragraph" w:customStyle="1" w:styleId="4D8FEF52A8764996B03490A3A1A9A211">
    <w:name w:val="4D8FEF52A8764996B03490A3A1A9A211"/>
    <w:rsid w:val="00581F63"/>
  </w:style>
  <w:style w:type="character" w:styleId="Textedelespacerserv">
    <w:name w:val="Placeholder Text"/>
    <w:basedOn w:val="Policepardfaut"/>
    <w:uiPriority w:val="99"/>
    <w:semiHidden/>
    <w:rsid w:val="00F865D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05T09:26:50.241"/>
    </inkml:context>
    <inkml:brush xml:id="br0">
      <inkml:brushProperty name="width" value="0.025" units="cm"/>
      <inkml:brushProperty name="height" value="0.025" units="cm"/>
      <inkml:brushProperty name="color" value="#E71224"/>
    </inkml:brush>
  </inkml:definitions>
  <inkml:trace contextRef="#ctx0" brushRef="#br0">0 0 24575</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9A0D7-AAAA-4679-87BE-EB2A59EB1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19055</Words>
  <Characters>104804</Characters>
  <Application>Microsoft Office Word</Application>
  <DocSecurity>0</DocSecurity>
  <Lines>873</Lines>
  <Paragraphs>247</Paragraphs>
  <ScaleCrop>false</ScaleCrop>
  <HeadingPairs>
    <vt:vector size="2" baseType="variant">
      <vt:variant>
        <vt:lpstr>Titre</vt:lpstr>
      </vt:variant>
      <vt:variant>
        <vt:i4>1</vt:i4>
      </vt:variant>
    </vt:vector>
  </HeadingPairs>
  <TitlesOfParts>
    <vt:vector size="1" baseType="lpstr">
      <vt:lpstr>DCI dosage forme pharmaceutique et nom de la spécialité en l’absence de générique</vt:lpstr>
    </vt:vector>
  </TitlesOfParts>
  <Company>ANSM</Company>
  <LinksUpToDate>false</LinksUpToDate>
  <CharactersWithSpaces>123612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DCI dosage forme pharmaceutique et nom de la spécialité en l’absence de générique</dc:title>
  <dc:subject/>
  <dc:creator>Jacqueline HADDAD</dc:creator>
  <cp:keywords/>
  <dc:description/>
  <cp:lastModifiedBy>Elise MICHAUD</cp:lastModifiedBy>
  <cp:revision>2</cp:revision>
  <cp:lastPrinted>2023-03-03T04:27:00Z</cp:lastPrinted>
  <dcterms:created xsi:type="dcterms:W3CDTF">2024-04-25T07:51:00Z</dcterms:created>
  <dcterms:modified xsi:type="dcterms:W3CDTF">2024-04-25T07:51:00Z</dcterms:modified>
</cp:coreProperties>
</file>