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60F8B" w14:textId="77777777" w:rsidR="004A31F5" w:rsidRDefault="004A31F5" w:rsidP="008E3CE9">
      <w:pPr>
        <w:pStyle w:val="Corpsdetexte"/>
        <w:rPr>
          <w:rFonts w:ascii="Times New Roman"/>
        </w:rPr>
      </w:pPr>
      <w:bookmarkStart w:id="0" w:name="_GoBack"/>
      <w:bookmarkEnd w:id="0"/>
    </w:p>
    <w:p w14:paraId="0AFF25FC" w14:textId="77777777" w:rsidR="004A31F5" w:rsidRDefault="004A31F5" w:rsidP="008E3CE9">
      <w:pPr>
        <w:pStyle w:val="Corpsdetexte"/>
        <w:rPr>
          <w:rFonts w:ascii="Times New Roman"/>
        </w:rPr>
      </w:pPr>
    </w:p>
    <w:p w14:paraId="7960E9E5" w14:textId="77777777" w:rsidR="004A31F5" w:rsidRDefault="004A31F5" w:rsidP="008E3CE9">
      <w:pPr>
        <w:pStyle w:val="Corpsdetexte"/>
        <w:rPr>
          <w:rFonts w:ascii="Times New Roman"/>
        </w:rPr>
      </w:pPr>
    </w:p>
    <w:p w14:paraId="15F9DC9F" w14:textId="77777777" w:rsidR="004A31F5" w:rsidRDefault="004A31F5" w:rsidP="008E3CE9">
      <w:pPr>
        <w:pStyle w:val="Corpsdetexte"/>
        <w:rPr>
          <w:rFonts w:ascii="Times New Roman"/>
        </w:rPr>
      </w:pPr>
    </w:p>
    <w:p w14:paraId="2D917EED" w14:textId="77777777" w:rsidR="004A31F5" w:rsidRDefault="004A31F5" w:rsidP="008E3CE9">
      <w:pPr>
        <w:pStyle w:val="Corpsdetexte"/>
        <w:rPr>
          <w:rFonts w:ascii="Times New Roman"/>
        </w:rPr>
      </w:pPr>
    </w:p>
    <w:p w14:paraId="41BF28A8" w14:textId="77777777" w:rsidR="004A31F5" w:rsidRDefault="004A31F5" w:rsidP="008E3CE9">
      <w:pPr>
        <w:pStyle w:val="Corpsdetexte"/>
        <w:rPr>
          <w:rFonts w:ascii="Times New Roman"/>
        </w:rPr>
      </w:pPr>
    </w:p>
    <w:p w14:paraId="5D8797B6" w14:textId="77777777" w:rsidR="004A31F5" w:rsidRDefault="004A31F5" w:rsidP="008E3CE9">
      <w:pPr>
        <w:pStyle w:val="Corpsdetexte"/>
        <w:rPr>
          <w:rFonts w:ascii="Times New Roman"/>
        </w:rPr>
      </w:pPr>
    </w:p>
    <w:p w14:paraId="35D4036D" w14:textId="77777777" w:rsidR="004A31F5" w:rsidRDefault="004A31F5" w:rsidP="008E3CE9">
      <w:pPr>
        <w:pStyle w:val="Corpsdetexte"/>
        <w:spacing w:before="8"/>
        <w:rPr>
          <w:rFonts w:ascii="Times New Roman"/>
          <w:sz w:val="19"/>
        </w:rPr>
      </w:pPr>
    </w:p>
    <w:p w14:paraId="21942C10" w14:textId="77777777" w:rsidR="004A31F5" w:rsidRPr="008C71A3" w:rsidRDefault="00BB3ACF" w:rsidP="008C71A3">
      <w:pPr>
        <w:jc w:val="center"/>
        <w:rPr>
          <w:b/>
        </w:rPr>
      </w:pPr>
      <w:r w:rsidRPr="008C71A3">
        <w:rPr>
          <w:b/>
        </w:rPr>
        <w:t>CADRE DE PRESCRIPTION COMPASSIONNELLE (CPC)</w:t>
      </w:r>
    </w:p>
    <w:p w14:paraId="4C6B35E2" w14:textId="77777777" w:rsidR="004A31F5" w:rsidRDefault="004A31F5" w:rsidP="006C1C76">
      <w:pPr>
        <w:pStyle w:val="Corpsdetexte"/>
        <w:jc w:val="center"/>
        <w:rPr>
          <w:b/>
          <w:sz w:val="22"/>
        </w:rPr>
      </w:pPr>
    </w:p>
    <w:p w14:paraId="47FEF14C" w14:textId="77777777" w:rsidR="004A31F5" w:rsidRDefault="004A31F5" w:rsidP="008C71A3">
      <w:pPr>
        <w:pStyle w:val="Corpsdetexte"/>
        <w:rPr>
          <w:b/>
          <w:sz w:val="22"/>
        </w:rPr>
      </w:pPr>
    </w:p>
    <w:p w14:paraId="2C15DAF2" w14:textId="77777777" w:rsidR="00FD6C7F" w:rsidRDefault="007F51CD" w:rsidP="006C1C76">
      <w:pPr>
        <w:spacing w:before="138" w:line="480" w:lineRule="auto"/>
        <w:jc w:val="center"/>
        <w:rPr>
          <w:b/>
        </w:rPr>
      </w:pPr>
      <w:r w:rsidRPr="006C1C76">
        <w:rPr>
          <w:b/>
        </w:rPr>
        <w:t xml:space="preserve">PROTOCOLE </w:t>
      </w:r>
      <w:r w:rsidR="005A7355">
        <w:rPr>
          <w:b/>
        </w:rPr>
        <w:t>D’UTILISATION THERAPEUTIQUE ET</w:t>
      </w:r>
      <w:r w:rsidR="005A7355" w:rsidRPr="006C1C76">
        <w:rPr>
          <w:b/>
        </w:rPr>
        <w:t xml:space="preserve"> </w:t>
      </w:r>
      <w:r w:rsidRPr="006C1C76">
        <w:rPr>
          <w:b/>
        </w:rPr>
        <w:t>DE</w:t>
      </w:r>
      <w:r w:rsidR="005A7355">
        <w:rPr>
          <w:b/>
        </w:rPr>
        <w:t xml:space="preserve"> SUIVI DES PATIENTS </w:t>
      </w:r>
    </w:p>
    <w:p w14:paraId="1A7BD46B" w14:textId="5D7D4CFB" w:rsidR="005A7355" w:rsidRDefault="005A7355" w:rsidP="006C1C76">
      <w:pPr>
        <w:spacing w:before="138" w:line="480" w:lineRule="auto"/>
        <w:jc w:val="center"/>
        <w:rPr>
          <w:b/>
        </w:rPr>
      </w:pPr>
      <w:r>
        <w:rPr>
          <w:b/>
        </w:rPr>
        <w:t>TRAITES PAR</w:t>
      </w:r>
    </w:p>
    <w:p w14:paraId="1B90BE40" w14:textId="77777777" w:rsidR="006C1C76" w:rsidRDefault="00A07D2C" w:rsidP="006C1C76">
      <w:pPr>
        <w:spacing w:before="138" w:line="480" w:lineRule="auto"/>
        <w:jc w:val="center"/>
        <w:rPr>
          <w:b/>
        </w:rPr>
      </w:pPr>
      <w:r>
        <w:rPr>
          <w:b/>
        </w:rPr>
        <w:t>ITRACONAZOLE</w:t>
      </w:r>
      <w:r w:rsidR="008F1A19">
        <w:rPr>
          <w:b/>
        </w:rPr>
        <w:t xml:space="preserve"> 100 mg</w:t>
      </w:r>
      <w:r>
        <w:rPr>
          <w:b/>
        </w:rPr>
        <w:t>,</w:t>
      </w:r>
      <w:r w:rsidR="00887AFD">
        <w:rPr>
          <w:b/>
        </w:rPr>
        <w:t xml:space="preserve"> gélule </w:t>
      </w:r>
    </w:p>
    <w:p w14:paraId="35A99443" w14:textId="67B97A8F" w:rsidR="005E6E6C" w:rsidRDefault="005B4B4E" w:rsidP="006958B3">
      <w:pPr>
        <w:spacing w:line="480" w:lineRule="auto"/>
        <w:jc w:val="center"/>
        <w:rPr>
          <w:b/>
        </w:rPr>
      </w:pPr>
      <w:r w:rsidRPr="006C1C76">
        <w:rPr>
          <w:b/>
        </w:rPr>
        <w:t xml:space="preserve">dans le </w:t>
      </w:r>
      <w:r w:rsidR="000B1389" w:rsidRPr="000B1389">
        <w:t xml:space="preserve"> </w:t>
      </w:r>
      <w:r w:rsidR="000B1389" w:rsidRPr="0062750C">
        <w:rPr>
          <w:b/>
        </w:rPr>
        <w:t xml:space="preserve">traitement de la teigne à </w:t>
      </w:r>
      <w:r w:rsidR="000B1389" w:rsidRPr="0062750C">
        <w:rPr>
          <w:b/>
          <w:i/>
        </w:rPr>
        <w:t>Microsporum</w:t>
      </w:r>
      <w:r w:rsidR="000B1389" w:rsidRPr="0062750C">
        <w:rPr>
          <w:b/>
        </w:rPr>
        <w:t xml:space="preserve"> chez l’enfant à partir de 20kg</w:t>
      </w:r>
    </w:p>
    <w:p w14:paraId="0830B2D1" w14:textId="6FEDAA0C" w:rsidR="004A31F5" w:rsidRPr="006C1C76" w:rsidRDefault="004A31F5" w:rsidP="006958B3">
      <w:pPr>
        <w:spacing w:line="480" w:lineRule="auto"/>
        <w:rPr>
          <w:b/>
        </w:rPr>
      </w:pPr>
    </w:p>
    <w:p w14:paraId="4F48BFA9" w14:textId="77777777" w:rsidR="004A31F5" w:rsidRPr="00440EDD" w:rsidRDefault="004A31F5" w:rsidP="00440EDD">
      <w:pPr>
        <w:jc w:val="center"/>
      </w:pPr>
    </w:p>
    <w:p w14:paraId="34ED9807" w14:textId="77777777" w:rsidR="004A31F5" w:rsidRPr="00440EDD" w:rsidRDefault="004A31F5" w:rsidP="00440EDD">
      <w:pPr>
        <w:jc w:val="center"/>
      </w:pPr>
    </w:p>
    <w:p w14:paraId="19EE1205" w14:textId="77777777" w:rsidR="004A31F5" w:rsidRPr="00440EDD" w:rsidRDefault="004A31F5" w:rsidP="00440EDD">
      <w:pPr>
        <w:jc w:val="center"/>
      </w:pPr>
    </w:p>
    <w:p w14:paraId="5D361C9C" w14:textId="77777777" w:rsidR="004A31F5" w:rsidRPr="00440EDD" w:rsidRDefault="004A31F5" w:rsidP="00440EDD">
      <w:pPr>
        <w:jc w:val="center"/>
      </w:pPr>
    </w:p>
    <w:p w14:paraId="7FF481DB" w14:textId="77777777" w:rsidR="004A31F5" w:rsidRPr="00440EDD" w:rsidRDefault="004A31F5" w:rsidP="004355B3"/>
    <w:p w14:paraId="6226B20E" w14:textId="77777777" w:rsidR="004A31F5" w:rsidRPr="00440EDD" w:rsidRDefault="004A31F5" w:rsidP="00440EDD">
      <w:pPr>
        <w:jc w:val="center"/>
      </w:pPr>
    </w:p>
    <w:p w14:paraId="0189BAE7" w14:textId="77777777" w:rsidR="004A31F5" w:rsidRPr="00440EDD" w:rsidRDefault="004A31F5" w:rsidP="00440EDD">
      <w:pPr>
        <w:jc w:val="center"/>
      </w:pPr>
    </w:p>
    <w:p w14:paraId="1BD3CE0B" w14:textId="77777777" w:rsidR="004A31F5" w:rsidRPr="00440EDD" w:rsidRDefault="004A31F5" w:rsidP="00440EDD">
      <w:pPr>
        <w:jc w:val="center"/>
      </w:pPr>
    </w:p>
    <w:p w14:paraId="27943039" w14:textId="6D23B6C0" w:rsidR="000255CC" w:rsidRPr="00440EDD" w:rsidRDefault="008038C8" w:rsidP="00440EDD">
      <w:pPr>
        <w:jc w:val="center"/>
        <w:rPr>
          <w:b/>
          <w:sz w:val="20"/>
          <w:szCs w:val="20"/>
        </w:rPr>
      </w:pPr>
      <w:r>
        <w:rPr>
          <w:b/>
          <w:sz w:val="20"/>
          <w:szCs w:val="20"/>
        </w:rPr>
        <w:t xml:space="preserve"> </w:t>
      </w:r>
      <w:r w:rsidR="0009757F">
        <w:rPr>
          <w:b/>
          <w:sz w:val="20"/>
          <w:szCs w:val="20"/>
        </w:rPr>
        <w:t xml:space="preserve"> </w:t>
      </w:r>
      <w:r w:rsidR="003F6CA1">
        <w:rPr>
          <w:b/>
          <w:sz w:val="20"/>
          <w:szCs w:val="20"/>
        </w:rPr>
        <w:t>mai</w:t>
      </w:r>
      <w:r w:rsidR="000B1389">
        <w:rPr>
          <w:b/>
          <w:sz w:val="20"/>
          <w:szCs w:val="20"/>
        </w:rPr>
        <w:t xml:space="preserve"> 2025</w:t>
      </w:r>
    </w:p>
    <w:p w14:paraId="7B0AD0D5" w14:textId="77777777" w:rsidR="004A31F5" w:rsidRDefault="004A31F5" w:rsidP="008E3CE9">
      <w:pPr>
        <w:pStyle w:val="Corpsdetexte"/>
        <w:rPr>
          <w:b/>
        </w:rPr>
      </w:pPr>
    </w:p>
    <w:p w14:paraId="68FA86EE" w14:textId="77777777" w:rsidR="004A31F5" w:rsidRDefault="004A31F5" w:rsidP="008E3CE9">
      <w:pPr>
        <w:pStyle w:val="Corpsdetexte"/>
        <w:spacing w:before="5"/>
        <w:rPr>
          <w:b/>
        </w:rPr>
      </w:pPr>
    </w:p>
    <w:tbl>
      <w:tblPr>
        <w:tblStyle w:val="TableNormal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62"/>
      </w:tblGrid>
      <w:tr w:rsidR="004A31F5" w14:paraId="76316850" w14:textId="77777777" w:rsidTr="00B041AB">
        <w:trPr>
          <w:trHeight w:val="274"/>
        </w:trPr>
        <w:tc>
          <w:tcPr>
            <w:tcW w:w="4820" w:type="dxa"/>
          </w:tcPr>
          <w:p w14:paraId="6E175151" w14:textId="77777777" w:rsidR="004A31F5" w:rsidRDefault="004A31F5" w:rsidP="008E3CE9">
            <w:pPr>
              <w:pStyle w:val="TableParagraph"/>
              <w:spacing w:before="6"/>
              <w:rPr>
                <w:b/>
                <w:sz w:val="20"/>
                <w:szCs w:val="20"/>
              </w:rPr>
            </w:pPr>
          </w:p>
          <w:p w14:paraId="44802311" w14:textId="77777777" w:rsidR="004A31F5" w:rsidRPr="0002008A" w:rsidRDefault="007F51CD" w:rsidP="0002008A">
            <w:pPr>
              <w:pStyle w:val="TableParagraph"/>
              <w:ind w:left="110"/>
              <w:jc w:val="center"/>
              <w:rPr>
                <w:b/>
                <w:sz w:val="20"/>
                <w:szCs w:val="20"/>
              </w:rPr>
            </w:pPr>
            <w:r w:rsidRPr="0002008A">
              <w:rPr>
                <w:b/>
                <w:sz w:val="20"/>
                <w:szCs w:val="20"/>
              </w:rPr>
              <w:t>Agence nationale de sécurité du médicament et des produits de santé (ANSM)</w:t>
            </w:r>
          </w:p>
          <w:p w14:paraId="02CE130E" w14:textId="77777777" w:rsidR="004A31F5" w:rsidRPr="0002008A" w:rsidRDefault="004A31F5" w:rsidP="0002008A">
            <w:pPr>
              <w:pStyle w:val="TableParagraph"/>
              <w:spacing w:before="1"/>
              <w:ind w:left="110"/>
              <w:jc w:val="center"/>
              <w:rPr>
                <w:b/>
                <w:sz w:val="20"/>
                <w:szCs w:val="20"/>
              </w:rPr>
            </w:pPr>
          </w:p>
          <w:p w14:paraId="36BDA554" w14:textId="77777777" w:rsidR="0002008A" w:rsidRPr="0002008A" w:rsidRDefault="0002008A" w:rsidP="0002008A">
            <w:pPr>
              <w:pStyle w:val="TableParagraph"/>
              <w:ind w:left="110"/>
              <w:jc w:val="center"/>
              <w:rPr>
                <w:b/>
                <w:sz w:val="20"/>
                <w:szCs w:val="20"/>
              </w:rPr>
            </w:pPr>
            <w:r w:rsidRPr="0002008A">
              <w:rPr>
                <w:b/>
                <w:sz w:val="20"/>
                <w:szCs w:val="20"/>
              </w:rPr>
              <w:t>143-147 Bd Anatole France</w:t>
            </w:r>
          </w:p>
          <w:p w14:paraId="247C4590" w14:textId="77777777" w:rsidR="004A31F5" w:rsidRPr="0002008A" w:rsidRDefault="007F51CD" w:rsidP="0002008A">
            <w:pPr>
              <w:pStyle w:val="TableParagraph"/>
              <w:ind w:left="110"/>
              <w:jc w:val="center"/>
              <w:rPr>
                <w:b/>
                <w:sz w:val="20"/>
                <w:szCs w:val="20"/>
              </w:rPr>
            </w:pPr>
            <w:r w:rsidRPr="0002008A">
              <w:rPr>
                <w:b/>
                <w:sz w:val="20"/>
                <w:szCs w:val="20"/>
              </w:rPr>
              <w:t>93285 Saint Denis Cedex</w:t>
            </w:r>
          </w:p>
          <w:p w14:paraId="4E8558B6" w14:textId="77777777" w:rsidR="004A31F5" w:rsidRPr="0002008A" w:rsidRDefault="004A31F5" w:rsidP="0002008A">
            <w:pPr>
              <w:pStyle w:val="TableParagraph"/>
              <w:spacing w:before="11"/>
              <w:ind w:left="110"/>
              <w:jc w:val="center"/>
              <w:rPr>
                <w:b/>
                <w:sz w:val="20"/>
                <w:szCs w:val="20"/>
              </w:rPr>
            </w:pPr>
          </w:p>
          <w:p w14:paraId="6CA92F2E" w14:textId="77777777" w:rsidR="004A31F5" w:rsidRPr="0002008A" w:rsidRDefault="007F51CD" w:rsidP="0002008A">
            <w:pPr>
              <w:pStyle w:val="TableParagraph"/>
              <w:ind w:left="110"/>
              <w:jc w:val="center"/>
              <w:rPr>
                <w:b/>
                <w:sz w:val="20"/>
                <w:szCs w:val="20"/>
              </w:rPr>
            </w:pPr>
            <w:r w:rsidRPr="0002008A">
              <w:rPr>
                <w:b/>
                <w:sz w:val="20"/>
                <w:szCs w:val="20"/>
              </w:rPr>
              <w:t>Tél : 33 (0)1 55 87 30 00</w:t>
            </w:r>
          </w:p>
          <w:p w14:paraId="3183FB96" w14:textId="77777777" w:rsidR="004A31F5" w:rsidRPr="0002008A" w:rsidRDefault="004A31F5" w:rsidP="0002008A">
            <w:pPr>
              <w:pStyle w:val="TableParagraph"/>
              <w:spacing w:before="2"/>
              <w:ind w:left="110"/>
              <w:jc w:val="center"/>
              <w:rPr>
                <w:b/>
                <w:sz w:val="20"/>
                <w:szCs w:val="20"/>
              </w:rPr>
            </w:pPr>
          </w:p>
          <w:p w14:paraId="496CD69C" w14:textId="4A4828B2" w:rsidR="004A31F5" w:rsidRPr="00327102" w:rsidRDefault="007F51CD" w:rsidP="0002008A">
            <w:pPr>
              <w:pStyle w:val="TableParagraph"/>
              <w:ind w:left="110"/>
              <w:jc w:val="center"/>
              <w:rPr>
                <w:b/>
                <w:color w:val="0000FF"/>
                <w:sz w:val="20"/>
                <w:szCs w:val="20"/>
                <w:u w:val="thick" w:color="0000FF"/>
              </w:rPr>
            </w:pPr>
            <w:r w:rsidRPr="00327102">
              <w:rPr>
                <w:b/>
                <w:sz w:val="20"/>
                <w:szCs w:val="20"/>
              </w:rPr>
              <w:t xml:space="preserve">E-mail : </w:t>
            </w:r>
            <w:r w:rsidR="005B4B4E" w:rsidRPr="00327102">
              <w:rPr>
                <w:b/>
                <w:color w:val="0000FF"/>
                <w:sz w:val="20"/>
                <w:szCs w:val="20"/>
                <w:u w:val="thick" w:color="0000FF"/>
              </w:rPr>
              <w:t>CPC</w:t>
            </w:r>
            <w:r w:rsidRPr="00327102">
              <w:rPr>
                <w:b/>
                <w:color w:val="0000FF"/>
                <w:sz w:val="20"/>
                <w:szCs w:val="20"/>
                <w:u w:val="thick" w:color="0000FF"/>
              </w:rPr>
              <w:t>@ansm.sante.fr</w:t>
            </w:r>
          </w:p>
          <w:p w14:paraId="2F577758" w14:textId="77777777" w:rsidR="00A37E12" w:rsidRPr="00327102" w:rsidRDefault="00A37E12" w:rsidP="0002008A">
            <w:pPr>
              <w:pStyle w:val="TableParagraph"/>
              <w:ind w:left="110"/>
              <w:jc w:val="center"/>
              <w:rPr>
                <w:b/>
                <w:sz w:val="24"/>
              </w:rPr>
            </w:pPr>
          </w:p>
        </w:tc>
        <w:tc>
          <w:tcPr>
            <w:tcW w:w="4962" w:type="dxa"/>
          </w:tcPr>
          <w:p w14:paraId="498A3A3E" w14:textId="77777777" w:rsidR="004A31F5" w:rsidRPr="00327102" w:rsidRDefault="004A31F5" w:rsidP="008E3CE9">
            <w:pPr>
              <w:pStyle w:val="TableParagraph"/>
              <w:spacing w:before="6"/>
              <w:rPr>
                <w:b/>
                <w:sz w:val="19"/>
              </w:rPr>
            </w:pPr>
          </w:p>
          <w:p w14:paraId="4CDA13D1" w14:textId="567BA89D" w:rsidR="00A62A39" w:rsidRDefault="00A62A39" w:rsidP="00A62A39">
            <w:pPr>
              <w:pStyle w:val="TableParagraph"/>
              <w:spacing w:line="242" w:lineRule="auto"/>
              <w:ind w:left="71"/>
              <w:jc w:val="center"/>
              <w:rPr>
                <w:b/>
                <w:sz w:val="20"/>
              </w:rPr>
            </w:pPr>
            <w:r w:rsidRPr="00A62A39">
              <w:rPr>
                <w:b/>
                <w:sz w:val="20"/>
              </w:rPr>
              <w:t>Titulaire</w:t>
            </w:r>
            <w:r w:rsidR="00E904C4">
              <w:rPr>
                <w:b/>
                <w:sz w:val="20"/>
              </w:rPr>
              <w:t>s</w:t>
            </w:r>
            <w:r w:rsidRPr="00A62A39">
              <w:rPr>
                <w:b/>
                <w:sz w:val="20"/>
              </w:rPr>
              <w:t xml:space="preserve"> de</w:t>
            </w:r>
            <w:r w:rsidR="005B4774">
              <w:rPr>
                <w:b/>
                <w:sz w:val="20"/>
              </w:rPr>
              <w:t xml:space="preserve">s </w:t>
            </w:r>
            <w:r w:rsidRPr="00A62A39">
              <w:rPr>
                <w:b/>
                <w:sz w:val="20"/>
              </w:rPr>
              <w:t>autorisation</w:t>
            </w:r>
            <w:r w:rsidR="005B4774">
              <w:rPr>
                <w:b/>
                <w:sz w:val="20"/>
              </w:rPr>
              <w:t>s</w:t>
            </w:r>
            <w:r w:rsidRPr="00A62A39">
              <w:rPr>
                <w:b/>
                <w:sz w:val="20"/>
              </w:rPr>
              <w:t xml:space="preserve"> de mise sur le marché</w:t>
            </w:r>
          </w:p>
          <w:p w14:paraId="61007D7A" w14:textId="385CFD34" w:rsidR="005B4774" w:rsidRDefault="005B4774" w:rsidP="00A62A39">
            <w:pPr>
              <w:pStyle w:val="TableParagraph"/>
              <w:spacing w:line="242" w:lineRule="auto"/>
              <w:ind w:left="71"/>
              <w:jc w:val="center"/>
              <w:rPr>
                <w:b/>
                <w:sz w:val="20"/>
              </w:rPr>
            </w:pPr>
            <w:r>
              <w:rPr>
                <w:b/>
                <w:sz w:val="20"/>
              </w:rPr>
              <w:t>à base d’itraconazole (princeps et génériques)</w:t>
            </w:r>
          </w:p>
          <w:p w14:paraId="3D275C16" w14:textId="0FD128C7" w:rsidR="006C2906" w:rsidRDefault="006C2906" w:rsidP="00A62A39">
            <w:pPr>
              <w:pStyle w:val="TableParagraph"/>
              <w:spacing w:line="242" w:lineRule="auto"/>
              <w:ind w:left="71"/>
              <w:jc w:val="center"/>
              <w:rPr>
                <w:b/>
                <w:sz w:val="20"/>
              </w:rPr>
            </w:pPr>
          </w:p>
          <w:p w14:paraId="67886256" w14:textId="77777777" w:rsidR="00A62A39" w:rsidRDefault="00A62A39" w:rsidP="009E511A">
            <w:pPr>
              <w:rPr>
                <w:b/>
                <w:sz w:val="20"/>
              </w:rPr>
            </w:pPr>
          </w:p>
        </w:tc>
      </w:tr>
    </w:tbl>
    <w:p w14:paraId="607BB48E" w14:textId="77777777" w:rsidR="004A31F5" w:rsidRDefault="004A31F5" w:rsidP="008E3CE9">
      <w:pPr>
        <w:jc w:val="center"/>
        <w:rPr>
          <w:sz w:val="20"/>
        </w:rPr>
      </w:pPr>
    </w:p>
    <w:p w14:paraId="04CA9038" w14:textId="77777777" w:rsidR="00FB10BA" w:rsidRDefault="00FB10BA">
      <w:pPr>
        <w:rPr>
          <w:sz w:val="20"/>
        </w:rPr>
      </w:pPr>
      <w:r>
        <w:rPr>
          <w:sz w:val="20"/>
        </w:rPr>
        <w:br w:type="page"/>
      </w:r>
    </w:p>
    <w:p w14:paraId="6A0B65A5" w14:textId="77777777" w:rsidR="0095292D" w:rsidRDefault="0095292D" w:rsidP="008E3CE9">
      <w:pPr>
        <w:jc w:val="center"/>
        <w:rPr>
          <w:sz w:val="20"/>
        </w:rPr>
        <w:sectPr w:rsidR="0095292D" w:rsidSect="008E3CE9">
          <w:headerReference w:type="even" r:id="rId11"/>
          <w:headerReference w:type="default" r:id="rId12"/>
          <w:footerReference w:type="default" r:id="rId13"/>
          <w:headerReference w:type="first" r:id="rId14"/>
          <w:type w:val="continuous"/>
          <w:pgSz w:w="11910" w:h="16840"/>
          <w:pgMar w:top="1417" w:right="1417" w:bottom="1417" w:left="1417" w:header="720" w:footer="901" w:gutter="0"/>
          <w:pgNumType w:start="1"/>
          <w:cols w:space="720"/>
        </w:sectPr>
      </w:pPr>
    </w:p>
    <w:p w14:paraId="524758B6" w14:textId="77777777" w:rsidR="007D7479" w:rsidRDefault="007D7479" w:rsidP="0019164E">
      <w:pPr>
        <w:pStyle w:val="Corpsdetexte"/>
        <w:spacing w:before="71"/>
        <w:ind w:left="272"/>
        <w:jc w:val="both"/>
        <w:rPr>
          <w:rStyle w:val="markedcontent"/>
          <w:sz w:val="25"/>
          <w:szCs w:val="25"/>
        </w:rPr>
      </w:pPr>
      <w:r>
        <w:rPr>
          <w:rStyle w:val="markedcontent"/>
          <w:sz w:val="25"/>
          <w:szCs w:val="25"/>
        </w:rPr>
        <w:lastRenderedPageBreak/>
        <w:t>ABBREVIATIONS</w:t>
      </w:r>
    </w:p>
    <w:p w14:paraId="16231BEE" w14:textId="77777777" w:rsidR="00E728C1" w:rsidRDefault="00E728C1" w:rsidP="0019164E">
      <w:pPr>
        <w:pStyle w:val="Corpsdetexte"/>
        <w:spacing w:before="71"/>
        <w:ind w:left="272"/>
        <w:jc w:val="both"/>
        <w:rPr>
          <w:rStyle w:val="markedcontent"/>
          <w:sz w:val="25"/>
          <w:szCs w:val="25"/>
        </w:rPr>
      </w:pPr>
    </w:p>
    <w:p w14:paraId="1D712972" w14:textId="77777777" w:rsidR="00E728C1" w:rsidRDefault="00E728C1" w:rsidP="00E728C1">
      <w:pPr>
        <w:rPr>
          <w:sz w:val="20"/>
          <w:szCs w:val="20"/>
        </w:rPr>
      </w:pPr>
      <w:r w:rsidRPr="00B6316D">
        <w:rPr>
          <w:sz w:val="20"/>
          <w:szCs w:val="20"/>
        </w:rPr>
        <w:t>AMM : autorisation de mise sur le marché</w:t>
      </w:r>
    </w:p>
    <w:p w14:paraId="194FB622" w14:textId="77777777" w:rsidR="00E728C1" w:rsidRPr="00B6316D" w:rsidRDefault="00E728C1" w:rsidP="00E728C1">
      <w:pPr>
        <w:rPr>
          <w:sz w:val="20"/>
          <w:szCs w:val="20"/>
        </w:rPr>
      </w:pPr>
      <w:r>
        <w:rPr>
          <w:sz w:val="20"/>
          <w:szCs w:val="20"/>
        </w:rPr>
        <w:t>ANSM : Agence nationale de sécurité du médicament et des produits de santé</w:t>
      </w:r>
    </w:p>
    <w:p w14:paraId="220B0747" w14:textId="77777777" w:rsidR="00E728C1" w:rsidRPr="00B6316D" w:rsidRDefault="00E728C1" w:rsidP="00E728C1">
      <w:pPr>
        <w:rPr>
          <w:sz w:val="20"/>
          <w:szCs w:val="20"/>
        </w:rPr>
      </w:pPr>
      <w:r w:rsidRPr="00B6316D">
        <w:rPr>
          <w:sz w:val="20"/>
          <w:szCs w:val="20"/>
        </w:rPr>
        <w:t>BDPM : base de données publique des médicaments</w:t>
      </w:r>
    </w:p>
    <w:p w14:paraId="1C22E8DD" w14:textId="77777777" w:rsidR="00E728C1" w:rsidRDefault="00E728C1" w:rsidP="00E728C1">
      <w:pPr>
        <w:rPr>
          <w:sz w:val="20"/>
          <w:szCs w:val="20"/>
        </w:rPr>
      </w:pPr>
      <w:r w:rsidRPr="002A338C">
        <w:rPr>
          <w:sz w:val="20"/>
          <w:szCs w:val="20"/>
        </w:rPr>
        <w:t>CPC : cadre de prescription compassionnelle</w:t>
      </w:r>
    </w:p>
    <w:p w14:paraId="024C375D" w14:textId="77777777" w:rsidR="00E728C1" w:rsidRPr="002A338C" w:rsidRDefault="00E728C1" w:rsidP="00E728C1">
      <w:pPr>
        <w:rPr>
          <w:sz w:val="20"/>
          <w:szCs w:val="20"/>
        </w:rPr>
      </w:pPr>
      <w:r>
        <w:rPr>
          <w:sz w:val="20"/>
          <w:szCs w:val="20"/>
        </w:rPr>
        <w:t>PUT-SP : protocole d’utilisation thérapeutique et de suivi des patients</w:t>
      </w:r>
    </w:p>
    <w:p w14:paraId="40F48C6E" w14:textId="77777777" w:rsidR="00E728C1" w:rsidRDefault="00E728C1" w:rsidP="00E728C1">
      <w:pPr>
        <w:rPr>
          <w:sz w:val="20"/>
          <w:szCs w:val="20"/>
        </w:rPr>
      </w:pPr>
      <w:r>
        <w:rPr>
          <w:sz w:val="20"/>
          <w:szCs w:val="20"/>
        </w:rPr>
        <w:t xml:space="preserve">RCP : résumé des caractéristiques du produit </w:t>
      </w:r>
    </w:p>
    <w:p w14:paraId="00BC20CC" w14:textId="77777777" w:rsidR="00E728C1" w:rsidRDefault="00E728C1" w:rsidP="00B1305E">
      <w:pPr>
        <w:pStyle w:val="Corpsdetexte"/>
        <w:spacing w:before="71"/>
        <w:jc w:val="both"/>
        <w:rPr>
          <w:rStyle w:val="markedcontent"/>
          <w:sz w:val="25"/>
          <w:szCs w:val="25"/>
        </w:rPr>
      </w:pPr>
    </w:p>
    <w:p w14:paraId="4C42EB81" w14:textId="77777777" w:rsidR="007D7479" w:rsidRDefault="007D7479">
      <w:pPr>
        <w:rPr>
          <w:rStyle w:val="markedcontent"/>
          <w:sz w:val="25"/>
          <w:szCs w:val="25"/>
        </w:rPr>
      </w:pPr>
      <w:r>
        <w:rPr>
          <w:rStyle w:val="markedcontent"/>
          <w:sz w:val="25"/>
          <w:szCs w:val="25"/>
        </w:rPr>
        <w:br w:type="page"/>
      </w:r>
    </w:p>
    <w:p w14:paraId="3E5192F3" w14:textId="77777777" w:rsidR="00E728C1" w:rsidRPr="00E728C1" w:rsidRDefault="00E728C1" w:rsidP="00E728C1">
      <w:pPr>
        <w:jc w:val="center"/>
        <w:rPr>
          <w:b/>
          <w:sz w:val="28"/>
          <w:szCs w:val="28"/>
        </w:rPr>
      </w:pPr>
      <w:r w:rsidRPr="00E728C1">
        <w:rPr>
          <w:b/>
          <w:sz w:val="28"/>
          <w:szCs w:val="28"/>
        </w:rPr>
        <w:lastRenderedPageBreak/>
        <w:t>LE CADRE DE PRESCRIPTION COMPASSIONNELLE</w:t>
      </w:r>
    </w:p>
    <w:p w14:paraId="5A7F4679" w14:textId="77777777" w:rsidR="00E728C1" w:rsidRDefault="00E728C1" w:rsidP="0019164E">
      <w:pPr>
        <w:pStyle w:val="Corpsdetexte"/>
        <w:spacing w:before="71"/>
        <w:ind w:left="272"/>
        <w:jc w:val="both"/>
        <w:rPr>
          <w:b/>
        </w:rPr>
      </w:pPr>
    </w:p>
    <w:p w14:paraId="5FBF73C3" w14:textId="77777777" w:rsidR="00E728C1" w:rsidRDefault="00E728C1" w:rsidP="0019164E">
      <w:pPr>
        <w:pStyle w:val="Corpsdetexte"/>
        <w:spacing w:before="71"/>
        <w:ind w:left="272"/>
        <w:jc w:val="both"/>
        <w:rPr>
          <w:b/>
        </w:rPr>
      </w:pPr>
    </w:p>
    <w:p w14:paraId="4EC8D795" w14:textId="77777777" w:rsidR="004E2D02" w:rsidRDefault="00162F43" w:rsidP="0019164E">
      <w:pPr>
        <w:pStyle w:val="Corpsdetexte"/>
        <w:spacing w:before="71"/>
        <w:ind w:left="272"/>
        <w:jc w:val="both"/>
        <w:rPr>
          <w:b/>
        </w:rPr>
      </w:pPr>
      <w:r>
        <w:rPr>
          <w:b/>
        </w:rPr>
        <w:t xml:space="preserve">CONTEXTE </w:t>
      </w:r>
    </w:p>
    <w:p w14:paraId="0A033D82" w14:textId="77777777" w:rsidR="00833BD8" w:rsidRPr="0019164E" w:rsidRDefault="00833BD8" w:rsidP="0019164E">
      <w:pPr>
        <w:pStyle w:val="Corpsdetexte"/>
        <w:spacing w:before="71"/>
        <w:ind w:left="272"/>
        <w:jc w:val="both"/>
        <w:rPr>
          <w:b/>
        </w:rPr>
      </w:pPr>
    </w:p>
    <w:p w14:paraId="07CFA094" w14:textId="0BA190D0" w:rsidR="005D5765" w:rsidRPr="006336B7" w:rsidRDefault="00784B1C">
      <w:pPr>
        <w:pStyle w:val="Corpsdetexte"/>
        <w:spacing w:before="93"/>
        <w:ind w:left="284"/>
        <w:jc w:val="both"/>
      </w:pPr>
      <w:r>
        <w:t xml:space="preserve">Suite à </w:t>
      </w:r>
      <w:r w:rsidR="0019164E">
        <w:t xml:space="preserve">l’arrêt de commercialisation </w:t>
      </w:r>
      <w:r w:rsidR="00C75E1D">
        <w:t xml:space="preserve">en </w:t>
      </w:r>
      <w:r w:rsidR="007F6FFB">
        <w:t>octobre 2019</w:t>
      </w:r>
      <w:r w:rsidR="00C75E1D">
        <w:t xml:space="preserve"> </w:t>
      </w:r>
      <w:r w:rsidR="00976B96">
        <w:t>des</w:t>
      </w:r>
      <w:r w:rsidR="00976CAC">
        <w:t xml:space="preserve"> </w:t>
      </w:r>
      <w:r w:rsidR="0019164E">
        <w:t>spécialités GRISEFULINE 250 mg et 500 mg, comprimés à base de griséofulvine, indiquée</w:t>
      </w:r>
      <w:r>
        <w:t>s</w:t>
      </w:r>
      <w:r w:rsidR="0019164E">
        <w:t xml:space="preserve"> dans le « Traitement des mycoses à dermatophytes des cheveux, des ongles et de la peau »,</w:t>
      </w:r>
      <w:r w:rsidR="00C25827">
        <w:t xml:space="preserve"> </w:t>
      </w:r>
      <w:r w:rsidR="00C91FFD">
        <w:t>de</w:t>
      </w:r>
      <w:r w:rsidR="00976B96">
        <w:t>s recommandations de prise en charge thérapeutique de cette mycose du cuir chevelu chez l’enfant</w:t>
      </w:r>
      <w:r w:rsidR="00C91FFD">
        <w:t xml:space="preserve"> ont été élaborées par </w:t>
      </w:r>
      <w:r w:rsidR="004D5312">
        <w:t xml:space="preserve">un collectif regroupant </w:t>
      </w:r>
      <w:r w:rsidR="005D5765">
        <w:t>les sociétés françaises de dermatologie (SFD) et son centre de preuves, de</w:t>
      </w:r>
      <w:r w:rsidR="00DB2B69">
        <w:t xml:space="preserve"> dermatologie pédiatrique(SFDP)</w:t>
      </w:r>
      <w:r w:rsidR="005D5765">
        <w:t>, de mycologie médicale (SFMM), de pathologie  infectieuse de langue française (SPILF) et le Groupe de pathologie infectieuse pédiatrique (GPIP)</w:t>
      </w:r>
      <w:r w:rsidR="00C91FFD">
        <w:t xml:space="preserve"> et </w:t>
      </w:r>
      <w:r w:rsidR="003E47D5">
        <w:t>sont consultables</w:t>
      </w:r>
      <w:r w:rsidR="00C91FFD">
        <w:t xml:space="preserve"> via le site internet de l’ANSM </w:t>
      </w:r>
      <w:r w:rsidR="0019164E" w:rsidRPr="006336B7">
        <w:t>:</w:t>
      </w:r>
      <w:r w:rsidR="00694C66" w:rsidRPr="006336B7">
        <w:t xml:space="preserve"> </w:t>
      </w:r>
      <w:hyperlink r:id="rId15" w:history="1">
        <w:r w:rsidR="0019164E" w:rsidRPr="006336B7">
          <w:rPr>
            <w:rStyle w:val="Lienhypertexte"/>
          </w:rPr>
          <w:t>https://ansm.sante.fr/actualites/traitement-de-la-teigne-de-lenfant-et-indisponibilite-de-la-griseofulvine-lansm-precise-la-conduite-a-tenir</w:t>
        </w:r>
      </w:hyperlink>
      <w:r w:rsidR="00E213EB" w:rsidRPr="006336B7">
        <w:rPr>
          <w:rStyle w:val="Lienhypertexte"/>
        </w:rPr>
        <w:t xml:space="preserve"> </w:t>
      </w:r>
      <w:r w:rsidR="00E213EB" w:rsidRPr="006336B7">
        <w:t>.</w:t>
      </w:r>
    </w:p>
    <w:p w14:paraId="2C1D4FAD" w14:textId="556DA099" w:rsidR="00CE0095" w:rsidRDefault="00B01756" w:rsidP="009222C7">
      <w:pPr>
        <w:pStyle w:val="Corpsdetexte"/>
        <w:spacing w:before="93"/>
        <w:ind w:left="284"/>
        <w:jc w:val="both"/>
      </w:pPr>
      <w:r>
        <w:t xml:space="preserve">Suite à l’arrêt de commercialisation en novembre 2024 de la spécialité </w:t>
      </w:r>
      <w:r w:rsidR="00752123">
        <w:t>SPORANOX</w:t>
      </w:r>
      <w:r>
        <w:t xml:space="preserve"> 10 mg/ml en solution buvable,</w:t>
      </w:r>
      <w:r w:rsidR="00211CCB">
        <w:t xml:space="preserve"> </w:t>
      </w:r>
      <w:r>
        <w:t>les recommandations du collectif</w:t>
      </w:r>
      <w:r w:rsidR="00752123">
        <w:t xml:space="preserve"> précité</w:t>
      </w:r>
      <w:r>
        <w:t xml:space="preserve"> ont été actualisées</w:t>
      </w:r>
      <w:r w:rsidR="00752123">
        <w:t xml:space="preserve"> e</w:t>
      </w:r>
      <w:r>
        <w:t>n conséquence.</w:t>
      </w:r>
    </w:p>
    <w:p w14:paraId="2F63467F" w14:textId="77777777" w:rsidR="00B01756" w:rsidRDefault="00B01756" w:rsidP="009222C7">
      <w:pPr>
        <w:pStyle w:val="Corpsdetexte"/>
        <w:spacing w:before="93"/>
        <w:ind w:left="284"/>
        <w:jc w:val="both"/>
      </w:pPr>
    </w:p>
    <w:p w14:paraId="7B86709E" w14:textId="01DA65B0" w:rsidR="004A31F5" w:rsidRDefault="007F51CD" w:rsidP="00694C66">
      <w:pPr>
        <w:pStyle w:val="Corpsdetexte"/>
        <w:ind w:left="272"/>
        <w:jc w:val="both"/>
      </w:pPr>
      <w:r>
        <w:t>L</w:t>
      </w:r>
      <w:r w:rsidR="005B4B4E">
        <w:t xml:space="preserve">e Cadre de Prescription Compassionnelle </w:t>
      </w:r>
      <w:r>
        <w:t>(</w:t>
      </w:r>
      <w:r w:rsidR="005B4B4E">
        <w:t>CPC</w:t>
      </w:r>
      <w:r>
        <w:t xml:space="preserve">) est une procédure dérogatoire exceptionnelle </w:t>
      </w:r>
      <w:r w:rsidR="00FD6C7F" w:rsidRPr="00FD6C7F">
        <w:rPr>
          <w:rStyle w:val="markedcontent"/>
        </w:rPr>
        <w:t>prévue</w:t>
      </w:r>
      <w:r w:rsidR="00FD6C7F" w:rsidRPr="00FD6C7F">
        <w:t xml:space="preserve"> </w:t>
      </w:r>
      <w:r w:rsidR="00FD6C7F" w:rsidRPr="00FD6C7F">
        <w:rPr>
          <w:rStyle w:val="markedcontent"/>
        </w:rPr>
        <w:t>à l’article L. 5121-12-1 III du code de la santé publique,</w:t>
      </w:r>
      <w:r w:rsidR="00FD6C7F">
        <w:rPr>
          <w:rStyle w:val="markedcontent"/>
          <w:sz w:val="25"/>
          <w:szCs w:val="25"/>
        </w:rPr>
        <w:t xml:space="preserve"> </w:t>
      </w:r>
      <w:r>
        <w:t xml:space="preserve">qui permet de sécuriser une prescription hors AMM d’un médicament non conforme à son AMM, afin de répondre à un besoin thérapeutique, dès lors que le rapport </w:t>
      </w:r>
      <w:r w:rsidRPr="0002008A">
        <w:t>bénéfice/risque de ce médicament est présumé favorable par l’</w:t>
      </w:r>
      <w:r w:rsidRPr="00037EEE">
        <w:t>ANSM (</w:t>
      </w:r>
      <w:r w:rsidR="0071597C" w:rsidRPr="00037EEE">
        <w:t>cf.</w:t>
      </w:r>
      <w:r w:rsidRPr="00037EEE">
        <w:t xml:space="preserve"> </w:t>
      </w:r>
      <w:r w:rsidR="004F5851" w:rsidRPr="00037EEE">
        <w:t>A</w:t>
      </w:r>
      <w:r w:rsidRPr="00037EEE">
        <w:t xml:space="preserve">nnexe </w:t>
      </w:r>
      <w:r w:rsidR="00A8011D">
        <w:t>I</w:t>
      </w:r>
      <w:r w:rsidR="00D50DE0">
        <w:t>V</w:t>
      </w:r>
      <w:r w:rsidRPr="00037EEE">
        <w:t xml:space="preserve"> :</w:t>
      </w:r>
      <w:r w:rsidRPr="0002008A">
        <w:t xml:space="preserve"> Dispositions</w:t>
      </w:r>
      <w:r w:rsidRPr="0033440E">
        <w:t xml:space="preserve"> législatives et réglementaires </w:t>
      </w:r>
      <w:r w:rsidR="00D20396" w:rsidRPr="0033440E">
        <w:t>du</w:t>
      </w:r>
      <w:r w:rsidRPr="0033440E">
        <w:t xml:space="preserve"> </w:t>
      </w:r>
      <w:r w:rsidR="005B4B4E" w:rsidRPr="0033440E">
        <w:t>CPC</w:t>
      </w:r>
      <w:r w:rsidRPr="0033440E">
        <w:t>).</w:t>
      </w:r>
      <w:r w:rsidR="003B0F59">
        <w:t xml:space="preserve"> Le CPC </w:t>
      </w:r>
      <w:r w:rsidR="005F014E">
        <w:t>peut fixer des conditions de prescription et de délivrance</w:t>
      </w:r>
      <w:r w:rsidR="006336B7">
        <w:t xml:space="preserve"> </w:t>
      </w:r>
      <w:r w:rsidR="005F014E">
        <w:t>(</w:t>
      </w:r>
      <w:r w:rsidR="003B0F59">
        <w:t>CPD</w:t>
      </w:r>
      <w:r w:rsidR="005F014E">
        <w:t>)</w:t>
      </w:r>
      <w:r w:rsidR="006336B7">
        <w:t xml:space="preserve"> </w:t>
      </w:r>
      <w:r w:rsidR="005F014E">
        <w:t>différentes</w:t>
      </w:r>
      <w:r w:rsidR="003B0F59">
        <w:t xml:space="preserve"> de celles prévues par l’AMM.</w:t>
      </w:r>
    </w:p>
    <w:p w14:paraId="6F9B5641" w14:textId="77777777" w:rsidR="0053751F" w:rsidRDefault="0053751F" w:rsidP="00694C66">
      <w:pPr>
        <w:pStyle w:val="Corpsdetexte"/>
        <w:ind w:left="284"/>
        <w:jc w:val="both"/>
      </w:pPr>
    </w:p>
    <w:p w14:paraId="63C35123" w14:textId="77777777" w:rsidR="00FE288F" w:rsidRDefault="00FE288F" w:rsidP="00694C66">
      <w:pPr>
        <w:pStyle w:val="Corpsdetexte"/>
        <w:ind w:left="284"/>
        <w:jc w:val="both"/>
      </w:pPr>
    </w:p>
    <w:p w14:paraId="79701658" w14:textId="340B9556" w:rsidR="009B37B8" w:rsidRDefault="009B37B8" w:rsidP="00694C66">
      <w:pPr>
        <w:pStyle w:val="Corpsdetexte"/>
        <w:ind w:left="284"/>
        <w:jc w:val="both"/>
      </w:pPr>
      <w:r>
        <w:t>En conséquence, la</w:t>
      </w:r>
      <w:r w:rsidRPr="00B1305E">
        <w:t xml:space="preserve"> </w:t>
      </w:r>
      <w:r w:rsidR="00833BD8" w:rsidRPr="00B1305E">
        <w:t xml:space="preserve">mise en place d’un CPC </w:t>
      </w:r>
      <w:r w:rsidR="005F014E">
        <w:t>pour</w:t>
      </w:r>
      <w:r>
        <w:t xml:space="preserve"> l’itraconazole administré par voie orale a pour objectif </w:t>
      </w:r>
      <w:r w:rsidR="006336B7">
        <w:t xml:space="preserve"> </w:t>
      </w:r>
      <w:r>
        <w:t xml:space="preserve">de répondre à un besoin de santé publique et de sécuriser </w:t>
      </w:r>
      <w:r w:rsidR="0023623D">
        <w:t xml:space="preserve">désormais </w:t>
      </w:r>
      <w:r>
        <w:t xml:space="preserve">son utilisation hors AMM dans le traitement de la teigne </w:t>
      </w:r>
      <w:r w:rsidR="00B01756">
        <w:t xml:space="preserve">à </w:t>
      </w:r>
      <w:r w:rsidR="00B01756" w:rsidRPr="000B1389">
        <w:rPr>
          <w:i/>
        </w:rPr>
        <w:t>Microsporum</w:t>
      </w:r>
      <w:r w:rsidR="00B01756">
        <w:t xml:space="preserve"> </w:t>
      </w:r>
      <w:r>
        <w:t xml:space="preserve">chez l’enfant </w:t>
      </w:r>
      <w:r w:rsidR="004226E3">
        <w:t xml:space="preserve">dont le poids est supérieur ou égal </w:t>
      </w:r>
      <w:r w:rsidR="00211CCB">
        <w:t>2</w:t>
      </w:r>
      <w:r w:rsidR="00733F74">
        <w:t>0 kg</w:t>
      </w:r>
      <w:r w:rsidR="00C232E5">
        <w:t xml:space="preserve">. Ce dispositif </w:t>
      </w:r>
      <w:r w:rsidR="005F014E">
        <w:t>permett</w:t>
      </w:r>
      <w:r w:rsidR="00C232E5">
        <w:t>r</w:t>
      </w:r>
      <w:r w:rsidR="005F014E">
        <w:t>a</w:t>
      </w:r>
      <w:r w:rsidR="00C232E5">
        <w:t xml:space="preserve"> par ailleurs</w:t>
      </w:r>
      <w:r>
        <w:t xml:space="preserve"> à tout médecin et plus particulièrement aux médecins de ville de prescrire ce médicament dans cette indication.</w:t>
      </w:r>
    </w:p>
    <w:p w14:paraId="1048259E" w14:textId="77777777" w:rsidR="00FF3B5C" w:rsidRDefault="00FF3B5C" w:rsidP="00694C66">
      <w:pPr>
        <w:pStyle w:val="Corpsdetexte"/>
        <w:ind w:left="284"/>
        <w:jc w:val="both"/>
      </w:pPr>
    </w:p>
    <w:p w14:paraId="3AD7E31C" w14:textId="77777777" w:rsidR="00FF3B5C" w:rsidRDefault="00FF3B5C" w:rsidP="00694C66">
      <w:pPr>
        <w:pStyle w:val="Corpsdetexte"/>
        <w:ind w:left="284"/>
        <w:jc w:val="both"/>
      </w:pPr>
    </w:p>
    <w:p w14:paraId="58CE0CFA" w14:textId="77777777" w:rsidR="009B37B8" w:rsidRDefault="009B37B8" w:rsidP="00694C66">
      <w:pPr>
        <w:pStyle w:val="Corpsdetexte"/>
        <w:ind w:left="284"/>
        <w:jc w:val="both"/>
      </w:pPr>
    </w:p>
    <w:p w14:paraId="6E56F57F" w14:textId="77777777" w:rsidR="0071597C" w:rsidRDefault="0071597C" w:rsidP="00B80F5F">
      <w:pPr>
        <w:pStyle w:val="Corpsdetexte"/>
        <w:spacing w:before="1"/>
        <w:jc w:val="both"/>
      </w:pPr>
    </w:p>
    <w:p w14:paraId="1914F75C" w14:textId="030EC86A" w:rsidR="004A31F5" w:rsidRPr="00997BE0" w:rsidRDefault="00D5275D" w:rsidP="0019164E">
      <w:pPr>
        <w:pStyle w:val="Titre1"/>
        <w:tabs>
          <w:tab w:val="left" w:pos="7201"/>
        </w:tabs>
        <w:jc w:val="both"/>
        <w:rPr>
          <w:sz w:val="20"/>
          <w:szCs w:val="20"/>
        </w:rPr>
      </w:pPr>
      <w:r>
        <w:rPr>
          <w:sz w:val="20"/>
          <w:szCs w:val="20"/>
        </w:rPr>
        <w:t xml:space="preserve">MEDICAMENTS CONCERNES </w:t>
      </w:r>
    </w:p>
    <w:p w14:paraId="54623F64" w14:textId="77777777" w:rsidR="004A31F5" w:rsidRDefault="004A31F5" w:rsidP="0019164E">
      <w:pPr>
        <w:pStyle w:val="Corpsdetexte"/>
        <w:tabs>
          <w:tab w:val="left" w:pos="7201"/>
        </w:tabs>
        <w:spacing w:before="10"/>
        <w:jc w:val="both"/>
        <w:rPr>
          <w:b/>
          <w:i/>
          <w:sz w:val="19"/>
        </w:rPr>
      </w:pPr>
    </w:p>
    <w:p w14:paraId="5826B74B" w14:textId="0604B7A5" w:rsidR="003C19D8" w:rsidRDefault="003C19D8" w:rsidP="0019164E">
      <w:pPr>
        <w:pStyle w:val="Corpsdetexte"/>
        <w:tabs>
          <w:tab w:val="left" w:pos="7201"/>
        </w:tabs>
        <w:ind w:left="272"/>
        <w:jc w:val="both"/>
      </w:pPr>
      <w:r w:rsidRPr="004F6E51">
        <w:t>Le</w:t>
      </w:r>
      <w:r w:rsidR="00052765">
        <w:t>s</w:t>
      </w:r>
      <w:r w:rsidRPr="004F6E51">
        <w:t xml:space="preserve"> médicame</w:t>
      </w:r>
      <w:r w:rsidR="00A83EF7">
        <w:t>nts concerné</w:t>
      </w:r>
      <w:r w:rsidR="00052765">
        <w:t>s</w:t>
      </w:r>
      <w:r w:rsidR="00A83EF7">
        <w:t xml:space="preserve"> par ce CPC</w:t>
      </w:r>
      <w:r w:rsidR="00052765">
        <w:t xml:space="preserve"> sont</w:t>
      </w:r>
      <w:r w:rsidR="00A83EF7">
        <w:t xml:space="preserve"> </w:t>
      </w:r>
      <w:r w:rsidR="00052765">
        <w:t>les</w:t>
      </w:r>
      <w:r w:rsidR="00A83EF7">
        <w:t xml:space="preserve"> spécialité</w:t>
      </w:r>
      <w:r w:rsidR="00052765">
        <w:t>s</w:t>
      </w:r>
      <w:r w:rsidR="00A83EF7">
        <w:t xml:space="preserve"> à bas</w:t>
      </w:r>
      <w:r w:rsidR="0090562C">
        <w:t>e d’itraconazole par voie orale </w:t>
      </w:r>
      <w:r w:rsidR="00A83EF7">
        <w:t>:</w:t>
      </w:r>
    </w:p>
    <w:p w14:paraId="1F959C60" w14:textId="5767BCF8" w:rsidR="003C19D8" w:rsidRDefault="001F0087" w:rsidP="00B15EE1">
      <w:pPr>
        <w:pStyle w:val="Corpsdetexte"/>
        <w:numPr>
          <w:ilvl w:val="0"/>
          <w:numId w:val="11"/>
        </w:numPr>
        <w:tabs>
          <w:tab w:val="left" w:pos="7201"/>
        </w:tabs>
        <w:jc w:val="both"/>
      </w:pPr>
      <w:r>
        <w:t xml:space="preserve">SPORANOX 100 mg, gélule </w:t>
      </w:r>
      <w:r w:rsidR="003C19D8">
        <w:t>et les</w:t>
      </w:r>
      <w:r w:rsidR="003C19D8" w:rsidRPr="004F6E51">
        <w:t xml:space="preserve"> médicaments qui appartiennent au même groupe générique</w:t>
      </w:r>
      <w:r w:rsidR="003C19D8">
        <w:t>.</w:t>
      </w:r>
    </w:p>
    <w:p w14:paraId="499CBF94" w14:textId="77777777" w:rsidR="008E3CE9" w:rsidRPr="008E3CE9" w:rsidRDefault="008E3CE9" w:rsidP="0019164E">
      <w:pPr>
        <w:pStyle w:val="Corpsdetexte"/>
        <w:tabs>
          <w:tab w:val="left" w:pos="7201"/>
        </w:tabs>
        <w:jc w:val="both"/>
      </w:pPr>
    </w:p>
    <w:p w14:paraId="1D6E6D28" w14:textId="77777777" w:rsidR="000768E0" w:rsidRPr="00670383" w:rsidRDefault="000768E0" w:rsidP="0019164E">
      <w:pPr>
        <w:pStyle w:val="NormalWeb"/>
        <w:shd w:val="clear" w:color="auto" w:fill="FFFFFF"/>
        <w:tabs>
          <w:tab w:val="left" w:pos="7201"/>
        </w:tabs>
        <w:spacing w:before="0" w:beforeAutospacing="0" w:after="0" w:afterAutospacing="0"/>
        <w:ind w:left="284"/>
        <w:jc w:val="both"/>
        <w:rPr>
          <w:rFonts w:ascii="Arial" w:eastAsia="Arial" w:hAnsi="Arial" w:cs="Arial"/>
          <w:sz w:val="20"/>
          <w:szCs w:val="20"/>
          <w:lang w:eastAsia="en-US"/>
        </w:rPr>
      </w:pPr>
      <w:r w:rsidRPr="00670383">
        <w:rPr>
          <w:rFonts w:ascii="Arial" w:eastAsia="Arial" w:hAnsi="Arial" w:cs="Arial"/>
          <w:sz w:val="20"/>
          <w:szCs w:val="20"/>
          <w:lang w:eastAsia="en-US"/>
        </w:rPr>
        <w:t>L'itraconazole est un antifongique de synthèse du groupe des triazoles</w:t>
      </w:r>
      <w:r w:rsidR="00670383">
        <w:rPr>
          <w:rFonts w:ascii="Arial" w:eastAsia="Arial" w:hAnsi="Arial" w:cs="Arial"/>
          <w:sz w:val="20"/>
          <w:szCs w:val="20"/>
          <w:lang w:eastAsia="en-US"/>
        </w:rPr>
        <w:t xml:space="preserve">, antifongiques azolés </w:t>
      </w:r>
      <w:r w:rsidR="007820AC">
        <w:rPr>
          <w:rFonts w:ascii="Arial" w:eastAsia="Arial" w:hAnsi="Arial" w:cs="Arial"/>
          <w:sz w:val="20"/>
          <w:szCs w:val="20"/>
          <w:lang w:eastAsia="en-US"/>
        </w:rPr>
        <w:t>utilisés par voie systémique</w:t>
      </w:r>
      <w:r w:rsidRPr="00670383">
        <w:rPr>
          <w:rFonts w:ascii="Arial" w:eastAsia="Arial" w:hAnsi="Arial" w:cs="Arial"/>
          <w:sz w:val="20"/>
          <w:szCs w:val="20"/>
          <w:lang w:eastAsia="en-US"/>
        </w:rPr>
        <w:t>. Il est efficace contre les dermatophytes, les levures, </w:t>
      </w:r>
      <w:r w:rsidRPr="00670383">
        <w:rPr>
          <w:rFonts w:ascii="Arial" w:eastAsia="Arial" w:hAnsi="Arial" w:cs="Arial"/>
          <w:i/>
          <w:iCs/>
          <w:sz w:val="20"/>
          <w:szCs w:val="20"/>
          <w:lang w:eastAsia="en-US"/>
        </w:rPr>
        <w:t>Aspergillus spp.</w:t>
      </w:r>
      <w:r w:rsidRPr="00670383">
        <w:rPr>
          <w:rFonts w:ascii="Arial" w:eastAsia="Arial" w:hAnsi="Arial" w:cs="Arial"/>
          <w:sz w:val="20"/>
          <w:szCs w:val="20"/>
          <w:lang w:eastAsia="en-US"/>
        </w:rPr>
        <w:t> et différentes autres espèces de champignons pathogènes.</w:t>
      </w:r>
    </w:p>
    <w:p w14:paraId="305E4996" w14:textId="3B6CD4CA" w:rsidR="000768E0" w:rsidRPr="00670383" w:rsidRDefault="000768E0" w:rsidP="0019164E">
      <w:pPr>
        <w:pStyle w:val="NormalWeb"/>
        <w:shd w:val="clear" w:color="auto" w:fill="FFFFFF"/>
        <w:tabs>
          <w:tab w:val="left" w:pos="7201"/>
        </w:tabs>
        <w:spacing w:before="0" w:beforeAutospacing="0" w:after="0" w:afterAutospacing="0"/>
        <w:ind w:left="284"/>
        <w:jc w:val="both"/>
        <w:rPr>
          <w:rFonts w:ascii="Arial" w:eastAsia="Arial" w:hAnsi="Arial" w:cs="Arial"/>
          <w:sz w:val="20"/>
          <w:szCs w:val="20"/>
          <w:lang w:eastAsia="en-US"/>
        </w:rPr>
      </w:pPr>
      <w:r w:rsidRPr="00670383">
        <w:rPr>
          <w:rFonts w:ascii="Arial" w:eastAsia="Arial" w:hAnsi="Arial" w:cs="Arial"/>
          <w:sz w:val="20"/>
          <w:szCs w:val="20"/>
          <w:lang w:eastAsia="en-US"/>
        </w:rPr>
        <w:t>L'itraconazole n'agit pas sur les zygomycètes (p.ex. </w:t>
      </w:r>
      <w:r w:rsidRPr="00670383">
        <w:rPr>
          <w:rFonts w:ascii="Arial" w:eastAsia="Arial" w:hAnsi="Arial" w:cs="Arial"/>
          <w:i/>
          <w:iCs/>
          <w:sz w:val="20"/>
          <w:szCs w:val="20"/>
          <w:lang w:eastAsia="en-US"/>
        </w:rPr>
        <w:t>Rhizopus spp.</w:t>
      </w:r>
      <w:r w:rsidRPr="00670383">
        <w:rPr>
          <w:rFonts w:ascii="Arial" w:eastAsia="Arial" w:hAnsi="Arial" w:cs="Arial"/>
          <w:sz w:val="20"/>
          <w:szCs w:val="20"/>
          <w:lang w:eastAsia="en-US"/>
        </w:rPr>
        <w:t>, </w:t>
      </w:r>
      <w:r w:rsidRPr="00670383">
        <w:rPr>
          <w:rFonts w:ascii="Arial" w:eastAsia="Arial" w:hAnsi="Arial" w:cs="Arial"/>
          <w:i/>
          <w:iCs/>
          <w:sz w:val="20"/>
          <w:szCs w:val="20"/>
          <w:lang w:eastAsia="en-US"/>
        </w:rPr>
        <w:t>Rhizomucor spp.</w:t>
      </w:r>
      <w:r w:rsidRPr="00670383">
        <w:rPr>
          <w:rFonts w:ascii="Arial" w:eastAsia="Arial" w:hAnsi="Arial" w:cs="Arial"/>
          <w:sz w:val="20"/>
          <w:szCs w:val="20"/>
          <w:lang w:eastAsia="en-US"/>
        </w:rPr>
        <w:t>, </w:t>
      </w:r>
      <w:r w:rsidRPr="00670383">
        <w:rPr>
          <w:rFonts w:ascii="Arial" w:eastAsia="Arial" w:hAnsi="Arial" w:cs="Arial"/>
          <w:i/>
          <w:iCs/>
          <w:sz w:val="20"/>
          <w:szCs w:val="20"/>
          <w:lang w:eastAsia="en-US"/>
        </w:rPr>
        <w:t>Mucor spp.</w:t>
      </w:r>
      <w:r w:rsidRPr="00670383">
        <w:rPr>
          <w:rFonts w:ascii="Arial" w:eastAsia="Arial" w:hAnsi="Arial" w:cs="Arial"/>
          <w:sz w:val="20"/>
          <w:szCs w:val="20"/>
          <w:lang w:eastAsia="en-US"/>
        </w:rPr>
        <w:t> et </w:t>
      </w:r>
      <w:r w:rsidRPr="00670383">
        <w:rPr>
          <w:rFonts w:ascii="Arial" w:eastAsia="Arial" w:hAnsi="Arial" w:cs="Arial"/>
          <w:i/>
          <w:iCs/>
          <w:sz w:val="20"/>
          <w:szCs w:val="20"/>
          <w:lang w:eastAsia="en-US"/>
        </w:rPr>
        <w:t>Absidia spp.</w:t>
      </w:r>
      <w:r w:rsidRPr="00670383">
        <w:rPr>
          <w:rFonts w:ascii="Arial" w:eastAsia="Arial" w:hAnsi="Arial" w:cs="Arial"/>
          <w:sz w:val="20"/>
          <w:szCs w:val="20"/>
          <w:lang w:eastAsia="en-US"/>
        </w:rPr>
        <w:t>), ni sur </w:t>
      </w:r>
      <w:r w:rsidRPr="00670383">
        <w:rPr>
          <w:rFonts w:ascii="Arial" w:eastAsia="Arial" w:hAnsi="Arial" w:cs="Arial"/>
          <w:i/>
          <w:iCs/>
          <w:sz w:val="20"/>
          <w:szCs w:val="20"/>
          <w:lang w:eastAsia="en-US"/>
        </w:rPr>
        <w:t>Fusarium spp.</w:t>
      </w:r>
      <w:r w:rsidRPr="00670383">
        <w:rPr>
          <w:rFonts w:ascii="Arial" w:eastAsia="Arial" w:hAnsi="Arial" w:cs="Arial"/>
          <w:sz w:val="20"/>
          <w:szCs w:val="20"/>
          <w:lang w:eastAsia="en-US"/>
        </w:rPr>
        <w:t>, </w:t>
      </w:r>
      <w:r w:rsidRPr="00670383">
        <w:rPr>
          <w:rFonts w:ascii="Arial" w:eastAsia="Arial" w:hAnsi="Arial" w:cs="Arial"/>
          <w:i/>
          <w:iCs/>
          <w:sz w:val="20"/>
          <w:szCs w:val="20"/>
          <w:lang w:eastAsia="en-US"/>
        </w:rPr>
        <w:t>Scedosporium spp.</w:t>
      </w:r>
      <w:r w:rsidRPr="00670383">
        <w:rPr>
          <w:rFonts w:ascii="Arial" w:eastAsia="Arial" w:hAnsi="Arial" w:cs="Arial"/>
          <w:sz w:val="20"/>
          <w:szCs w:val="20"/>
          <w:lang w:eastAsia="en-US"/>
        </w:rPr>
        <w:t> </w:t>
      </w:r>
      <w:r w:rsidR="005C2FAD">
        <w:rPr>
          <w:rFonts w:ascii="Arial" w:eastAsia="Arial" w:hAnsi="Arial" w:cs="Arial"/>
          <w:sz w:val="20"/>
          <w:szCs w:val="20"/>
          <w:lang w:eastAsia="en-US"/>
        </w:rPr>
        <w:t>e</w:t>
      </w:r>
      <w:r w:rsidRPr="00670383">
        <w:rPr>
          <w:rFonts w:ascii="Arial" w:eastAsia="Arial" w:hAnsi="Arial" w:cs="Arial"/>
          <w:sz w:val="20"/>
          <w:szCs w:val="20"/>
          <w:lang w:eastAsia="en-US"/>
        </w:rPr>
        <w:t>t</w:t>
      </w:r>
      <w:r w:rsidR="005C2FAD">
        <w:rPr>
          <w:rFonts w:ascii="Arial" w:eastAsia="Arial" w:hAnsi="Arial" w:cs="Arial"/>
          <w:sz w:val="20"/>
          <w:szCs w:val="20"/>
          <w:lang w:eastAsia="en-US"/>
        </w:rPr>
        <w:t xml:space="preserve"> </w:t>
      </w:r>
      <w:r w:rsidRPr="00670383">
        <w:rPr>
          <w:rFonts w:ascii="Arial" w:eastAsia="Arial" w:hAnsi="Arial" w:cs="Arial"/>
          <w:i/>
          <w:iCs/>
          <w:sz w:val="20"/>
          <w:szCs w:val="20"/>
          <w:lang w:eastAsia="en-US"/>
        </w:rPr>
        <w:t>Scopulariopsis spp.</w:t>
      </w:r>
    </w:p>
    <w:p w14:paraId="2C39BFDB" w14:textId="77777777" w:rsidR="000768E0" w:rsidRDefault="000768E0" w:rsidP="0019164E">
      <w:pPr>
        <w:pStyle w:val="Corpsdetexte"/>
        <w:tabs>
          <w:tab w:val="left" w:pos="7201"/>
        </w:tabs>
        <w:ind w:left="272"/>
        <w:jc w:val="both"/>
      </w:pPr>
    </w:p>
    <w:p w14:paraId="3E820F86" w14:textId="77777777" w:rsidR="00A86489" w:rsidRDefault="000768E0" w:rsidP="0019164E">
      <w:pPr>
        <w:pStyle w:val="Corpsdetexte"/>
        <w:tabs>
          <w:tab w:val="left" w:pos="7201"/>
        </w:tabs>
        <w:ind w:left="284" w:firstLine="12"/>
        <w:jc w:val="both"/>
      </w:pPr>
      <w:r>
        <w:t xml:space="preserve">Le mode d’action de l’itraconazole repose sur sa capacité hautement sélective </w:t>
      </w:r>
      <w:r w:rsidR="00E52B4B">
        <w:t xml:space="preserve">à </w:t>
      </w:r>
      <w:r>
        <w:t xml:space="preserve">se lier aux isoenzymes fongiques du cytochrome P450. L’itraconazole inhibe </w:t>
      </w:r>
      <w:r w:rsidR="00670383">
        <w:t xml:space="preserve">la synthèse de l’ergostérol. Il </w:t>
      </w:r>
      <w:r>
        <w:t>modifie également la fonction des enzymes liées à la membrane, ain</w:t>
      </w:r>
      <w:r w:rsidR="00670383">
        <w:t xml:space="preserve">si que la perméabilité de la </w:t>
      </w:r>
      <w:r>
        <w:t>membrane, et comme cet effet est irréversible, il entraîne l</w:t>
      </w:r>
      <w:r w:rsidR="00670383">
        <w:t xml:space="preserve">a dégénérescence structurale </w:t>
      </w:r>
      <w:r w:rsidR="00670383" w:rsidRPr="00670383">
        <w:t>de la cellule fongique</w:t>
      </w:r>
      <w:r w:rsidR="0090562C">
        <w:t>.</w:t>
      </w:r>
    </w:p>
    <w:p w14:paraId="2BED9BD1" w14:textId="72700876" w:rsidR="006B6EE0" w:rsidRDefault="006B6EE0" w:rsidP="005D5765">
      <w:pPr>
        <w:pStyle w:val="Corpsdetexte"/>
        <w:spacing w:before="93"/>
        <w:ind w:left="284"/>
        <w:jc w:val="both"/>
      </w:pPr>
      <w:r>
        <w:t>Dans le cadre de l’AMM, l’itraconazo</w:t>
      </w:r>
      <w:r w:rsidR="009222C7">
        <w:t>l</w:t>
      </w:r>
      <w:r>
        <w:t>e est indiqué dans diverses infections fongiques et est soumis à prescription hospitalière (le traitement ne peut pas être initié en ville).</w:t>
      </w:r>
    </w:p>
    <w:p w14:paraId="0D337ED8" w14:textId="77777777" w:rsidR="006958B3" w:rsidRDefault="006958B3" w:rsidP="00B80F5F">
      <w:pPr>
        <w:pStyle w:val="Corpsdetexte"/>
        <w:spacing w:before="1"/>
        <w:jc w:val="both"/>
        <w:rPr>
          <w:sz w:val="18"/>
        </w:rPr>
      </w:pPr>
    </w:p>
    <w:p w14:paraId="0B95E50F" w14:textId="77777777" w:rsidR="006958B3" w:rsidRDefault="006958B3" w:rsidP="00B80F5F">
      <w:pPr>
        <w:pStyle w:val="Corpsdetexte"/>
        <w:spacing w:before="1"/>
        <w:jc w:val="both"/>
        <w:rPr>
          <w:sz w:val="18"/>
        </w:rPr>
      </w:pPr>
    </w:p>
    <w:p w14:paraId="0181E6A3" w14:textId="77777777" w:rsidR="004A31F5" w:rsidRPr="00997BE0" w:rsidRDefault="0096711B" w:rsidP="00CD2302">
      <w:pPr>
        <w:pStyle w:val="Titre1"/>
        <w:ind w:right="4"/>
        <w:jc w:val="both"/>
        <w:rPr>
          <w:sz w:val="20"/>
          <w:szCs w:val="20"/>
        </w:rPr>
      </w:pPr>
      <w:r>
        <w:rPr>
          <w:sz w:val="20"/>
          <w:szCs w:val="20"/>
        </w:rPr>
        <w:lastRenderedPageBreak/>
        <w:t xml:space="preserve">ITRACONAZOLE  DANS LE </w:t>
      </w:r>
      <w:r w:rsidR="005B4B4E" w:rsidRPr="00997BE0">
        <w:rPr>
          <w:sz w:val="20"/>
          <w:szCs w:val="20"/>
        </w:rPr>
        <w:t>C</w:t>
      </w:r>
      <w:r>
        <w:rPr>
          <w:sz w:val="20"/>
          <w:szCs w:val="20"/>
        </w:rPr>
        <w:t xml:space="preserve">ADRE DE PRESCRIPTION  </w:t>
      </w:r>
      <w:r w:rsidR="005B4B4E" w:rsidRPr="00997BE0">
        <w:rPr>
          <w:sz w:val="20"/>
          <w:szCs w:val="20"/>
        </w:rPr>
        <w:t>C</w:t>
      </w:r>
      <w:r>
        <w:rPr>
          <w:sz w:val="20"/>
          <w:szCs w:val="20"/>
        </w:rPr>
        <w:t>OMPASSIONNELLE</w:t>
      </w:r>
    </w:p>
    <w:p w14:paraId="162775BE" w14:textId="77777777" w:rsidR="004A31F5" w:rsidRDefault="004A31F5" w:rsidP="00A86489">
      <w:pPr>
        <w:pStyle w:val="Corpsdetexte"/>
        <w:jc w:val="both"/>
        <w:rPr>
          <w:sz w:val="19"/>
        </w:rPr>
      </w:pPr>
    </w:p>
    <w:p w14:paraId="02DCC0C3" w14:textId="77777777" w:rsidR="004A31F5" w:rsidRPr="00997BE0" w:rsidRDefault="0096711B" w:rsidP="00B80F5F">
      <w:pPr>
        <w:pStyle w:val="Titre2"/>
        <w:jc w:val="both"/>
        <w:rPr>
          <w:rFonts w:ascii="Arial" w:hAnsi="Arial" w:cs="Arial"/>
          <w:b/>
          <w:sz w:val="20"/>
          <w:szCs w:val="20"/>
          <w:u w:val="none"/>
        </w:rPr>
      </w:pPr>
      <w:r>
        <w:rPr>
          <w:rFonts w:ascii="Arial" w:hAnsi="Arial" w:cs="Arial"/>
          <w:b/>
          <w:sz w:val="20"/>
          <w:szCs w:val="20"/>
          <w:u w:val="none"/>
        </w:rPr>
        <w:t>Indications et conditions d’utilisation du</w:t>
      </w:r>
      <w:r w:rsidR="00D5275D">
        <w:rPr>
          <w:rFonts w:ascii="Arial" w:hAnsi="Arial" w:cs="Arial"/>
          <w:b/>
          <w:sz w:val="20"/>
          <w:szCs w:val="20"/>
          <w:u w:val="none"/>
        </w:rPr>
        <w:t xml:space="preserve"> CPC</w:t>
      </w:r>
    </w:p>
    <w:p w14:paraId="69DB97EF" w14:textId="77777777" w:rsidR="004A31F5" w:rsidRDefault="004A31F5" w:rsidP="00B80F5F">
      <w:pPr>
        <w:pStyle w:val="Corpsdetexte"/>
        <w:spacing w:before="1"/>
        <w:jc w:val="both"/>
        <w:rPr>
          <w:b/>
        </w:rPr>
      </w:pPr>
    </w:p>
    <w:p w14:paraId="28609447" w14:textId="77777777" w:rsidR="00391DA1" w:rsidRPr="0090562C" w:rsidRDefault="003A3239" w:rsidP="0090562C">
      <w:pPr>
        <w:pStyle w:val="Corpsdetexte"/>
        <w:ind w:left="272"/>
        <w:jc w:val="both"/>
        <w:rPr>
          <w:color w:val="0000FF"/>
          <w:u w:val="single" w:color="0000FF"/>
        </w:rPr>
      </w:pPr>
      <w:r>
        <w:t>Pour le traitement de la teigne</w:t>
      </w:r>
      <w:r w:rsidR="002C1394">
        <w:t>, l’indication, la posologie</w:t>
      </w:r>
      <w:r>
        <w:t xml:space="preserve"> et</w:t>
      </w:r>
      <w:r w:rsidR="002C1394">
        <w:t xml:space="preserve"> la durée de traitement sont différentes de celles prévues par l’AMM. Les autres modalités </w:t>
      </w:r>
      <w:r w:rsidR="002C1394" w:rsidRPr="002C1394">
        <w:t xml:space="preserve">d’utilisation des spécialités à base </w:t>
      </w:r>
      <w:r>
        <w:t>d’itraconazole</w:t>
      </w:r>
      <w:r w:rsidR="002C1394" w:rsidRPr="002C1394">
        <w:t xml:space="preserve"> </w:t>
      </w:r>
      <w:r>
        <w:t xml:space="preserve">par voie orale </w:t>
      </w:r>
      <w:r w:rsidR="002C1394" w:rsidRPr="002C1394">
        <w:t xml:space="preserve">sont identiques à celles prévues par l’AMM notamment les contre-indications et les modalités de surveillance du patient. </w:t>
      </w:r>
      <w:r w:rsidR="00CB5921" w:rsidRPr="002C1394">
        <w:t>L</w:t>
      </w:r>
      <w:r w:rsidR="007F51CD" w:rsidRPr="002C1394">
        <w:t xml:space="preserve">es effets indésirables attendus sont également comparables. Il est donc impératif que le médecin prescrivant une spécialité à base </w:t>
      </w:r>
      <w:r>
        <w:t>d’itraconazole</w:t>
      </w:r>
      <w:r w:rsidR="00200060" w:rsidRPr="002C1394">
        <w:t xml:space="preserve"> </w:t>
      </w:r>
      <w:r>
        <w:t xml:space="preserve">par voie orale </w:t>
      </w:r>
      <w:r w:rsidR="007F51CD" w:rsidRPr="002C1394">
        <w:t xml:space="preserve">dans ce </w:t>
      </w:r>
      <w:r w:rsidR="005B4B4E" w:rsidRPr="002C1394">
        <w:t>CPC</w:t>
      </w:r>
      <w:r w:rsidR="007F51CD" w:rsidRPr="002C1394">
        <w:t xml:space="preserve"> prenne connaissance du </w:t>
      </w:r>
      <w:r w:rsidR="001A2FC9" w:rsidRPr="002C1394">
        <w:t xml:space="preserve">résumé des caractéristiques du produit (RCP) </w:t>
      </w:r>
      <w:r w:rsidR="005756ED" w:rsidRPr="002C1394">
        <w:t>tel que prévu par</w:t>
      </w:r>
      <w:r w:rsidR="007F51CD" w:rsidRPr="002C1394">
        <w:t xml:space="preserve"> l’AMM (</w:t>
      </w:r>
      <w:r w:rsidR="0071597C" w:rsidRPr="002C1394">
        <w:rPr>
          <w:color w:val="0000FF"/>
          <w:u w:val="single" w:color="0000FF"/>
        </w:rPr>
        <w:t>cf.</w:t>
      </w:r>
      <w:r w:rsidR="007F51CD" w:rsidRPr="002C1394">
        <w:rPr>
          <w:color w:val="0000FF"/>
          <w:u w:val="single" w:color="0000FF"/>
        </w:rPr>
        <w:t xml:space="preserve"> </w:t>
      </w:r>
      <w:hyperlink r:id="rId16">
        <w:r w:rsidR="007F51CD" w:rsidRPr="002C1394">
          <w:rPr>
            <w:color w:val="0000FF"/>
            <w:u w:val="single" w:color="0000FF"/>
          </w:rPr>
          <w:t>http://base-donnees-publique.medicaments.gouv.fr/index.php</w:t>
        </w:r>
      </w:hyperlink>
      <w:r w:rsidR="007F51CD">
        <w:rPr>
          <w:color w:val="0000FF"/>
          <w:u w:val="single" w:color="0000FF"/>
        </w:rPr>
        <w:t>).</w:t>
      </w:r>
    </w:p>
    <w:p w14:paraId="1C253A37" w14:textId="77777777" w:rsidR="00391DA1" w:rsidRPr="00E52B4B" w:rsidRDefault="00391DA1" w:rsidP="00391DA1">
      <w:pPr>
        <w:pStyle w:val="Corpsdetexte"/>
        <w:spacing w:before="8"/>
        <w:ind w:left="284"/>
        <w:jc w:val="both"/>
        <w:rPr>
          <w:highlight w:val="yellow"/>
        </w:rPr>
      </w:pPr>
    </w:p>
    <w:p w14:paraId="5B372253" w14:textId="77777777" w:rsidR="00445582" w:rsidRDefault="00445582" w:rsidP="00B80F5F">
      <w:pPr>
        <w:ind w:left="272"/>
        <w:jc w:val="both"/>
        <w:rPr>
          <w:b/>
          <w:sz w:val="20"/>
        </w:rPr>
      </w:pPr>
      <w:r w:rsidRPr="00445582">
        <w:rPr>
          <w:b/>
          <w:sz w:val="20"/>
          <w:u w:val="single"/>
        </w:rPr>
        <w:t>Indication</w:t>
      </w:r>
      <w:r>
        <w:rPr>
          <w:b/>
          <w:sz w:val="20"/>
        </w:rPr>
        <w:t> :</w:t>
      </w:r>
    </w:p>
    <w:p w14:paraId="6D2CBBE4" w14:textId="6F7DC2AD" w:rsidR="005C2FAD" w:rsidRDefault="000B1389" w:rsidP="00A460D4">
      <w:pPr>
        <w:pStyle w:val="Corpsdetexte"/>
        <w:spacing w:before="11"/>
        <w:ind w:left="284"/>
      </w:pPr>
      <w:r>
        <w:t xml:space="preserve">Traitement </w:t>
      </w:r>
      <w:r w:rsidRPr="00086B95">
        <w:t xml:space="preserve">de la teigne </w:t>
      </w:r>
      <w:r>
        <w:t xml:space="preserve">à </w:t>
      </w:r>
      <w:r w:rsidRPr="00A460D4">
        <w:t>Microsporum</w:t>
      </w:r>
      <w:r w:rsidRPr="00086B95">
        <w:t xml:space="preserve"> </w:t>
      </w:r>
      <w:r>
        <w:t>chez l’enfant à partir de 20kg</w:t>
      </w:r>
      <w:r w:rsidDel="000B1389">
        <w:t xml:space="preserve"> </w:t>
      </w:r>
    </w:p>
    <w:p w14:paraId="68310FB0" w14:textId="77777777" w:rsidR="004D341E" w:rsidRDefault="004D341E" w:rsidP="00DE3148">
      <w:pPr>
        <w:ind w:left="272"/>
        <w:jc w:val="both"/>
        <w:rPr>
          <w:sz w:val="20"/>
        </w:rPr>
      </w:pPr>
    </w:p>
    <w:p w14:paraId="37342BAB" w14:textId="77777777" w:rsidR="00445582" w:rsidRDefault="00445582" w:rsidP="00B80F5F">
      <w:pPr>
        <w:ind w:left="272"/>
        <w:jc w:val="both"/>
        <w:rPr>
          <w:b/>
          <w:sz w:val="20"/>
        </w:rPr>
      </w:pPr>
      <w:r w:rsidRPr="00445582">
        <w:rPr>
          <w:b/>
          <w:sz w:val="20"/>
          <w:u w:val="single"/>
        </w:rPr>
        <w:t>Posologie</w:t>
      </w:r>
      <w:r w:rsidR="00A86868">
        <w:rPr>
          <w:b/>
          <w:sz w:val="20"/>
          <w:u w:val="single"/>
        </w:rPr>
        <w:t xml:space="preserve"> et mode d’administration</w:t>
      </w:r>
      <w:r>
        <w:rPr>
          <w:b/>
          <w:sz w:val="20"/>
        </w:rPr>
        <w:t> :</w:t>
      </w:r>
    </w:p>
    <w:p w14:paraId="1ADFB4B2" w14:textId="6359BE4F" w:rsidR="00A86868" w:rsidRDefault="00181806" w:rsidP="00181806">
      <w:pPr>
        <w:pStyle w:val="Corpsdetexte"/>
        <w:spacing w:before="11"/>
        <w:ind w:left="284"/>
      </w:pPr>
      <w:r w:rsidRPr="004A76A1">
        <w:t xml:space="preserve">Pour un enfant </w:t>
      </w:r>
      <w:r w:rsidR="000B1389">
        <w:t>à partir de</w:t>
      </w:r>
      <w:r w:rsidRPr="004A76A1">
        <w:t xml:space="preserve"> 20 kg : 100 mg par jour</w:t>
      </w:r>
    </w:p>
    <w:p w14:paraId="04E6CBD2" w14:textId="06AFCBE7" w:rsidR="00C20D08" w:rsidRDefault="00C20D08" w:rsidP="00C20D08">
      <w:pPr>
        <w:pStyle w:val="Corpsdetexte"/>
        <w:spacing w:before="11"/>
        <w:ind w:left="284"/>
        <w:jc w:val="both"/>
      </w:pPr>
    </w:p>
    <w:p w14:paraId="63446A9B" w14:textId="37306ED8" w:rsidR="000755CD" w:rsidRPr="00975CDE" w:rsidRDefault="008038C8" w:rsidP="007B0051">
      <w:pPr>
        <w:pStyle w:val="Corpsdetexte"/>
        <w:spacing w:before="11"/>
        <w:ind w:left="284"/>
        <w:jc w:val="both"/>
      </w:pPr>
      <w:r w:rsidRPr="00975CDE">
        <w:t>Le traitement s’administre en 1 prise par jour</w:t>
      </w:r>
      <w:r w:rsidR="000755CD" w:rsidRPr="00975CDE">
        <w:t> pendant 6 semaines :</w:t>
      </w:r>
    </w:p>
    <w:p w14:paraId="0938C76F" w14:textId="37E20B97" w:rsidR="000755CD" w:rsidRPr="00975CDE" w:rsidRDefault="00BD42E3" w:rsidP="007B0051">
      <w:pPr>
        <w:pStyle w:val="Corpsdetexte"/>
        <w:numPr>
          <w:ilvl w:val="0"/>
          <w:numId w:val="11"/>
        </w:numPr>
        <w:spacing w:before="11"/>
        <w:jc w:val="both"/>
        <w:rPr>
          <w:szCs w:val="22"/>
        </w:rPr>
      </w:pPr>
      <w:r w:rsidRPr="00975CDE">
        <w:rPr>
          <w:szCs w:val="22"/>
        </w:rPr>
        <w:t xml:space="preserve">la </w:t>
      </w:r>
      <w:r w:rsidR="000755CD" w:rsidRPr="00975CDE">
        <w:rPr>
          <w:szCs w:val="22"/>
        </w:rPr>
        <w:t xml:space="preserve">gélule </w:t>
      </w:r>
      <w:r w:rsidR="00607288">
        <w:rPr>
          <w:szCs w:val="22"/>
        </w:rPr>
        <w:t>doit être avalée</w:t>
      </w:r>
      <w:r w:rsidR="00607288" w:rsidRPr="00975CDE">
        <w:rPr>
          <w:szCs w:val="22"/>
        </w:rPr>
        <w:t xml:space="preserve"> </w:t>
      </w:r>
      <w:r w:rsidR="009C2DB8">
        <w:rPr>
          <w:szCs w:val="22"/>
        </w:rPr>
        <w:t xml:space="preserve"> </w:t>
      </w:r>
      <w:r w:rsidR="000755CD" w:rsidRPr="00975CDE">
        <w:rPr>
          <w:szCs w:val="22"/>
        </w:rPr>
        <w:t>sans être ouverte</w:t>
      </w:r>
      <w:r w:rsidR="009C2DB8">
        <w:rPr>
          <w:szCs w:val="22"/>
        </w:rPr>
        <w:t xml:space="preserve"> avec un grand verre d’eau</w:t>
      </w:r>
      <w:r w:rsidR="000755CD" w:rsidRPr="00975CDE">
        <w:rPr>
          <w:szCs w:val="22"/>
        </w:rPr>
        <w:t>, immédiatement après un repas de préférence.</w:t>
      </w:r>
    </w:p>
    <w:p w14:paraId="1323C09F" w14:textId="7C0AEDFF" w:rsidR="00607993" w:rsidRDefault="00607993" w:rsidP="007B0051">
      <w:pPr>
        <w:jc w:val="both"/>
        <w:rPr>
          <w:sz w:val="18"/>
        </w:rPr>
      </w:pPr>
    </w:p>
    <w:p w14:paraId="636A61BE" w14:textId="77777777" w:rsidR="004A76A1" w:rsidRDefault="00F0271F" w:rsidP="007B0051">
      <w:pPr>
        <w:ind w:left="284"/>
        <w:jc w:val="both"/>
        <w:rPr>
          <w:sz w:val="20"/>
          <w:szCs w:val="20"/>
        </w:rPr>
      </w:pPr>
      <w:r w:rsidRPr="00524D76">
        <w:rPr>
          <w:sz w:val="20"/>
          <w:szCs w:val="20"/>
          <w:u w:val="single"/>
        </w:rPr>
        <w:t>Traitement en cas d’absence d’amélioration ou d’aggravation après 4 semaines de traitement</w:t>
      </w:r>
      <w:r w:rsidR="004A76A1">
        <w:rPr>
          <w:sz w:val="20"/>
          <w:szCs w:val="20"/>
        </w:rPr>
        <w:t xml:space="preserve"> </w:t>
      </w:r>
      <w:r w:rsidR="004A76A1" w:rsidRPr="004A76A1">
        <w:rPr>
          <w:sz w:val="20"/>
          <w:szCs w:val="20"/>
        </w:rPr>
        <w:t>:</w:t>
      </w:r>
    </w:p>
    <w:p w14:paraId="0334B1BC" w14:textId="77777777" w:rsidR="00F0271F" w:rsidRPr="00524D76" w:rsidRDefault="00524D76" w:rsidP="00EA2ECF">
      <w:pPr>
        <w:pStyle w:val="Paragraphedeliste"/>
        <w:numPr>
          <w:ilvl w:val="0"/>
          <w:numId w:val="11"/>
        </w:numPr>
        <w:rPr>
          <w:sz w:val="20"/>
          <w:szCs w:val="20"/>
        </w:rPr>
      </w:pPr>
      <w:r w:rsidRPr="00524D76">
        <w:rPr>
          <w:sz w:val="20"/>
          <w:szCs w:val="20"/>
        </w:rPr>
        <w:t>si déjà sous itraconazole</w:t>
      </w:r>
      <w:r>
        <w:rPr>
          <w:sz w:val="20"/>
          <w:szCs w:val="20"/>
        </w:rPr>
        <w:t>,</w:t>
      </w:r>
      <w:r w:rsidRPr="00524D76">
        <w:rPr>
          <w:sz w:val="20"/>
          <w:szCs w:val="20"/>
        </w:rPr>
        <w:t xml:space="preserve"> </w:t>
      </w:r>
      <w:r>
        <w:rPr>
          <w:sz w:val="20"/>
          <w:szCs w:val="20"/>
        </w:rPr>
        <w:t xml:space="preserve">continuer </w:t>
      </w:r>
      <w:r w:rsidR="004A76A1" w:rsidRPr="00524D76">
        <w:rPr>
          <w:sz w:val="20"/>
          <w:szCs w:val="20"/>
        </w:rPr>
        <w:t>pendant 2 semaines</w:t>
      </w:r>
      <w:r>
        <w:rPr>
          <w:sz w:val="20"/>
          <w:szCs w:val="20"/>
        </w:rPr>
        <w:t xml:space="preserve"> </w:t>
      </w:r>
      <w:r w:rsidRPr="00524D76">
        <w:rPr>
          <w:sz w:val="20"/>
          <w:szCs w:val="20"/>
        </w:rPr>
        <w:t>supplémentaires</w:t>
      </w:r>
    </w:p>
    <w:p w14:paraId="17932881" w14:textId="77777777" w:rsidR="00DB28B2" w:rsidRDefault="00524D76" w:rsidP="00EA2ECF">
      <w:pPr>
        <w:pStyle w:val="Corpsdetexte"/>
        <w:numPr>
          <w:ilvl w:val="0"/>
          <w:numId w:val="11"/>
        </w:numPr>
        <w:spacing w:before="11"/>
        <w:rPr>
          <w:szCs w:val="22"/>
        </w:rPr>
      </w:pPr>
      <w:r>
        <w:rPr>
          <w:szCs w:val="22"/>
        </w:rPr>
        <w:t>si sous terbinafine, switch à l’itraconazole pendant 4 semaines supplémentaires</w:t>
      </w:r>
    </w:p>
    <w:p w14:paraId="0385A0FB" w14:textId="77777777" w:rsidR="00524D76" w:rsidRPr="004A76A1" w:rsidRDefault="00524D76" w:rsidP="00EA2ECF">
      <w:pPr>
        <w:pStyle w:val="Corpsdetexte"/>
        <w:numPr>
          <w:ilvl w:val="0"/>
          <w:numId w:val="11"/>
        </w:numPr>
        <w:spacing w:before="11"/>
      </w:pPr>
      <w:r w:rsidRPr="00524D76">
        <w:rPr>
          <w:szCs w:val="22"/>
        </w:rPr>
        <w:t xml:space="preserve">en cas de </w:t>
      </w:r>
      <w:r w:rsidRPr="00524D76">
        <w:rPr>
          <w:i/>
          <w:szCs w:val="22"/>
        </w:rPr>
        <w:t>Microsporum</w:t>
      </w:r>
      <w:r>
        <w:rPr>
          <w:i/>
          <w:szCs w:val="22"/>
        </w:rPr>
        <w:t xml:space="preserve"> </w:t>
      </w:r>
      <w:r w:rsidRPr="00524D76">
        <w:rPr>
          <w:szCs w:val="22"/>
        </w:rPr>
        <w:t>identifié</w:t>
      </w:r>
      <w:r>
        <w:rPr>
          <w:i/>
          <w:szCs w:val="22"/>
        </w:rPr>
        <w:t>,</w:t>
      </w:r>
      <w:r w:rsidRPr="00524D76">
        <w:rPr>
          <w:szCs w:val="22"/>
        </w:rPr>
        <w:t xml:space="preserve"> </w:t>
      </w:r>
      <w:r>
        <w:rPr>
          <w:szCs w:val="22"/>
        </w:rPr>
        <w:t xml:space="preserve">itraconazole </w:t>
      </w:r>
      <w:r w:rsidRPr="004A76A1">
        <w:t xml:space="preserve">pendant </w:t>
      </w:r>
      <w:r>
        <w:t>2</w:t>
      </w:r>
      <w:r w:rsidRPr="004A76A1">
        <w:t xml:space="preserve"> semaines</w:t>
      </w:r>
      <w:r>
        <w:t>.</w:t>
      </w:r>
    </w:p>
    <w:p w14:paraId="387D6592" w14:textId="77777777" w:rsidR="005C2FAD" w:rsidRDefault="005C2FAD" w:rsidP="005C2FAD">
      <w:pPr>
        <w:pStyle w:val="Corpsdetexte"/>
        <w:spacing w:before="11"/>
        <w:rPr>
          <w:szCs w:val="22"/>
        </w:rPr>
      </w:pPr>
    </w:p>
    <w:p w14:paraId="66E08EBF" w14:textId="77777777" w:rsidR="001B5E2B" w:rsidRPr="005C2FAD" w:rsidRDefault="001B5E2B" w:rsidP="005C2FAD">
      <w:pPr>
        <w:pStyle w:val="Corpsdetexte"/>
        <w:spacing w:before="11"/>
        <w:rPr>
          <w:szCs w:val="22"/>
        </w:rPr>
      </w:pPr>
    </w:p>
    <w:tbl>
      <w:tblPr>
        <w:tblStyle w:val="Grilledutableau"/>
        <w:tblW w:w="0" w:type="auto"/>
        <w:tblInd w:w="272" w:type="dxa"/>
        <w:tblLook w:val="04A0" w:firstRow="1" w:lastRow="0" w:firstColumn="1" w:lastColumn="0" w:noHBand="0" w:noVBand="1"/>
      </w:tblPr>
      <w:tblGrid>
        <w:gridCol w:w="8507"/>
      </w:tblGrid>
      <w:tr w:rsidR="00EA358D" w14:paraId="58095CA1" w14:textId="77777777" w:rsidTr="00EA358D">
        <w:tc>
          <w:tcPr>
            <w:tcW w:w="8779" w:type="dxa"/>
          </w:tcPr>
          <w:p w14:paraId="4FD118E4" w14:textId="77777777" w:rsidR="00EA358D" w:rsidRDefault="00EA358D" w:rsidP="00EA358D">
            <w:pPr>
              <w:ind w:left="272"/>
              <w:jc w:val="both"/>
              <w:rPr>
                <w:b/>
                <w:sz w:val="20"/>
                <w:u w:val="single"/>
              </w:rPr>
            </w:pPr>
          </w:p>
          <w:p w14:paraId="23B4C510" w14:textId="22D938BC" w:rsidR="00EA358D" w:rsidRPr="00B21657" w:rsidRDefault="00EA358D" w:rsidP="00EA358D">
            <w:pPr>
              <w:ind w:left="272"/>
              <w:jc w:val="both"/>
              <w:rPr>
                <w:b/>
                <w:sz w:val="20"/>
                <w:u w:val="single"/>
              </w:rPr>
            </w:pPr>
            <w:r w:rsidRPr="00B21657">
              <w:rPr>
                <w:b/>
                <w:sz w:val="20"/>
                <w:u w:val="single"/>
              </w:rPr>
              <w:t>Conditions de prescription et de délivrance dans le</w:t>
            </w:r>
            <w:r w:rsidR="00B43C55">
              <w:rPr>
                <w:b/>
                <w:sz w:val="20"/>
                <w:u w:val="single"/>
              </w:rPr>
              <w:t xml:space="preserve"> </w:t>
            </w:r>
            <w:r w:rsidRPr="00B21657">
              <w:rPr>
                <w:b/>
                <w:sz w:val="20"/>
                <w:u w:val="single"/>
              </w:rPr>
              <w:t>CPC</w:t>
            </w:r>
          </w:p>
          <w:p w14:paraId="68F8AF4E" w14:textId="77777777" w:rsidR="00EA358D" w:rsidRDefault="00EA358D" w:rsidP="00EA358D">
            <w:pPr>
              <w:ind w:left="284"/>
            </w:pPr>
          </w:p>
          <w:p w14:paraId="276A41E4" w14:textId="77777777" w:rsidR="00EA358D" w:rsidRPr="00833BD8" w:rsidRDefault="005F15B2" w:rsidP="00EA358D">
            <w:pPr>
              <w:ind w:left="284"/>
              <w:rPr>
                <w:sz w:val="20"/>
              </w:rPr>
            </w:pPr>
            <w:hyperlink r:id="rId17" w:anchor="listes">
              <w:r w:rsidR="00EA358D" w:rsidRPr="00833BD8">
                <w:rPr>
                  <w:sz w:val="20"/>
                </w:rPr>
                <w:t xml:space="preserve">Liste </w:t>
              </w:r>
            </w:hyperlink>
            <w:r w:rsidR="00EA358D" w:rsidRPr="00833BD8">
              <w:rPr>
                <w:sz w:val="20"/>
              </w:rPr>
              <w:t>I.</w:t>
            </w:r>
          </w:p>
          <w:p w14:paraId="326E99A7" w14:textId="77777777" w:rsidR="00EA358D" w:rsidRDefault="00EA358D" w:rsidP="00B21657">
            <w:pPr>
              <w:jc w:val="both"/>
              <w:rPr>
                <w:b/>
                <w:sz w:val="20"/>
                <w:u w:val="single"/>
              </w:rPr>
            </w:pPr>
          </w:p>
        </w:tc>
      </w:tr>
    </w:tbl>
    <w:p w14:paraId="7A3378D5" w14:textId="77777777" w:rsidR="0090562C" w:rsidRPr="003259B8" w:rsidRDefault="0090562C" w:rsidP="003259B8">
      <w:pPr>
        <w:tabs>
          <w:tab w:val="left" w:pos="873"/>
          <w:tab w:val="left" w:pos="874"/>
        </w:tabs>
        <w:spacing w:before="117"/>
        <w:rPr>
          <w:sz w:val="20"/>
          <w:szCs w:val="20"/>
        </w:rPr>
      </w:pPr>
    </w:p>
    <w:p w14:paraId="23AF763F" w14:textId="77777777" w:rsidR="004A31F5" w:rsidRPr="00997BE0" w:rsidRDefault="007F51CD" w:rsidP="00997BE0">
      <w:pPr>
        <w:pStyle w:val="Titre2"/>
        <w:rPr>
          <w:rFonts w:ascii="Arial" w:hAnsi="Arial" w:cs="Arial"/>
          <w:b/>
          <w:sz w:val="20"/>
          <w:szCs w:val="20"/>
          <w:u w:val="none"/>
        </w:rPr>
      </w:pPr>
      <w:r w:rsidRPr="00997BE0">
        <w:rPr>
          <w:rFonts w:ascii="Arial" w:hAnsi="Arial" w:cs="Arial"/>
          <w:b/>
          <w:sz w:val="20"/>
          <w:szCs w:val="20"/>
          <w:u w:val="none"/>
        </w:rPr>
        <w:t xml:space="preserve">MODALITES </w:t>
      </w:r>
      <w:r w:rsidR="003E43B0">
        <w:rPr>
          <w:rFonts w:ascii="Arial" w:hAnsi="Arial" w:cs="Arial"/>
          <w:b/>
          <w:sz w:val="20"/>
          <w:szCs w:val="20"/>
          <w:u w:val="none"/>
        </w:rPr>
        <w:t xml:space="preserve">PRATIQUES </w:t>
      </w:r>
      <w:r w:rsidR="00A86868">
        <w:rPr>
          <w:rFonts w:ascii="Arial" w:hAnsi="Arial" w:cs="Arial"/>
          <w:b/>
          <w:sz w:val="20"/>
          <w:szCs w:val="20"/>
          <w:u w:val="none"/>
        </w:rPr>
        <w:t xml:space="preserve">D’INITIATION DU TRAITEMENT ET </w:t>
      </w:r>
      <w:r w:rsidR="003E43B0">
        <w:rPr>
          <w:rFonts w:ascii="Arial" w:hAnsi="Arial" w:cs="Arial"/>
          <w:b/>
          <w:sz w:val="20"/>
          <w:szCs w:val="20"/>
          <w:u w:val="none"/>
        </w:rPr>
        <w:t>DE SUIVI DES PATIENTS</w:t>
      </w:r>
    </w:p>
    <w:p w14:paraId="1D5813E6" w14:textId="77777777" w:rsidR="004A31F5" w:rsidRPr="008F22C0" w:rsidRDefault="004A31F5" w:rsidP="008E3CE9">
      <w:pPr>
        <w:pStyle w:val="Corpsdetexte"/>
        <w:rPr>
          <w:b/>
        </w:rPr>
      </w:pPr>
    </w:p>
    <w:p w14:paraId="57001D32" w14:textId="77777777" w:rsidR="004A31F5" w:rsidRPr="0095292D" w:rsidRDefault="007F51CD" w:rsidP="0095292D">
      <w:pPr>
        <w:pStyle w:val="Titre3"/>
        <w:rPr>
          <w:rFonts w:ascii="Arial" w:hAnsi="Arial" w:cs="Arial"/>
          <w:b/>
          <w:sz w:val="20"/>
          <w:szCs w:val="20"/>
        </w:rPr>
      </w:pPr>
      <w:r w:rsidRPr="0095292D">
        <w:rPr>
          <w:rFonts w:ascii="Arial" w:hAnsi="Arial" w:cs="Arial"/>
          <w:b/>
          <w:sz w:val="20"/>
          <w:szCs w:val="20"/>
        </w:rPr>
        <w:t xml:space="preserve">Initiation du traitement ou patient déjà traité par </w:t>
      </w:r>
      <w:r w:rsidR="00DF72E9">
        <w:rPr>
          <w:rFonts w:ascii="Arial" w:hAnsi="Arial" w:cs="Arial"/>
          <w:b/>
          <w:sz w:val="20"/>
          <w:szCs w:val="20"/>
        </w:rPr>
        <w:t>itraconazole</w:t>
      </w:r>
    </w:p>
    <w:p w14:paraId="3A6CDB4F" w14:textId="77777777" w:rsidR="004A31F5" w:rsidRDefault="004A31F5" w:rsidP="008E3CE9">
      <w:pPr>
        <w:pStyle w:val="Corpsdetexte"/>
        <w:spacing w:before="4"/>
        <w:rPr>
          <w:b/>
        </w:rPr>
      </w:pPr>
    </w:p>
    <w:p w14:paraId="7D263EDC" w14:textId="77777777" w:rsidR="004A31F5" w:rsidRDefault="00A86868" w:rsidP="008E3CE9">
      <w:pPr>
        <w:pStyle w:val="Corpsdetexte"/>
        <w:spacing w:line="229" w:lineRule="exact"/>
        <w:ind w:left="272"/>
        <w:jc w:val="both"/>
      </w:pPr>
      <w:r>
        <w:t>Le prescripteur doit</w:t>
      </w:r>
      <w:r w:rsidR="00B80F5F">
        <w:t xml:space="preserve"> </w:t>
      </w:r>
      <w:r w:rsidR="007F51CD">
        <w:t>:</w:t>
      </w:r>
    </w:p>
    <w:p w14:paraId="3F4683F8" w14:textId="77777777" w:rsidR="004A31F5" w:rsidRPr="00694C66" w:rsidRDefault="005A7355" w:rsidP="00694C66">
      <w:pPr>
        <w:pStyle w:val="Paragraphedeliste"/>
        <w:numPr>
          <w:ilvl w:val="0"/>
          <w:numId w:val="11"/>
        </w:numPr>
        <w:rPr>
          <w:sz w:val="20"/>
          <w:szCs w:val="20"/>
        </w:rPr>
      </w:pPr>
      <w:r w:rsidRPr="00694C66">
        <w:rPr>
          <w:sz w:val="20"/>
          <w:szCs w:val="20"/>
        </w:rPr>
        <w:t xml:space="preserve">prendre connaissance du présent CPC et </w:t>
      </w:r>
      <w:r w:rsidR="007F51CD" w:rsidRPr="00694C66">
        <w:rPr>
          <w:sz w:val="20"/>
          <w:szCs w:val="20"/>
        </w:rPr>
        <w:t>vérifie</w:t>
      </w:r>
      <w:r w:rsidR="003E43B0" w:rsidRPr="00694C66">
        <w:rPr>
          <w:sz w:val="20"/>
          <w:szCs w:val="20"/>
        </w:rPr>
        <w:t>r</w:t>
      </w:r>
      <w:r w:rsidR="007F51CD" w:rsidRPr="00694C66">
        <w:rPr>
          <w:sz w:val="20"/>
          <w:szCs w:val="20"/>
        </w:rPr>
        <w:t xml:space="preserve"> le</w:t>
      </w:r>
      <w:r w:rsidR="00A86489" w:rsidRPr="00694C66">
        <w:rPr>
          <w:sz w:val="20"/>
          <w:szCs w:val="20"/>
        </w:rPr>
        <w:t>s</w:t>
      </w:r>
      <w:r w:rsidR="007F51CD" w:rsidRPr="00694C66">
        <w:rPr>
          <w:sz w:val="20"/>
          <w:szCs w:val="20"/>
        </w:rPr>
        <w:t xml:space="preserve"> critère</w:t>
      </w:r>
      <w:r w:rsidR="00A86489" w:rsidRPr="00694C66">
        <w:rPr>
          <w:sz w:val="20"/>
          <w:szCs w:val="20"/>
        </w:rPr>
        <w:t>s</w:t>
      </w:r>
      <w:r w:rsidR="007F51CD" w:rsidRPr="00694C66">
        <w:rPr>
          <w:sz w:val="20"/>
          <w:szCs w:val="20"/>
        </w:rPr>
        <w:t xml:space="preserve"> de prescription</w:t>
      </w:r>
      <w:r w:rsidR="007D7479">
        <w:rPr>
          <w:sz w:val="20"/>
          <w:szCs w:val="20"/>
        </w:rPr>
        <w:t xml:space="preserve"> dans ce cadre</w:t>
      </w:r>
      <w:r w:rsidR="007F51CD" w:rsidRPr="00694C66">
        <w:rPr>
          <w:sz w:val="20"/>
          <w:szCs w:val="20"/>
        </w:rPr>
        <w:t xml:space="preserve"> (cf. 2.1) ;</w:t>
      </w:r>
    </w:p>
    <w:p w14:paraId="0F41994A" w14:textId="77777777" w:rsidR="004A31F5" w:rsidRPr="00694C66" w:rsidRDefault="007F51CD" w:rsidP="00694C66">
      <w:pPr>
        <w:pStyle w:val="Paragraphedeliste"/>
        <w:numPr>
          <w:ilvl w:val="0"/>
          <w:numId w:val="11"/>
        </w:numPr>
        <w:rPr>
          <w:sz w:val="20"/>
          <w:szCs w:val="20"/>
        </w:rPr>
      </w:pPr>
      <w:r w:rsidRPr="00694C66">
        <w:rPr>
          <w:sz w:val="20"/>
          <w:szCs w:val="20"/>
        </w:rPr>
        <w:t>vérifie</w:t>
      </w:r>
      <w:r w:rsidR="003E43B0" w:rsidRPr="00694C66">
        <w:rPr>
          <w:sz w:val="20"/>
          <w:szCs w:val="20"/>
        </w:rPr>
        <w:t>r</w:t>
      </w:r>
      <w:r w:rsidRPr="00694C66">
        <w:rPr>
          <w:sz w:val="20"/>
          <w:szCs w:val="20"/>
        </w:rPr>
        <w:t xml:space="preserve"> l’absence d’une contre-indication au traitement (se référer au RCP de l’AMM) ;</w:t>
      </w:r>
    </w:p>
    <w:p w14:paraId="62A25757" w14:textId="77777777" w:rsidR="004A31F5" w:rsidRPr="00694C66" w:rsidRDefault="007F51CD" w:rsidP="00694C66">
      <w:pPr>
        <w:pStyle w:val="Paragraphedeliste"/>
        <w:numPr>
          <w:ilvl w:val="0"/>
          <w:numId w:val="11"/>
        </w:numPr>
        <w:rPr>
          <w:sz w:val="20"/>
          <w:szCs w:val="20"/>
        </w:rPr>
      </w:pPr>
      <w:r w:rsidRPr="00694C66">
        <w:rPr>
          <w:sz w:val="20"/>
          <w:szCs w:val="20"/>
        </w:rPr>
        <w:t>informe</w:t>
      </w:r>
      <w:r w:rsidR="003E43B0" w:rsidRPr="00694C66">
        <w:rPr>
          <w:sz w:val="20"/>
          <w:szCs w:val="20"/>
        </w:rPr>
        <w:t>r</w:t>
      </w:r>
      <w:r w:rsidRPr="00694C66">
        <w:rPr>
          <w:sz w:val="20"/>
          <w:szCs w:val="20"/>
        </w:rPr>
        <w:t xml:space="preserve"> le patient (ou son représentant légal ou la personne de confiance qu’il a désignée) de la non-conformité de la prescription par rapport à l’AMM, des risques encourus, des contraintes et des bénéfices susceptibles d’être apportés par le médicament, des conditions de prise en charge par l’assurance maladie et s’assure de la bonne compréhension de ces informations ;</w:t>
      </w:r>
    </w:p>
    <w:p w14:paraId="08FD8BEF" w14:textId="6219F020" w:rsidR="004A31F5" w:rsidRPr="00694C66" w:rsidRDefault="007F51CD" w:rsidP="00694C66">
      <w:pPr>
        <w:pStyle w:val="Paragraphedeliste"/>
        <w:numPr>
          <w:ilvl w:val="0"/>
          <w:numId w:val="11"/>
        </w:numPr>
        <w:rPr>
          <w:sz w:val="20"/>
          <w:szCs w:val="20"/>
        </w:rPr>
      </w:pPr>
      <w:r w:rsidRPr="00694C66">
        <w:rPr>
          <w:sz w:val="20"/>
          <w:szCs w:val="20"/>
        </w:rPr>
        <w:t>remet</w:t>
      </w:r>
      <w:r w:rsidR="003E43B0" w:rsidRPr="00694C66">
        <w:rPr>
          <w:sz w:val="20"/>
          <w:szCs w:val="20"/>
        </w:rPr>
        <w:t>tre</w:t>
      </w:r>
      <w:r w:rsidRPr="00694C66">
        <w:rPr>
          <w:sz w:val="20"/>
          <w:szCs w:val="20"/>
        </w:rPr>
        <w:t xml:space="preserve"> au patient (ou à son représentant légal ou à la personne de confiance qu’il a désignée) la note d’information destinée au patient (</w:t>
      </w:r>
      <w:r w:rsidRPr="00BC5F83">
        <w:rPr>
          <w:sz w:val="20"/>
          <w:szCs w:val="20"/>
        </w:rPr>
        <w:t>cf. Annexe</w:t>
      </w:r>
      <w:r w:rsidRPr="00694C66">
        <w:rPr>
          <w:sz w:val="20"/>
          <w:szCs w:val="20"/>
        </w:rPr>
        <w:t xml:space="preserve"> I)</w:t>
      </w:r>
      <w:r w:rsidR="00547403" w:rsidRPr="00694C66">
        <w:rPr>
          <w:sz w:val="20"/>
          <w:szCs w:val="20"/>
        </w:rPr>
        <w:t xml:space="preserve"> </w:t>
      </w:r>
      <w:r w:rsidRPr="00694C66">
        <w:rPr>
          <w:sz w:val="20"/>
          <w:szCs w:val="20"/>
        </w:rPr>
        <w:t>;</w:t>
      </w:r>
    </w:p>
    <w:p w14:paraId="01EE15D0" w14:textId="77777777" w:rsidR="004A31F5" w:rsidRPr="00694C66" w:rsidRDefault="007F51CD" w:rsidP="00694C66">
      <w:pPr>
        <w:pStyle w:val="Paragraphedeliste"/>
        <w:numPr>
          <w:ilvl w:val="0"/>
          <w:numId w:val="11"/>
        </w:numPr>
        <w:rPr>
          <w:sz w:val="20"/>
          <w:szCs w:val="20"/>
        </w:rPr>
      </w:pPr>
      <w:r w:rsidRPr="00694C66">
        <w:rPr>
          <w:sz w:val="20"/>
          <w:szCs w:val="20"/>
        </w:rPr>
        <w:t>informe</w:t>
      </w:r>
      <w:r w:rsidR="003E43B0" w:rsidRPr="00694C66">
        <w:rPr>
          <w:sz w:val="20"/>
          <w:szCs w:val="20"/>
        </w:rPr>
        <w:t>r</w:t>
      </w:r>
      <w:r w:rsidRPr="00694C66">
        <w:rPr>
          <w:sz w:val="20"/>
          <w:szCs w:val="20"/>
        </w:rPr>
        <w:t>, si possible, le médecin traitant du patient ;</w:t>
      </w:r>
    </w:p>
    <w:p w14:paraId="25C772B4" w14:textId="77777777" w:rsidR="004A31F5" w:rsidRPr="00694C66" w:rsidRDefault="007F51CD" w:rsidP="00694C66">
      <w:pPr>
        <w:pStyle w:val="Paragraphedeliste"/>
        <w:numPr>
          <w:ilvl w:val="0"/>
          <w:numId w:val="11"/>
        </w:numPr>
        <w:rPr>
          <w:sz w:val="20"/>
          <w:szCs w:val="20"/>
        </w:rPr>
      </w:pPr>
      <w:r w:rsidRPr="00694C66">
        <w:rPr>
          <w:sz w:val="20"/>
          <w:szCs w:val="20"/>
        </w:rPr>
        <w:t>porte</w:t>
      </w:r>
      <w:r w:rsidR="003E43B0" w:rsidRPr="00694C66">
        <w:rPr>
          <w:sz w:val="20"/>
          <w:szCs w:val="20"/>
        </w:rPr>
        <w:t>r</w:t>
      </w:r>
      <w:r w:rsidRPr="00694C66">
        <w:rPr>
          <w:sz w:val="20"/>
          <w:szCs w:val="20"/>
        </w:rPr>
        <w:t xml:space="preserve"> sur l’ordonnance la mention : « </w:t>
      </w:r>
      <w:r w:rsidRPr="001B5E2B">
        <w:rPr>
          <w:sz w:val="20"/>
          <w:szCs w:val="20"/>
          <w:u w:val="single"/>
        </w:rPr>
        <w:t xml:space="preserve">Prescription </w:t>
      </w:r>
      <w:r w:rsidR="008E049B" w:rsidRPr="001B5E2B">
        <w:rPr>
          <w:sz w:val="20"/>
          <w:szCs w:val="20"/>
          <w:u w:val="single"/>
        </w:rPr>
        <w:t>au titre d’un accès compassionnel en dehors du cadre d</w:t>
      </w:r>
      <w:r w:rsidR="00DA2B22" w:rsidRPr="001B5E2B">
        <w:rPr>
          <w:sz w:val="20"/>
          <w:szCs w:val="20"/>
          <w:u w:val="single"/>
        </w:rPr>
        <w:t>e l</w:t>
      </w:r>
      <w:r w:rsidR="008E049B" w:rsidRPr="001B5E2B">
        <w:rPr>
          <w:sz w:val="20"/>
          <w:szCs w:val="20"/>
          <w:u w:val="single"/>
        </w:rPr>
        <w:t>’autorisation de mise sur le marché</w:t>
      </w:r>
      <w:r w:rsidRPr="00694C66">
        <w:rPr>
          <w:sz w:val="20"/>
          <w:szCs w:val="20"/>
        </w:rPr>
        <w:t>» ;</w:t>
      </w:r>
    </w:p>
    <w:p w14:paraId="4D31CC37" w14:textId="7FE19379" w:rsidR="004E1220" w:rsidRDefault="007F51CD" w:rsidP="004E1220">
      <w:pPr>
        <w:pStyle w:val="Paragraphedeliste"/>
        <w:numPr>
          <w:ilvl w:val="0"/>
          <w:numId w:val="11"/>
        </w:numPr>
        <w:rPr>
          <w:sz w:val="20"/>
          <w:szCs w:val="20"/>
        </w:rPr>
      </w:pPr>
      <w:r w:rsidRPr="00694C66">
        <w:rPr>
          <w:sz w:val="20"/>
          <w:szCs w:val="20"/>
        </w:rPr>
        <w:t>motive</w:t>
      </w:r>
      <w:r w:rsidR="003E43B0" w:rsidRPr="00694C66">
        <w:rPr>
          <w:sz w:val="20"/>
          <w:szCs w:val="20"/>
        </w:rPr>
        <w:t>r</w:t>
      </w:r>
      <w:r w:rsidRPr="00694C66">
        <w:rPr>
          <w:sz w:val="20"/>
          <w:szCs w:val="20"/>
        </w:rPr>
        <w:t xml:space="preserve"> sa prescription dans</w:t>
      </w:r>
      <w:r w:rsidR="00DF72E9" w:rsidRPr="00694C66">
        <w:rPr>
          <w:sz w:val="20"/>
          <w:szCs w:val="20"/>
        </w:rPr>
        <w:t xml:space="preserve"> le dossier m</w:t>
      </w:r>
      <w:r w:rsidR="00D5275D">
        <w:rPr>
          <w:sz w:val="20"/>
          <w:szCs w:val="20"/>
        </w:rPr>
        <w:t>édical du patient</w:t>
      </w:r>
      <w:r w:rsidR="00B43C55">
        <w:rPr>
          <w:sz w:val="20"/>
          <w:szCs w:val="20"/>
        </w:rPr>
        <w:t xml:space="preserve"> et y inscrire</w:t>
      </w:r>
      <w:r w:rsidR="007D7479">
        <w:rPr>
          <w:sz w:val="20"/>
          <w:szCs w:val="20"/>
        </w:rPr>
        <w:t xml:space="preserve"> la procédure suivie</w:t>
      </w:r>
      <w:r w:rsidR="00D5275D">
        <w:rPr>
          <w:sz w:val="20"/>
          <w:szCs w:val="20"/>
        </w:rPr>
        <w:t>.</w:t>
      </w:r>
    </w:p>
    <w:p w14:paraId="30E664B1" w14:textId="11B1AE00" w:rsidR="004E1220" w:rsidRDefault="004E1220" w:rsidP="004E1220">
      <w:pPr>
        <w:rPr>
          <w:sz w:val="20"/>
          <w:szCs w:val="20"/>
        </w:rPr>
      </w:pPr>
    </w:p>
    <w:p w14:paraId="1E20BB6C" w14:textId="4A95EF24" w:rsidR="004E1220" w:rsidRPr="0095292D" w:rsidRDefault="004E1220" w:rsidP="004E1220">
      <w:pPr>
        <w:pStyle w:val="Titre3"/>
        <w:rPr>
          <w:rFonts w:ascii="Arial" w:hAnsi="Arial" w:cs="Arial"/>
          <w:b/>
          <w:sz w:val="20"/>
          <w:szCs w:val="20"/>
        </w:rPr>
      </w:pPr>
      <w:r>
        <w:rPr>
          <w:rFonts w:ascii="Arial" w:hAnsi="Arial" w:cs="Arial"/>
          <w:b/>
          <w:sz w:val="20"/>
          <w:szCs w:val="20"/>
        </w:rPr>
        <w:t>Délivrance</w:t>
      </w:r>
      <w:r w:rsidRPr="0095292D">
        <w:rPr>
          <w:rFonts w:ascii="Arial" w:hAnsi="Arial" w:cs="Arial"/>
          <w:b/>
          <w:sz w:val="20"/>
          <w:szCs w:val="20"/>
        </w:rPr>
        <w:t xml:space="preserve"> du traitement</w:t>
      </w:r>
    </w:p>
    <w:p w14:paraId="6D8CEDE4" w14:textId="77777777" w:rsidR="004E1220" w:rsidRDefault="004E1220" w:rsidP="004E1220">
      <w:pPr>
        <w:jc w:val="both"/>
        <w:rPr>
          <w:sz w:val="20"/>
          <w:szCs w:val="20"/>
        </w:rPr>
      </w:pPr>
    </w:p>
    <w:p w14:paraId="75040840" w14:textId="1EDF327C" w:rsidR="004E1220" w:rsidRPr="004E1220" w:rsidRDefault="004E1220" w:rsidP="004E1220">
      <w:pPr>
        <w:jc w:val="both"/>
        <w:rPr>
          <w:sz w:val="20"/>
          <w:szCs w:val="20"/>
        </w:rPr>
      </w:pPr>
      <w:r>
        <w:rPr>
          <w:sz w:val="20"/>
          <w:szCs w:val="20"/>
        </w:rPr>
        <w:t xml:space="preserve">La mention </w:t>
      </w:r>
      <w:r w:rsidRPr="00694C66">
        <w:rPr>
          <w:sz w:val="20"/>
          <w:szCs w:val="20"/>
        </w:rPr>
        <w:t xml:space="preserve">« </w:t>
      </w:r>
      <w:r w:rsidRPr="001B5E2B">
        <w:rPr>
          <w:sz w:val="20"/>
          <w:szCs w:val="20"/>
          <w:u w:val="single"/>
        </w:rPr>
        <w:t>Prescription au titre d’un accès compassionnel en dehors du cadre de l’autorisation de mise sur le marché</w:t>
      </w:r>
      <w:r w:rsidRPr="00694C66">
        <w:rPr>
          <w:sz w:val="20"/>
          <w:szCs w:val="20"/>
        </w:rPr>
        <w:t>»</w:t>
      </w:r>
      <w:r>
        <w:rPr>
          <w:sz w:val="20"/>
          <w:szCs w:val="20"/>
        </w:rPr>
        <w:t xml:space="preserve"> portée sur l’ordonnance permet au pharmacien de délivrer le médicament sur prescription de tout médecin.</w:t>
      </w:r>
    </w:p>
    <w:p w14:paraId="557FED30" w14:textId="77777777" w:rsidR="004A31F5" w:rsidRDefault="004A31F5" w:rsidP="004E1220">
      <w:pPr>
        <w:pStyle w:val="Corpsdetexte"/>
        <w:spacing w:before="5"/>
        <w:rPr>
          <w:sz w:val="19"/>
        </w:rPr>
      </w:pPr>
    </w:p>
    <w:p w14:paraId="27BB4027" w14:textId="77777777" w:rsidR="004A31F5" w:rsidRPr="0095292D" w:rsidRDefault="007F51CD" w:rsidP="0095292D">
      <w:pPr>
        <w:pStyle w:val="Titre3"/>
        <w:rPr>
          <w:rFonts w:ascii="Arial" w:hAnsi="Arial" w:cs="Arial"/>
          <w:b/>
          <w:sz w:val="20"/>
          <w:szCs w:val="20"/>
        </w:rPr>
      </w:pPr>
      <w:r w:rsidRPr="0095292D">
        <w:rPr>
          <w:rFonts w:ascii="Arial" w:hAnsi="Arial" w:cs="Arial"/>
          <w:b/>
          <w:sz w:val="20"/>
          <w:szCs w:val="20"/>
        </w:rPr>
        <w:t>Suivi du traitement</w:t>
      </w:r>
    </w:p>
    <w:p w14:paraId="5598D95B" w14:textId="77777777" w:rsidR="00B80F5F" w:rsidRDefault="00B80F5F" w:rsidP="00B80F5F">
      <w:pPr>
        <w:pStyle w:val="Corpsdetexte"/>
        <w:ind w:left="272"/>
        <w:jc w:val="both"/>
      </w:pPr>
    </w:p>
    <w:p w14:paraId="63D752F2" w14:textId="77777777" w:rsidR="004A31F5" w:rsidRDefault="007F51CD" w:rsidP="00B80F5F">
      <w:pPr>
        <w:pStyle w:val="Corpsdetexte"/>
        <w:ind w:left="272"/>
        <w:jc w:val="both"/>
      </w:pPr>
      <w:r>
        <w:t xml:space="preserve">Le suivi du traitement relève de la prise en charge habituelle des patients dans le cadre de leur pathologie. </w:t>
      </w:r>
    </w:p>
    <w:p w14:paraId="5695F46A" w14:textId="15A422B8" w:rsidR="004A31F5" w:rsidRDefault="007F51CD" w:rsidP="00B80F5F">
      <w:pPr>
        <w:pStyle w:val="Corpsdetexte"/>
        <w:ind w:left="272"/>
        <w:jc w:val="both"/>
      </w:pPr>
      <w:r>
        <w:t xml:space="preserve">En cas de survenue d’effet indésirable, le prescripteur doit le déclarer dès que possible au Centre </w:t>
      </w:r>
      <w:r w:rsidR="007219AD">
        <w:t xml:space="preserve">Régional </w:t>
      </w:r>
      <w:r>
        <w:t>de Pharmacovigilance dont il dépend géographiquement</w:t>
      </w:r>
      <w:r w:rsidR="00032448">
        <w:t xml:space="preserve"> ou sur </w:t>
      </w:r>
      <w:hyperlink r:id="rId18" w:history="1">
        <w:r w:rsidR="00032448" w:rsidRPr="00777FAB">
          <w:rPr>
            <w:rStyle w:val="Lienhypertexte"/>
          </w:rPr>
          <w:t>https://signalement.social-sante.gouv.fr/</w:t>
        </w:r>
      </w:hyperlink>
      <w:r w:rsidR="007D7479">
        <w:t xml:space="preserve"> (voir modalités de déclarations des effets indésirables en annexe </w:t>
      </w:r>
      <w:r w:rsidR="00BC5F83">
        <w:t>II</w:t>
      </w:r>
      <w:r w:rsidR="007D7479">
        <w:t>) en mentionnant que le patient est traité au titre du CPC</w:t>
      </w:r>
      <w:r>
        <w:t>.</w:t>
      </w:r>
    </w:p>
    <w:p w14:paraId="51CE72EE" w14:textId="77777777" w:rsidR="004A31F5" w:rsidRDefault="004A31F5" w:rsidP="00B80F5F">
      <w:pPr>
        <w:pStyle w:val="Corpsdetexte"/>
        <w:spacing w:before="3"/>
        <w:jc w:val="both"/>
      </w:pPr>
    </w:p>
    <w:p w14:paraId="781BE7EE" w14:textId="77777777" w:rsidR="00B87BB0" w:rsidRPr="00B80F5F" w:rsidRDefault="00B87BB0" w:rsidP="00B80F5F">
      <w:pPr>
        <w:pStyle w:val="Corpsdetexte"/>
        <w:spacing w:before="3"/>
        <w:jc w:val="both"/>
      </w:pPr>
    </w:p>
    <w:p w14:paraId="619D7CA3" w14:textId="77777777" w:rsidR="004A31F5" w:rsidRPr="0095292D" w:rsidRDefault="007F51CD" w:rsidP="0095292D">
      <w:pPr>
        <w:pStyle w:val="Titre1"/>
        <w:jc w:val="both"/>
        <w:rPr>
          <w:sz w:val="20"/>
          <w:szCs w:val="20"/>
        </w:rPr>
      </w:pPr>
      <w:r w:rsidRPr="0095292D">
        <w:rPr>
          <w:sz w:val="20"/>
          <w:szCs w:val="20"/>
        </w:rPr>
        <w:t>MODALITES DE SAISIE ET EXPLOITATION DES DONNEES</w:t>
      </w:r>
    </w:p>
    <w:p w14:paraId="71C357B2" w14:textId="77777777" w:rsidR="000031B7" w:rsidRDefault="000031B7" w:rsidP="00B014D1">
      <w:pPr>
        <w:pStyle w:val="Corpsdetexte"/>
        <w:jc w:val="both"/>
      </w:pPr>
    </w:p>
    <w:p w14:paraId="6E0849BD" w14:textId="54D4B5F9" w:rsidR="00DA3524" w:rsidRPr="007A65E3" w:rsidRDefault="00DA3524" w:rsidP="00DA3524">
      <w:pPr>
        <w:spacing w:before="120"/>
        <w:ind w:left="272" w:right="46"/>
        <w:jc w:val="both"/>
        <w:rPr>
          <w:bCs/>
          <w:sz w:val="20"/>
        </w:rPr>
      </w:pPr>
      <w:r w:rsidRPr="007A65E3">
        <w:rPr>
          <w:bCs/>
          <w:sz w:val="20"/>
        </w:rPr>
        <w:t xml:space="preserve">Du fait </w:t>
      </w:r>
      <w:r w:rsidR="00E629AE">
        <w:rPr>
          <w:bCs/>
          <w:sz w:val="20"/>
        </w:rPr>
        <w:t>d’un usage recommandé par les experts en se basant sur les données de la littérature (cf</w:t>
      </w:r>
      <w:r w:rsidR="0090562C">
        <w:rPr>
          <w:bCs/>
          <w:sz w:val="20"/>
        </w:rPr>
        <w:t>.</w:t>
      </w:r>
      <w:r w:rsidR="00E629AE">
        <w:rPr>
          <w:bCs/>
          <w:sz w:val="20"/>
        </w:rPr>
        <w:t xml:space="preserve"> Annexe </w:t>
      </w:r>
      <w:r w:rsidR="00E629AE" w:rsidRPr="00BC5F83">
        <w:rPr>
          <w:bCs/>
          <w:sz w:val="20"/>
        </w:rPr>
        <w:t>I</w:t>
      </w:r>
      <w:r w:rsidR="00E629AE">
        <w:rPr>
          <w:bCs/>
          <w:sz w:val="20"/>
        </w:rPr>
        <w:t>)</w:t>
      </w:r>
      <w:r w:rsidR="005B5198">
        <w:rPr>
          <w:bCs/>
          <w:sz w:val="20"/>
        </w:rPr>
        <w:t xml:space="preserve"> et de </w:t>
      </w:r>
      <w:r w:rsidR="005B5198" w:rsidRPr="006C2906">
        <w:rPr>
          <w:bCs/>
          <w:sz w:val="20"/>
        </w:rPr>
        <w:t>son utilisation depuis 1993 dans le cadre de son AMM, le profil de sécurité de l’itraconazole administré par voie orale est bien connu. En conséquence</w:t>
      </w:r>
      <w:r>
        <w:rPr>
          <w:bCs/>
          <w:sz w:val="20"/>
        </w:rPr>
        <w:t>, i</w:t>
      </w:r>
      <w:r w:rsidRPr="007A65E3">
        <w:rPr>
          <w:bCs/>
          <w:sz w:val="20"/>
        </w:rPr>
        <w:t xml:space="preserve">l </w:t>
      </w:r>
      <w:r>
        <w:rPr>
          <w:bCs/>
          <w:sz w:val="20"/>
        </w:rPr>
        <w:t>n’est pas mis</w:t>
      </w:r>
      <w:r w:rsidRPr="007A65E3">
        <w:rPr>
          <w:bCs/>
          <w:sz w:val="20"/>
        </w:rPr>
        <w:t xml:space="preserve"> en place de collecte de données cliniques</w:t>
      </w:r>
      <w:r>
        <w:rPr>
          <w:bCs/>
          <w:sz w:val="20"/>
        </w:rPr>
        <w:t xml:space="preserve"> </w:t>
      </w:r>
      <w:r w:rsidRPr="007A65E3">
        <w:rPr>
          <w:bCs/>
          <w:sz w:val="20"/>
        </w:rPr>
        <w:t>des patients traités.</w:t>
      </w:r>
    </w:p>
    <w:p w14:paraId="375F0361" w14:textId="77777777" w:rsidR="003D213B" w:rsidRDefault="003D213B" w:rsidP="008E3CE9">
      <w:pPr>
        <w:pStyle w:val="Corpsdetexte"/>
        <w:ind w:left="272"/>
        <w:jc w:val="both"/>
      </w:pPr>
    </w:p>
    <w:p w14:paraId="10E63786" w14:textId="77777777" w:rsidR="004A31F5" w:rsidRDefault="00745D34" w:rsidP="008E3CE9">
      <w:pPr>
        <w:pStyle w:val="Corpsdetexte"/>
        <w:ind w:left="272"/>
        <w:jc w:val="both"/>
        <w:rPr>
          <w:color w:val="0000FF"/>
          <w:u w:val="single" w:color="0000FF"/>
        </w:rPr>
      </w:pPr>
      <w:r>
        <w:t xml:space="preserve">Les données </w:t>
      </w:r>
      <w:r w:rsidR="00DA3524">
        <w:t>de pharmacovigilance</w:t>
      </w:r>
      <w:r w:rsidR="007F51CD">
        <w:t xml:space="preserve"> feront l’objet de rapports périodiques rédigés</w:t>
      </w:r>
      <w:r w:rsidR="00B74BD6">
        <w:t xml:space="preserve"> annuellement</w:t>
      </w:r>
      <w:r w:rsidR="007F51CD">
        <w:t xml:space="preserve"> par le</w:t>
      </w:r>
      <w:r w:rsidR="00B74BD6">
        <w:t>s</w:t>
      </w:r>
      <w:r w:rsidR="007F51CD">
        <w:t xml:space="preserve"> laboratoire</w:t>
      </w:r>
      <w:r w:rsidR="00B74BD6">
        <w:t>s concernés</w:t>
      </w:r>
      <w:r w:rsidR="007F51CD">
        <w:t xml:space="preserve"> et transmis à l’ANSM</w:t>
      </w:r>
      <w:r w:rsidR="001A2FC9" w:rsidRPr="001A2FC9">
        <w:t xml:space="preserve"> </w:t>
      </w:r>
      <w:r w:rsidR="001A2FC9">
        <w:t xml:space="preserve">en collaboration avec le centre régional de </w:t>
      </w:r>
      <w:r w:rsidR="001A2FC9" w:rsidRPr="00B87BB0">
        <w:t xml:space="preserve">pharmacovigilance (CRPV) de </w:t>
      </w:r>
      <w:r w:rsidR="0082493A">
        <w:t>Tours</w:t>
      </w:r>
      <w:r w:rsidR="007F51CD">
        <w:t>. Le</w:t>
      </w:r>
      <w:r w:rsidR="00B74BD6">
        <w:t>s</w:t>
      </w:r>
      <w:r w:rsidR="007F51CD">
        <w:t xml:space="preserve"> résumé</w:t>
      </w:r>
      <w:r w:rsidR="00B74BD6">
        <w:t>s</w:t>
      </w:r>
      <w:r w:rsidR="007F51CD">
        <w:t xml:space="preserve"> de ces rapports validé</w:t>
      </w:r>
      <w:r w:rsidR="00B74BD6">
        <w:t>s</w:t>
      </w:r>
      <w:r w:rsidR="007F51CD">
        <w:t xml:space="preserve"> par l’ANSM </w:t>
      </w:r>
      <w:r w:rsidR="00B74BD6">
        <w:t xml:space="preserve">seront </w:t>
      </w:r>
      <w:r w:rsidR="007F51CD">
        <w:t>publié</w:t>
      </w:r>
      <w:r w:rsidR="00B80F5F">
        <w:t>s</w:t>
      </w:r>
      <w:r w:rsidR="007F51CD">
        <w:t xml:space="preserve"> sur son site Internet : </w:t>
      </w:r>
      <w:hyperlink r:id="rId19">
        <w:r w:rsidR="007F51CD">
          <w:rPr>
            <w:color w:val="0000FF"/>
            <w:u w:val="single" w:color="0000FF"/>
          </w:rPr>
          <w:t>www.ansm.sante.fr.</w:t>
        </w:r>
      </w:hyperlink>
    </w:p>
    <w:p w14:paraId="6AECC7E0" w14:textId="77777777" w:rsidR="004A31F5" w:rsidRPr="008F22C0" w:rsidRDefault="004A31F5" w:rsidP="008E3CE9">
      <w:pPr>
        <w:pStyle w:val="Corpsdetexte"/>
        <w:spacing w:before="2"/>
      </w:pPr>
    </w:p>
    <w:tbl>
      <w:tblPr>
        <w:tblStyle w:val="Grilledutableau"/>
        <w:tblW w:w="0" w:type="auto"/>
        <w:tblInd w:w="108" w:type="dxa"/>
        <w:tblBorders>
          <w:insideH w:val="none" w:sz="0" w:space="0" w:color="auto"/>
          <w:insideV w:val="none" w:sz="0" w:space="0" w:color="auto"/>
        </w:tblBorders>
        <w:tblLook w:val="04A0" w:firstRow="1" w:lastRow="0" w:firstColumn="1" w:lastColumn="0" w:noHBand="0" w:noVBand="1"/>
      </w:tblPr>
      <w:tblGrid>
        <w:gridCol w:w="8671"/>
      </w:tblGrid>
      <w:tr w:rsidR="007F51CD" w:rsidRPr="007F51CD" w14:paraId="1BFA5E78" w14:textId="77777777" w:rsidTr="00B80F5F">
        <w:tc>
          <w:tcPr>
            <w:tcW w:w="8958" w:type="dxa"/>
          </w:tcPr>
          <w:p w14:paraId="18BCBF0F" w14:textId="77777777" w:rsidR="006D1538" w:rsidRPr="006D1538" w:rsidRDefault="007200A4" w:rsidP="006D1538">
            <w:pPr>
              <w:widowControl/>
              <w:adjustRightInd w:val="0"/>
              <w:rPr>
                <w:sz w:val="20"/>
                <w:szCs w:val="20"/>
              </w:rPr>
            </w:pPr>
            <w:r w:rsidRPr="007200A4">
              <w:rPr>
                <w:sz w:val="20"/>
                <w:szCs w:val="20"/>
              </w:rPr>
              <w:t>Nous vous rappelons que tout effet indésirable doit être déclaré</w:t>
            </w:r>
            <w:r>
              <w:rPr>
                <w:sz w:val="20"/>
                <w:szCs w:val="20"/>
              </w:rPr>
              <w:t xml:space="preserve"> </w:t>
            </w:r>
            <w:r w:rsidRPr="007200A4">
              <w:rPr>
                <w:sz w:val="20"/>
                <w:szCs w:val="20"/>
              </w:rPr>
              <w:t xml:space="preserve">auprès de votre CRPV ou sur </w:t>
            </w:r>
            <w:hyperlink r:id="rId20" w:history="1">
              <w:r w:rsidR="006D1538" w:rsidRPr="009D328F">
                <w:rPr>
                  <w:rStyle w:val="Lienhypertexte"/>
                  <w:sz w:val="20"/>
                  <w:szCs w:val="20"/>
                </w:rPr>
                <w:t>https://signalement.social-sante.gouv.fr/</w:t>
              </w:r>
            </w:hyperlink>
            <w:r w:rsidR="006D1538" w:rsidRPr="006D1538">
              <w:rPr>
                <w:sz w:val="20"/>
                <w:szCs w:val="20"/>
              </w:rPr>
              <w:t>.</w:t>
            </w:r>
          </w:p>
        </w:tc>
      </w:tr>
      <w:tr w:rsidR="007F51CD" w:rsidRPr="007F51CD" w14:paraId="7700247D" w14:textId="77777777" w:rsidTr="00B80F5F">
        <w:trPr>
          <w:trHeight w:val="228"/>
        </w:trPr>
        <w:tc>
          <w:tcPr>
            <w:tcW w:w="8958" w:type="dxa"/>
          </w:tcPr>
          <w:p w14:paraId="6F06E806" w14:textId="77777777" w:rsidR="007F51CD" w:rsidRPr="007F51CD" w:rsidRDefault="007F51CD" w:rsidP="00B80F5F">
            <w:pPr>
              <w:pStyle w:val="Corpsdetexte"/>
              <w:spacing w:before="121"/>
              <w:jc w:val="both"/>
            </w:pPr>
            <w:r w:rsidRPr="007F51CD">
              <w:t>Pour plus d’information, consulter la rubrique « Déclarer un effet indésirable » sur le site Internet de l’ANSM</w:t>
            </w:r>
            <w:r w:rsidR="008E3CE9">
              <w:t xml:space="preserve"> </w:t>
            </w:r>
            <w:r w:rsidR="008E3CE9" w:rsidRPr="007F51CD">
              <w:t xml:space="preserve">: </w:t>
            </w:r>
            <w:hyperlink r:id="rId21">
              <w:r w:rsidR="008E3CE9" w:rsidRPr="007F51CD">
                <w:t>http://ansm.sante.fr</w:t>
              </w:r>
            </w:hyperlink>
          </w:p>
        </w:tc>
      </w:tr>
    </w:tbl>
    <w:p w14:paraId="5B84C86B" w14:textId="77777777" w:rsidR="00896D4F" w:rsidRDefault="00896D4F">
      <w:pPr>
        <w:rPr>
          <w:sz w:val="20"/>
          <w:szCs w:val="20"/>
        </w:rPr>
      </w:pPr>
    </w:p>
    <w:p w14:paraId="10099833" w14:textId="77777777" w:rsidR="0095292D" w:rsidRDefault="0095292D">
      <w:pPr>
        <w:rPr>
          <w:sz w:val="20"/>
          <w:szCs w:val="20"/>
        </w:rPr>
      </w:pPr>
      <w:r>
        <w:rPr>
          <w:sz w:val="20"/>
          <w:szCs w:val="20"/>
        </w:rPr>
        <w:br w:type="page"/>
      </w:r>
    </w:p>
    <w:p w14:paraId="5B20A282" w14:textId="77777777" w:rsidR="004A31F5" w:rsidRPr="00BB3ACF" w:rsidRDefault="007F51CD" w:rsidP="008F22C0">
      <w:pPr>
        <w:spacing w:before="80"/>
        <w:jc w:val="center"/>
        <w:rPr>
          <w:b/>
          <w:sz w:val="32"/>
        </w:rPr>
      </w:pPr>
      <w:r w:rsidRPr="00BB3ACF">
        <w:rPr>
          <w:b/>
          <w:sz w:val="32"/>
        </w:rPr>
        <w:lastRenderedPageBreak/>
        <w:t>A</w:t>
      </w:r>
      <w:r w:rsidR="004B2A75">
        <w:rPr>
          <w:b/>
          <w:sz w:val="32"/>
        </w:rPr>
        <w:t>nnexes</w:t>
      </w:r>
    </w:p>
    <w:p w14:paraId="0E074818" w14:textId="77777777" w:rsidR="004A31F5" w:rsidRDefault="004A31F5" w:rsidP="008E3CE9">
      <w:pPr>
        <w:pStyle w:val="Corpsdetexte"/>
        <w:rPr>
          <w:b/>
        </w:rPr>
      </w:pPr>
    </w:p>
    <w:p w14:paraId="486585A7" w14:textId="77777777" w:rsidR="004A31F5" w:rsidRDefault="004A31F5" w:rsidP="008E3CE9">
      <w:pPr>
        <w:pStyle w:val="Corpsdetexte"/>
        <w:rPr>
          <w:b/>
        </w:rPr>
      </w:pPr>
    </w:p>
    <w:tbl>
      <w:tblPr>
        <w:tblStyle w:val="TableNormal1"/>
        <w:tblW w:w="8953" w:type="dxa"/>
        <w:tblInd w:w="123" w:type="dxa"/>
        <w:tblLayout w:type="fixed"/>
        <w:tblLook w:val="01E0" w:firstRow="1" w:lastRow="1" w:firstColumn="1" w:lastColumn="1" w:noHBand="0" w:noVBand="0"/>
      </w:tblPr>
      <w:tblGrid>
        <w:gridCol w:w="1537"/>
        <w:gridCol w:w="7416"/>
      </w:tblGrid>
      <w:tr w:rsidR="005727F5" w:rsidRPr="00E16D83" w14:paraId="6E998585" w14:textId="77777777" w:rsidTr="00A20493">
        <w:trPr>
          <w:trHeight w:val="748"/>
        </w:trPr>
        <w:tc>
          <w:tcPr>
            <w:tcW w:w="1537" w:type="dxa"/>
            <w:tcBorders>
              <w:top w:val="single" w:sz="4" w:space="0" w:color="auto"/>
              <w:left w:val="single" w:sz="4" w:space="0" w:color="auto"/>
              <w:bottom w:val="single" w:sz="4" w:space="0" w:color="auto"/>
              <w:right w:val="single" w:sz="4" w:space="0" w:color="auto"/>
            </w:tcBorders>
            <w:vAlign w:val="center"/>
          </w:tcPr>
          <w:p w14:paraId="64920E3C" w14:textId="31C70086" w:rsidR="005727F5" w:rsidRPr="005F21A1" w:rsidRDefault="005727F5" w:rsidP="00A20493">
            <w:pPr>
              <w:pStyle w:val="TableParagraph"/>
              <w:ind w:left="200"/>
              <w:rPr>
                <w:b/>
                <w:sz w:val="20"/>
              </w:rPr>
            </w:pPr>
            <w:r w:rsidRPr="005F21A1">
              <w:rPr>
                <w:b/>
                <w:sz w:val="20"/>
              </w:rPr>
              <w:t>Annexe I</w:t>
            </w:r>
          </w:p>
        </w:tc>
        <w:tc>
          <w:tcPr>
            <w:tcW w:w="7416" w:type="dxa"/>
            <w:tcBorders>
              <w:top w:val="single" w:sz="4" w:space="0" w:color="auto"/>
              <w:left w:val="single" w:sz="4" w:space="0" w:color="auto"/>
              <w:bottom w:val="single" w:sz="4" w:space="0" w:color="auto"/>
              <w:right w:val="single" w:sz="4" w:space="0" w:color="auto"/>
            </w:tcBorders>
            <w:vAlign w:val="center"/>
          </w:tcPr>
          <w:p w14:paraId="5238F846" w14:textId="77777777" w:rsidR="005727F5" w:rsidRPr="00E16D83" w:rsidRDefault="000F213E" w:rsidP="00A20493">
            <w:pPr>
              <w:pStyle w:val="TableParagraph"/>
              <w:spacing w:line="357" w:lineRule="auto"/>
              <w:ind w:left="372"/>
              <w:rPr>
                <w:b/>
                <w:sz w:val="20"/>
              </w:rPr>
            </w:pPr>
            <w:r w:rsidRPr="00E16D83">
              <w:rPr>
                <w:b/>
                <w:sz w:val="20"/>
              </w:rPr>
              <w:t xml:space="preserve">Note d’information destinée au patient dans le cadre </w:t>
            </w:r>
            <w:r w:rsidR="005A7355">
              <w:rPr>
                <w:b/>
                <w:sz w:val="20"/>
              </w:rPr>
              <w:t>de prescription compassionnelle</w:t>
            </w:r>
          </w:p>
        </w:tc>
      </w:tr>
      <w:tr w:rsidR="005727F5" w:rsidRPr="00E16D83" w14:paraId="23853C0B" w14:textId="77777777" w:rsidTr="00A20493">
        <w:trPr>
          <w:trHeight w:val="748"/>
        </w:trPr>
        <w:tc>
          <w:tcPr>
            <w:tcW w:w="1537" w:type="dxa"/>
            <w:tcBorders>
              <w:top w:val="single" w:sz="4" w:space="0" w:color="auto"/>
              <w:left w:val="single" w:sz="4" w:space="0" w:color="auto"/>
              <w:bottom w:val="single" w:sz="4" w:space="0" w:color="auto"/>
              <w:right w:val="single" w:sz="4" w:space="0" w:color="auto"/>
            </w:tcBorders>
            <w:vAlign w:val="center"/>
          </w:tcPr>
          <w:p w14:paraId="12A43555" w14:textId="3A6BDE1C" w:rsidR="005727F5" w:rsidRPr="005F21A1" w:rsidRDefault="005727F5" w:rsidP="00A20493">
            <w:pPr>
              <w:pStyle w:val="TableParagraph"/>
              <w:ind w:left="200"/>
              <w:rPr>
                <w:b/>
                <w:sz w:val="20"/>
              </w:rPr>
            </w:pPr>
            <w:r w:rsidRPr="005F21A1">
              <w:rPr>
                <w:b/>
                <w:sz w:val="20"/>
              </w:rPr>
              <w:t>Annexe I</w:t>
            </w:r>
            <w:r>
              <w:rPr>
                <w:b/>
                <w:sz w:val="20"/>
              </w:rPr>
              <w:t>I</w:t>
            </w:r>
          </w:p>
        </w:tc>
        <w:tc>
          <w:tcPr>
            <w:tcW w:w="7416" w:type="dxa"/>
            <w:tcBorders>
              <w:top w:val="single" w:sz="4" w:space="0" w:color="auto"/>
              <w:left w:val="single" w:sz="4" w:space="0" w:color="auto"/>
              <w:bottom w:val="single" w:sz="4" w:space="0" w:color="auto"/>
              <w:right w:val="single" w:sz="4" w:space="0" w:color="auto"/>
            </w:tcBorders>
            <w:vAlign w:val="center"/>
          </w:tcPr>
          <w:p w14:paraId="409EB4A7" w14:textId="026249C2" w:rsidR="005727F5" w:rsidRPr="00E16D83" w:rsidRDefault="003259B8" w:rsidP="00C91FFD">
            <w:pPr>
              <w:pStyle w:val="TableParagraph"/>
              <w:spacing w:line="357" w:lineRule="auto"/>
              <w:ind w:left="372"/>
              <w:rPr>
                <w:b/>
                <w:sz w:val="20"/>
              </w:rPr>
            </w:pPr>
            <w:r w:rsidRPr="00E16D83">
              <w:rPr>
                <w:b/>
                <w:sz w:val="20"/>
              </w:rPr>
              <w:t xml:space="preserve">Argumentaire </w:t>
            </w:r>
            <w:r w:rsidR="00032448">
              <w:rPr>
                <w:b/>
                <w:sz w:val="20"/>
              </w:rPr>
              <w:t xml:space="preserve">pour l’utilisation </w:t>
            </w:r>
            <w:r w:rsidR="00A81DBE">
              <w:rPr>
                <w:b/>
                <w:sz w:val="20"/>
              </w:rPr>
              <w:t>de l’ITRACONAZOLE</w:t>
            </w:r>
            <w:r w:rsidR="00032448">
              <w:rPr>
                <w:b/>
                <w:sz w:val="20"/>
              </w:rPr>
              <w:t xml:space="preserve"> dans le </w:t>
            </w:r>
            <w:r w:rsidR="00A35CE5">
              <w:rPr>
                <w:b/>
                <w:sz w:val="20"/>
              </w:rPr>
              <w:t xml:space="preserve">traitement </w:t>
            </w:r>
            <w:r w:rsidR="00032448">
              <w:rPr>
                <w:b/>
                <w:sz w:val="20"/>
              </w:rPr>
              <w:t>d</w:t>
            </w:r>
            <w:r w:rsidR="00A81DBE">
              <w:rPr>
                <w:b/>
                <w:sz w:val="20"/>
              </w:rPr>
              <w:t>e</w:t>
            </w:r>
            <w:r w:rsidR="00032448">
              <w:rPr>
                <w:b/>
                <w:sz w:val="20"/>
              </w:rPr>
              <w:t xml:space="preserve"> </w:t>
            </w:r>
            <w:r w:rsidR="00A81DBE">
              <w:rPr>
                <w:b/>
                <w:sz w:val="20"/>
              </w:rPr>
              <w:t>la teigne</w:t>
            </w:r>
            <w:r w:rsidR="00032448">
              <w:rPr>
                <w:b/>
                <w:sz w:val="20"/>
              </w:rPr>
              <w:t xml:space="preserve"> </w:t>
            </w:r>
            <w:r w:rsidR="00A35CE5" w:rsidRPr="00A35CE5">
              <w:rPr>
                <w:b/>
                <w:sz w:val="20"/>
              </w:rPr>
              <w:t xml:space="preserve">de l’enfant </w:t>
            </w:r>
            <w:r w:rsidRPr="00E16D83">
              <w:rPr>
                <w:b/>
                <w:sz w:val="20"/>
              </w:rPr>
              <w:t xml:space="preserve">et </w:t>
            </w:r>
            <w:r w:rsidR="00FB10BA">
              <w:rPr>
                <w:b/>
                <w:sz w:val="20"/>
              </w:rPr>
              <w:t>r</w:t>
            </w:r>
            <w:r w:rsidRPr="00E16D83">
              <w:rPr>
                <w:b/>
                <w:sz w:val="20"/>
              </w:rPr>
              <w:t>éférences bibliographiques</w:t>
            </w:r>
          </w:p>
        </w:tc>
      </w:tr>
      <w:tr w:rsidR="005727F5" w:rsidRPr="00E16D83" w14:paraId="3FC3BB3A" w14:textId="77777777" w:rsidTr="00A20493">
        <w:trPr>
          <w:trHeight w:val="690"/>
        </w:trPr>
        <w:tc>
          <w:tcPr>
            <w:tcW w:w="1537" w:type="dxa"/>
            <w:tcBorders>
              <w:top w:val="single" w:sz="4" w:space="0" w:color="auto"/>
              <w:left w:val="single" w:sz="4" w:space="0" w:color="auto"/>
              <w:bottom w:val="single" w:sz="4" w:space="0" w:color="auto"/>
              <w:right w:val="single" w:sz="4" w:space="0" w:color="auto"/>
            </w:tcBorders>
            <w:vAlign w:val="center"/>
          </w:tcPr>
          <w:p w14:paraId="495D2F83" w14:textId="5734B24F" w:rsidR="005727F5" w:rsidRPr="005F21A1" w:rsidRDefault="005727F5" w:rsidP="00A20493">
            <w:pPr>
              <w:pStyle w:val="TableParagraph"/>
              <w:ind w:left="200"/>
              <w:rPr>
                <w:b/>
                <w:sz w:val="20"/>
              </w:rPr>
            </w:pPr>
            <w:r w:rsidRPr="005F21A1">
              <w:rPr>
                <w:b/>
                <w:sz w:val="20"/>
              </w:rPr>
              <w:t>Annexe I</w:t>
            </w:r>
            <w:r w:rsidR="006604D7">
              <w:rPr>
                <w:b/>
                <w:sz w:val="20"/>
              </w:rPr>
              <w:t>II</w:t>
            </w:r>
          </w:p>
        </w:tc>
        <w:tc>
          <w:tcPr>
            <w:tcW w:w="7416" w:type="dxa"/>
            <w:tcBorders>
              <w:top w:val="single" w:sz="4" w:space="0" w:color="auto"/>
              <w:left w:val="single" w:sz="4" w:space="0" w:color="auto"/>
              <w:bottom w:val="single" w:sz="4" w:space="0" w:color="auto"/>
              <w:right w:val="single" w:sz="4" w:space="0" w:color="auto"/>
            </w:tcBorders>
            <w:vAlign w:val="center"/>
          </w:tcPr>
          <w:p w14:paraId="16F4934D" w14:textId="77777777" w:rsidR="005727F5" w:rsidRPr="00E16D83" w:rsidRDefault="005A7355" w:rsidP="00A20493">
            <w:pPr>
              <w:pStyle w:val="TableParagraph"/>
              <w:ind w:left="372"/>
              <w:rPr>
                <w:b/>
                <w:sz w:val="20"/>
              </w:rPr>
            </w:pPr>
            <w:r>
              <w:rPr>
                <w:b/>
                <w:sz w:val="20"/>
              </w:rPr>
              <w:t>Rappel des modalités de déclaration des effets indésirables</w:t>
            </w:r>
          </w:p>
        </w:tc>
      </w:tr>
      <w:tr w:rsidR="005A7355" w:rsidRPr="00E16D83" w14:paraId="46E1877D" w14:textId="77777777" w:rsidTr="00A20493">
        <w:trPr>
          <w:trHeight w:val="690"/>
        </w:trPr>
        <w:tc>
          <w:tcPr>
            <w:tcW w:w="1537" w:type="dxa"/>
            <w:tcBorders>
              <w:top w:val="single" w:sz="4" w:space="0" w:color="auto"/>
              <w:left w:val="single" w:sz="4" w:space="0" w:color="auto"/>
              <w:bottom w:val="single" w:sz="4" w:space="0" w:color="auto"/>
              <w:right w:val="single" w:sz="4" w:space="0" w:color="auto"/>
            </w:tcBorders>
            <w:vAlign w:val="center"/>
          </w:tcPr>
          <w:p w14:paraId="52F27A22" w14:textId="607C86F6" w:rsidR="005A7355" w:rsidRPr="005F21A1" w:rsidRDefault="009D0467" w:rsidP="00A20493">
            <w:pPr>
              <w:pStyle w:val="TableParagraph"/>
              <w:ind w:left="200"/>
              <w:rPr>
                <w:b/>
                <w:sz w:val="20"/>
              </w:rPr>
            </w:pPr>
            <w:r>
              <w:rPr>
                <w:b/>
                <w:sz w:val="20"/>
              </w:rPr>
              <w:t xml:space="preserve">Annexe </w:t>
            </w:r>
            <w:r w:rsidR="006604D7">
              <w:rPr>
                <w:b/>
                <w:sz w:val="20"/>
              </w:rPr>
              <w:t>I</w:t>
            </w:r>
            <w:r w:rsidR="005A7355">
              <w:rPr>
                <w:b/>
                <w:sz w:val="20"/>
              </w:rPr>
              <w:t>V</w:t>
            </w:r>
          </w:p>
        </w:tc>
        <w:tc>
          <w:tcPr>
            <w:tcW w:w="7416" w:type="dxa"/>
            <w:tcBorders>
              <w:top w:val="single" w:sz="4" w:space="0" w:color="auto"/>
              <w:left w:val="single" w:sz="4" w:space="0" w:color="auto"/>
              <w:bottom w:val="single" w:sz="4" w:space="0" w:color="auto"/>
              <w:right w:val="single" w:sz="4" w:space="0" w:color="auto"/>
            </w:tcBorders>
            <w:vAlign w:val="center"/>
          </w:tcPr>
          <w:p w14:paraId="3B4450EE" w14:textId="77777777" w:rsidR="005A7355" w:rsidRPr="00E16D83" w:rsidRDefault="005A7355" w:rsidP="00A20493">
            <w:pPr>
              <w:pStyle w:val="TableParagraph"/>
              <w:ind w:left="372"/>
              <w:rPr>
                <w:b/>
                <w:sz w:val="20"/>
              </w:rPr>
            </w:pPr>
            <w:r w:rsidRPr="00E16D83">
              <w:rPr>
                <w:b/>
                <w:sz w:val="20"/>
              </w:rPr>
              <w:t xml:space="preserve">Dispositions législatives </w:t>
            </w:r>
            <w:r w:rsidR="001C688B">
              <w:rPr>
                <w:b/>
                <w:sz w:val="20"/>
              </w:rPr>
              <w:t>et ré</w:t>
            </w:r>
            <w:r>
              <w:rPr>
                <w:b/>
                <w:sz w:val="20"/>
              </w:rPr>
              <w:t>glementaires</w:t>
            </w:r>
            <w:r w:rsidRPr="00E16D83">
              <w:rPr>
                <w:b/>
                <w:sz w:val="20"/>
              </w:rPr>
              <w:t xml:space="preserve"> relatives </w:t>
            </w:r>
            <w:r>
              <w:rPr>
                <w:b/>
                <w:sz w:val="20"/>
              </w:rPr>
              <w:t>au</w:t>
            </w:r>
            <w:r w:rsidRPr="00E16D83">
              <w:rPr>
                <w:b/>
                <w:sz w:val="20"/>
              </w:rPr>
              <w:t xml:space="preserve"> </w:t>
            </w:r>
            <w:r>
              <w:rPr>
                <w:b/>
                <w:sz w:val="20"/>
              </w:rPr>
              <w:t>CPC</w:t>
            </w:r>
          </w:p>
        </w:tc>
      </w:tr>
    </w:tbl>
    <w:p w14:paraId="551795C2" w14:textId="77777777" w:rsidR="004A31F5" w:rsidRDefault="004A31F5" w:rsidP="008E3CE9">
      <w:pPr>
        <w:spacing w:line="210" w:lineRule="exact"/>
        <w:rPr>
          <w:sz w:val="20"/>
        </w:rPr>
      </w:pPr>
    </w:p>
    <w:p w14:paraId="04D91B08" w14:textId="77777777" w:rsidR="00E16D83" w:rsidRDefault="00E16D83" w:rsidP="008E3CE9">
      <w:pPr>
        <w:spacing w:line="210" w:lineRule="exact"/>
        <w:rPr>
          <w:sz w:val="20"/>
        </w:rPr>
      </w:pPr>
    </w:p>
    <w:p w14:paraId="17EEB66F" w14:textId="77777777" w:rsidR="002028D6" w:rsidRDefault="002028D6">
      <w:pPr>
        <w:rPr>
          <w:sz w:val="20"/>
        </w:rPr>
      </w:pPr>
      <w:r>
        <w:rPr>
          <w:sz w:val="20"/>
        </w:rPr>
        <w:br w:type="page"/>
      </w:r>
    </w:p>
    <w:p w14:paraId="74B520CF" w14:textId="574E6B3E" w:rsidR="00502F30" w:rsidRPr="003F584E" w:rsidRDefault="00502F30" w:rsidP="0024445F">
      <w:pPr>
        <w:pStyle w:val="Titre1"/>
        <w:numPr>
          <w:ilvl w:val="0"/>
          <w:numId w:val="0"/>
        </w:numPr>
        <w:spacing w:before="72"/>
        <w:ind w:left="-432" w:right="709"/>
      </w:pPr>
      <w:r w:rsidRPr="003F584E">
        <w:lastRenderedPageBreak/>
        <w:t>Annexe I</w:t>
      </w:r>
    </w:p>
    <w:p w14:paraId="63B88BB3" w14:textId="77777777" w:rsidR="00502F30" w:rsidRDefault="00502F30" w:rsidP="0024445F">
      <w:pPr>
        <w:ind w:right="709"/>
      </w:pPr>
    </w:p>
    <w:p w14:paraId="39D43E73" w14:textId="77777777" w:rsidR="004A31F5" w:rsidRPr="00BB3ACF" w:rsidRDefault="004A31F5" w:rsidP="0024445F">
      <w:pPr>
        <w:pStyle w:val="Corpsdetexte"/>
        <w:spacing w:before="8"/>
        <w:ind w:right="709"/>
        <w:rPr>
          <w:b/>
        </w:rPr>
      </w:pPr>
    </w:p>
    <w:p w14:paraId="1E6C9540" w14:textId="77777777" w:rsidR="004A31F5" w:rsidRPr="00F92EBF" w:rsidRDefault="007F51CD" w:rsidP="0024445F">
      <w:pPr>
        <w:ind w:right="709"/>
        <w:jc w:val="center"/>
        <w:rPr>
          <w:b/>
        </w:rPr>
      </w:pPr>
      <w:r w:rsidRPr="00F92EBF">
        <w:rPr>
          <w:b/>
        </w:rPr>
        <w:t>Note d’information destinée au patient</w:t>
      </w:r>
      <w:r w:rsidR="00B74444">
        <w:rPr>
          <w:b/>
        </w:rPr>
        <w:t xml:space="preserve"> bénéficiant d’un médicament dans </w:t>
      </w:r>
      <w:r w:rsidR="00032448" w:rsidRPr="00F92EBF">
        <w:rPr>
          <w:b/>
        </w:rPr>
        <w:t xml:space="preserve"> </w:t>
      </w:r>
      <w:r w:rsidR="00B74444">
        <w:rPr>
          <w:b/>
        </w:rPr>
        <w:t>un</w:t>
      </w:r>
      <w:r w:rsidR="00032448" w:rsidRPr="00F92EBF">
        <w:rPr>
          <w:b/>
        </w:rPr>
        <w:t xml:space="preserve"> </w:t>
      </w:r>
      <w:r w:rsidR="00B74444">
        <w:rPr>
          <w:b/>
        </w:rPr>
        <w:t xml:space="preserve">cadre de prescription compassionnelle </w:t>
      </w:r>
    </w:p>
    <w:p w14:paraId="46A67910" w14:textId="77777777" w:rsidR="005A7355" w:rsidRDefault="005A7355" w:rsidP="0024445F">
      <w:pPr>
        <w:pStyle w:val="Corpsdetexte"/>
        <w:spacing w:before="6"/>
        <w:ind w:right="709"/>
        <w:rPr>
          <w:b/>
        </w:rPr>
      </w:pPr>
      <w:r w:rsidRPr="00BB3ACF">
        <w:rPr>
          <w:noProof/>
          <w:lang w:eastAsia="fr-FR"/>
        </w:rPr>
        <mc:AlternateContent>
          <mc:Choice Requires="wps">
            <w:drawing>
              <wp:anchor distT="0" distB="0" distL="0" distR="0" simplePos="0" relativeHeight="251658240" behindDoc="1" locked="0" layoutInCell="1" allowOverlap="1" wp14:anchorId="6908A3AF" wp14:editId="0B7C7161">
                <wp:simplePos x="0" y="0"/>
                <wp:positionH relativeFrom="page">
                  <wp:posOffset>857250</wp:posOffset>
                </wp:positionH>
                <wp:positionV relativeFrom="paragraph">
                  <wp:posOffset>226695</wp:posOffset>
                </wp:positionV>
                <wp:extent cx="5850255" cy="1609725"/>
                <wp:effectExtent l="0" t="0" r="17145" b="28575"/>
                <wp:wrapTopAndBottom/>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609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D95880" w14:textId="6915A6A8" w:rsidR="00F31A69" w:rsidRDefault="00F31A69" w:rsidP="005A7355">
                            <w:pPr>
                              <w:pStyle w:val="Titre4"/>
                              <w:numPr>
                                <w:ilvl w:val="0"/>
                                <w:numId w:val="0"/>
                              </w:numPr>
                              <w:spacing w:before="116"/>
                              <w:ind w:right="709"/>
                              <w:jc w:val="center"/>
                              <w:rPr>
                                <w:highlight w:val="lightGray"/>
                              </w:rPr>
                            </w:pPr>
                            <w:r w:rsidRPr="005468D5">
                              <w:rPr>
                                <w:b w:val="0"/>
                                <w:i/>
                              </w:rPr>
                              <w:t>A remettre au pa</w:t>
                            </w:r>
                            <w:r>
                              <w:rPr>
                                <w:b w:val="0"/>
                                <w:i/>
                              </w:rPr>
                              <w:t>tient avant toute prescription</w:t>
                            </w:r>
                          </w:p>
                          <w:p w14:paraId="3624F2DA" w14:textId="77777777" w:rsidR="00F31A69" w:rsidRDefault="00F31A69" w:rsidP="005A7355">
                            <w:pPr>
                              <w:pStyle w:val="Titre4"/>
                              <w:numPr>
                                <w:ilvl w:val="0"/>
                                <w:numId w:val="0"/>
                              </w:numPr>
                              <w:spacing w:before="116"/>
                              <w:ind w:right="709"/>
                              <w:jc w:val="center"/>
                              <w:rPr>
                                <w:b w:val="0"/>
                              </w:rPr>
                            </w:pPr>
                            <w:r w:rsidRPr="001B5E2B">
                              <w:t>d’IT</w:t>
                            </w:r>
                            <w:r w:rsidRPr="00423D1D">
                              <w:t>RACONAZOLE</w:t>
                            </w:r>
                            <w:r w:rsidRPr="001B0282">
                              <w:t xml:space="preserve"> 100 mg, gélule</w:t>
                            </w:r>
                          </w:p>
                          <w:p w14:paraId="4285728E" w14:textId="77777777" w:rsidR="00F31A69" w:rsidRDefault="00F31A69" w:rsidP="005A7355">
                            <w:pPr>
                              <w:pStyle w:val="Titre4"/>
                              <w:numPr>
                                <w:ilvl w:val="0"/>
                                <w:numId w:val="0"/>
                              </w:numPr>
                              <w:spacing w:before="116"/>
                              <w:ind w:right="709"/>
                              <w:jc w:val="center"/>
                              <w:rPr>
                                <w:b w:val="0"/>
                              </w:rPr>
                            </w:pPr>
                            <w:r>
                              <w:t>faisant l’objet d’un Cadre de Prescription Compassionnelle (CPC)</w:t>
                            </w:r>
                          </w:p>
                          <w:p w14:paraId="148897DE" w14:textId="77777777" w:rsidR="00F31A69" w:rsidRPr="005A7355" w:rsidRDefault="00F31A69" w:rsidP="00595539">
                            <w:pPr>
                              <w:pStyle w:val="Titre4"/>
                              <w:numPr>
                                <w:ilvl w:val="0"/>
                                <w:numId w:val="0"/>
                              </w:numPr>
                              <w:spacing w:before="116"/>
                              <w:ind w:right="709"/>
                              <w:rPr>
                                <w:b w:val="0"/>
                              </w:rPr>
                            </w:pPr>
                          </w:p>
                          <w:p w14:paraId="5736D0CD" w14:textId="77777777" w:rsidR="00F31A69" w:rsidRDefault="00F31A69" w:rsidP="00FD7E4C">
                            <w:pPr>
                              <w:pStyle w:val="Corpsdetexte"/>
                              <w:spacing w:before="70"/>
                              <w:ind w:left="38" w:right="222"/>
                              <w:jc w:val="both"/>
                            </w:pPr>
                            <w:r>
                              <w:t>Dans le cas où le patient serait dans l’incapacité de prendre connaissance de cette information, celle-ci sera donnée à son représentant légal ou, le cas échéant, à la personne de confiance qu’il a désignée.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08A3AF" id="_x0000_t202" coordsize="21600,21600" o:spt="202" path="m,l,21600r21600,l21600,xe">
                <v:stroke joinstyle="miter"/>
                <v:path gradientshapeok="t" o:connecttype="rect"/>
              </v:shapetype>
              <v:shape id="Text Box 20" o:spid="_x0000_s1026" type="#_x0000_t202" style="position:absolute;margin-left:67.5pt;margin-top:17.85pt;width:460.65pt;height:12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" filled="f" strokeweight=".48pt">
                <v:textbox inset="0,0,0,0">
                  <w:txbxContent>
                    <w:p w14:paraId="1DD95880" w14:textId="6915A6A8" w:rsidR="00F31A69" w:rsidRDefault="00F31A69" w:rsidP="005A7355">
                      <w:pPr>
                        <w:pStyle w:val="Titre4"/>
                        <w:numPr>
                          <w:ilvl w:val="0"/>
                          <w:numId w:val="0"/>
                        </w:numPr>
                        <w:spacing w:before="116"/>
                        <w:ind w:right="709"/>
                        <w:jc w:val="center"/>
                        <w:rPr>
                          <w:highlight w:val="lightGray"/>
                        </w:rPr>
                      </w:pPr>
                      <w:r w:rsidRPr="005468D5">
                        <w:rPr>
                          <w:b w:val="0"/>
                          <w:i/>
                        </w:rPr>
                        <w:t>A remettre au pa</w:t>
                      </w:r>
                      <w:r>
                        <w:rPr>
                          <w:b w:val="0"/>
                          <w:i/>
                        </w:rPr>
                        <w:t>tient avant toute prescription</w:t>
                      </w:r>
                    </w:p>
                    <w:p w14:paraId="3624F2DA" w14:textId="77777777" w:rsidR="00F31A69" w:rsidRDefault="00F31A69" w:rsidP="005A7355">
                      <w:pPr>
                        <w:pStyle w:val="Titre4"/>
                        <w:numPr>
                          <w:ilvl w:val="0"/>
                          <w:numId w:val="0"/>
                        </w:numPr>
                        <w:spacing w:before="116"/>
                        <w:ind w:right="709"/>
                        <w:jc w:val="center"/>
                        <w:rPr>
                          <w:b w:val="0"/>
                        </w:rPr>
                      </w:pPr>
                      <w:r w:rsidRPr="001B5E2B">
                        <w:t>d’IT</w:t>
                      </w:r>
                      <w:r w:rsidRPr="00423D1D">
                        <w:t>RACONAZOLE</w:t>
                      </w:r>
                      <w:r w:rsidRPr="001B0282">
                        <w:t xml:space="preserve"> 100 mg, gélule</w:t>
                      </w:r>
                    </w:p>
                    <w:p w14:paraId="4285728E" w14:textId="77777777" w:rsidR="00F31A69" w:rsidRDefault="00F31A69" w:rsidP="005A7355">
                      <w:pPr>
                        <w:pStyle w:val="Titre4"/>
                        <w:numPr>
                          <w:ilvl w:val="0"/>
                          <w:numId w:val="0"/>
                        </w:numPr>
                        <w:spacing w:before="116"/>
                        <w:ind w:right="709"/>
                        <w:jc w:val="center"/>
                        <w:rPr>
                          <w:b w:val="0"/>
                        </w:rPr>
                      </w:pPr>
                      <w:r>
                        <w:t>faisant l’objet d’un Cadre de Prescription Compassionnelle (CPC)</w:t>
                      </w:r>
                    </w:p>
                    <w:p w14:paraId="148897DE" w14:textId="77777777" w:rsidR="00F31A69" w:rsidRPr="005A7355" w:rsidRDefault="00F31A69" w:rsidP="00595539">
                      <w:pPr>
                        <w:pStyle w:val="Titre4"/>
                        <w:numPr>
                          <w:ilvl w:val="0"/>
                          <w:numId w:val="0"/>
                        </w:numPr>
                        <w:spacing w:before="116"/>
                        <w:ind w:right="709"/>
                        <w:rPr>
                          <w:b w:val="0"/>
                        </w:rPr>
                      </w:pPr>
                    </w:p>
                    <w:p w14:paraId="5736D0CD" w14:textId="77777777" w:rsidR="00F31A69" w:rsidRDefault="00F31A69" w:rsidP="00FD7E4C">
                      <w:pPr>
                        <w:pStyle w:val="Corpsdetexte"/>
                        <w:spacing w:before="70"/>
                        <w:ind w:left="38" w:right="222"/>
                        <w:jc w:val="both"/>
                      </w:pPr>
                      <w:r>
                        <w:t>Dans le cas où le patient serait dans l’incapacité de prendre connaissance de cette information, celle-ci sera donnée à son représentant légal ou, le cas échéant, à la personne de confiance qu’il a désignée.</w:t>
                      </w:r>
                    </w:p>
                  </w:txbxContent>
                </v:textbox>
                <w10:wrap type="topAndBottom" anchorx="page"/>
              </v:shape>
            </w:pict>
          </mc:Fallback>
        </mc:AlternateContent>
      </w:r>
    </w:p>
    <w:p w14:paraId="7B7F3938" w14:textId="77777777" w:rsidR="004A31F5" w:rsidRPr="00BB3ACF" w:rsidRDefault="004A31F5" w:rsidP="008C490C">
      <w:pPr>
        <w:pStyle w:val="Corpsdetexte"/>
        <w:spacing w:before="8"/>
        <w:rPr>
          <w:b/>
        </w:rPr>
      </w:pPr>
    </w:p>
    <w:p w14:paraId="5AC31473" w14:textId="6A2BEAEC" w:rsidR="00B3576F" w:rsidRPr="00B3576F" w:rsidRDefault="007F51CD" w:rsidP="008C490C">
      <w:pPr>
        <w:spacing w:before="92"/>
        <w:jc w:val="both"/>
        <w:rPr>
          <w:b/>
          <w:sz w:val="20"/>
        </w:rPr>
      </w:pPr>
      <w:r w:rsidRPr="00B3576F">
        <w:rPr>
          <w:sz w:val="20"/>
        </w:rPr>
        <w:t>Votre médecin vous a proposé un traitement par</w:t>
      </w:r>
      <w:r w:rsidRPr="00F1691E">
        <w:rPr>
          <w:sz w:val="20"/>
          <w:szCs w:val="20"/>
        </w:rPr>
        <w:t xml:space="preserve"> </w:t>
      </w:r>
      <w:r w:rsidR="00CB290B" w:rsidRPr="00BC5F83">
        <w:rPr>
          <w:b/>
          <w:sz w:val="20"/>
          <w:szCs w:val="20"/>
        </w:rPr>
        <w:t>ITRACONAZOLE</w:t>
      </w:r>
      <w:r w:rsidR="00595539">
        <w:rPr>
          <w:b/>
          <w:sz w:val="20"/>
          <w:szCs w:val="20"/>
        </w:rPr>
        <w:t xml:space="preserve">, </w:t>
      </w:r>
      <w:r w:rsidR="00F1691E" w:rsidRPr="001B5E2B">
        <w:rPr>
          <w:b/>
          <w:sz w:val="20"/>
          <w:szCs w:val="20"/>
        </w:rPr>
        <w:t>100 mg, gélule</w:t>
      </w:r>
      <w:r w:rsidR="00F1691E" w:rsidRPr="00F1691E">
        <w:rPr>
          <w:sz w:val="20"/>
          <w:szCs w:val="20"/>
        </w:rPr>
        <w:t xml:space="preserve"> </w:t>
      </w:r>
      <w:r w:rsidR="00B3576F" w:rsidRPr="00B3576F">
        <w:rPr>
          <w:sz w:val="20"/>
        </w:rPr>
        <w:t xml:space="preserve">qui fait l’objet d’un </w:t>
      </w:r>
      <w:r w:rsidR="00B3576F" w:rsidRPr="00B3576F">
        <w:rPr>
          <w:rFonts w:eastAsia="Calibri"/>
          <w:sz w:val="20"/>
        </w:rPr>
        <w:t>cadre de prescription compassionnelle (CPC)</w:t>
      </w:r>
      <w:r w:rsidR="00B3576F" w:rsidRPr="00B3576F">
        <w:rPr>
          <w:b/>
          <w:sz w:val="20"/>
        </w:rPr>
        <w:t>.</w:t>
      </w:r>
    </w:p>
    <w:p w14:paraId="08F46A67" w14:textId="77777777" w:rsidR="004A31F5" w:rsidRPr="00B3576F" w:rsidRDefault="004A31F5" w:rsidP="008C490C">
      <w:pPr>
        <w:spacing w:before="92"/>
        <w:jc w:val="both"/>
        <w:rPr>
          <w:sz w:val="20"/>
        </w:rPr>
      </w:pPr>
    </w:p>
    <w:p w14:paraId="23A2B71A" w14:textId="77777777" w:rsidR="004A31F5" w:rsidRPr="00B3576F" w:rsidRDefault="007F51CD" w:rsidP="00694C66">
      <w:pPr>
        <w:jc w:val="both"/>
        <w:rPr>
          <w:sz w:val="20"/>
        </w:rPr>
      </w:pPr>
      <w:r w:rsidRPr="00B3576F">
        <w:rPr>
          <w:sz w:val="20"/>
        </w:rPr>
        <w:t>Cette note a pour but de vous informer afin de vous permettre d’accepter le traitement qui vous est proposé en toute connaissance de cause. Elle comprend :</w:t>
      </w:r>
    </w:p>
    <w:p w14:paraId="34573770" w14:textId="77777777" w:rsidR="004A31F5" w:rsidRPr="00B3576F" w:rsidRDefault="007F51CD" w:rsidP="00694C66">
      <w:pPr>
        <w:pStyle w:val="Paragraphedeliste"/>
        <w:numPr>
          <w:ilvl w:val="0"/>
          <w:numId w:val="3"/>
        </w:numPr>
        <w:tabs>
          <w:tab w:val="left" w:pos="916"/>
          <w:tab w:val="left" w:pos="917"/>
        </w:tabs>
        <w:ind w:left="0" w:firstLine="426"/>
        <w:jc w:val="left"/>
        <w:rPr>
          <w:sz w:val="20"/>
        </w:rPr>
      </w:pPr>
      <w:r w:rsidRPr="00B3576F">
        <w:rPr>
          <w:sz w:val="20"/>
        </w:rPr>
        <w:t xml:space="preserve">des informations générales sur les </w:t>
      </w:r>
      <w:r w:rsidR="00F4747B" w:rsidRPr="00B3576F">
        <w:rPr>
          <w:sz w:val="20"/>
        </w:rPr>
        <w:t>Cadres de Prescription Compassionnelle</w:t>
      </w:r>
      <w:r w:rsidR="00F4747B" w:rsidRPr="00694C66">
        <w:rPr>
          <w:sz w:val="20"/>
        </w:rPr>
        <w:t xml:space="preserve"> </w:t>
      </w:r>
      <w:r w:rsidRPr="00B3576F">
        <w:rPr>
          <w:sz w:val="20"/>
        </w:rPr>
        <w:t>(</w:t>
      </w:r>
      <w:r w:rsidR="005B4B4E" w:rsidRPr="00B3576F">
        <w:rPr>
          <w:sz w:val="20"/>
        </w:rPr>
        <w:t>CPC</w:t>
      </w:r>
      <w:r w:rsidRPr="00B3576F">
        <w:rPr>
          <w:sz w:val="20"/>
        </w:rPr>
        <w:t>)</w:t>
      </w:r>
    </w:p>
    <w:p w14:paraId="10F6991C" w14:textId="77777777" w:rsidR="004A31F5" w:rsidRPr="00B3576F" w:rsidRDefault="007F51CD" w:rsidP="00694C66">
      <w:pPr>
        <w:pStyle w:val="Paragraphedeliste"/>
        <w:numPr>
          <w:ilvl w:val="0"/>
          <w:numId w:val="3"/>
        </w:numPr>
        <w:tabs>
          <w:tab w:val="left" w:pos="916"/>
          <w:tab w:val="left" w:pos="917"/>
        </w:tabs>
        <w:ind w:left="0" w:firstLine="426"/>
        <w:jc w:val="left"/>
        <w:rPr>
          <w:sz w:val="20"/>
        </w:rPr>
      </w:pPr>
      <w:r w:rsidRPr="00B3576F">
        <w:rPr>
          <w:sz w:val="20"/>
        </w:rPr>
        <w:t>des informations sur le médicament (notice destinée au</w:t>
      </w:r>
      <w:r w:rsidRPr="00694C66">
        <w:rPr>
          <w:sz w:val="20"/>
        </w:rPr>
        <w:t xml:space="preserve"> </w:t>
      </w:r>
      <w:r w:rsidRPr="00B3576F">
        <w:rPr>
          <w:sz w:val="20"/>
        </w:rPr>
        <w:t>patient)</w:t>
      </w:r>
    </w:p>
    <w:p w14:paraId="5F5C7D58" w14:textId="77777777" w:rsidR="004A31F5" w:rsidRPr="00B3576F" w:rsidRDefault="007F51CD" w:rsidP="00694C66">
      <w:pPr>
        <w:pStyle w:val="Paragraphedeliste"/>
        <w:numPr>
          <w:ilvl w:val="0"/>
          <w:numId w:val="3"/>
        </w:numPr>
        <w:tabs>
          <w:tab w:val="left" w:pos="916"/>
          <w:tab w:val="left" w:pos="917"/>
        </w:tabs>
        <w:ind w:left="0" w:firstLine="426"/>
        <w:jc w:val="left"/>
        <w:rPr>
          <w:sz w:val="20"/>
        </w:rPr>
      </w:pPr>
      <w:r w:rsidRPr="00B3576F">
        <w:rPr>
          <w:sz w:val="20"/>
        </w:rPr>
        <w:t>les modalités de signalement des effets indésirables par le</w:t>
      </w:r>
      <w:r w:rsidRPr="00B3576F">
        <w:rPr>
          <w:spacing w:val="-1"/>
          <w:sz w:val="20"/>
        </w:rPr>
        <w:t xml:space="preserve"> </w:t>
      </w:r>
      <w:r w:rsidRPr="00B3576F">
        <w:rPr>
          <w:sz w:val="20"/>
        </w:rPr>
        <w:t>patient.</w:t>
      </w:r>
    </w:p>
    <w:p w14:paraId="7A417F51" w14:textId="77777777" w:rsidR="004A31F5" w:rsidRPr="00B3576F" w:rsidRDefault="004A31F5" w:rsidP="008C490C">
      <w:pPr>
        <w:pStyle w:val="Corpsdetexte"/>
      </w:pPr>
    </w:p>
    <w:p w14:paraId="3DBE4B46" w14:textId="77777777" w:rsidR="004A31F5" w:rsidRPr="00F85A04" w:rsidRDefault="004A31F5" w:rsidP="008C490C">
      <w:pPr>
        <w:pStyle w:val="Corpsdetexte"/>
        <w:spacing w:before="8"/>
        <w:rPr>
          <w:sz w:val="18"/>
        </w:rPr>
      </w:pPr>
    </w:p>
    <w:p w14:paraId="485A9837" w14:textId="77777777" w:rsidR="004A31F5" w:rsidRDefault="007F51CD" w:rsidP="008C490C">
      <w:pPr>
        <w:pStyle w:val="Titre4"/>
        <w:numPr>
          <w:ilvl w:val="0"/>
          <w:numId w:val="2"/>
        </w:numPr>
        <w:tabs>
          <w:tab w:val="left" w:pos="917"/>
        </w:tabs>
        <w:ind w:left="0" w:hanging="361"/>
      </w:pPr>
      <w:r>
        <w:t xml:space="preserve">Informations générales sur les </w:t>
      </w:r>
      <w:r w:rsidR="00F4747B">
        <w:t xml:space="preserve">Cadres de Prescription Compassionnelle </w:t>
      </w:r>
      <w:r>
        <w:t>(</w:t>
      </w:r>
      <w:r w:rsidR="005B4B4E">
        <w:t>CPC</w:t>
      </w:r>
      <w:r>
        <w:t>)</w:t>
      </w:r>
    </w:p>
    <w:p w14:paraId="568E6360" w14:textId="77777777" w:rsidR="00B3576F" w:rsidRDefault="00B3576F" w:rsidP="008C490C">
      <w:pPr>
        <w:pStyle w:val="Corpsdetexte"/>
        <w:spacing w:before="240"/>
        <w:jc w:val="both"/>
        <w:rPr>
          <w:color w:val="000000"/>
        </w:rPr>
      </w:pPr>
      <w:r w:rsidRPr="009E71E3">
        <w:t xml:space="preserve">Le cadre de prescription compassionnelle </w:t>
      </w:r>
      <w:r>
        <w:t xml:space="preserve">(CPC) </w:t>
      </w:r>
      <w:r w:rsidRPr="009E71E3">
        <w:t>est une procédure dérogatoire exceptionnelle prévue</w:t>
      </w:r>
      <w:r>
        <w:t xml:space="preserve"> </w:t>
      </w:r>
      <w:r w:rsidRPr="009E71E3">
        <w:rPr>
          <w:spacing w:val="-57"/>
        </w:rPr>
        <w:t xml:space="preserve"> </w:t>
      </w:r>
      <w:r>
        <w:rPr>
          <w:spacing w:val="-57"/>
        </w:rPr>
        <w:t xml:space="preserve"> </w:t>
      </w:r>
      <w:r w:rsidRPr="009E71E3">
        <w:t>à</w:t>
      </w:r>
      <w:r w:rsidRPr="009E71E3">
        <w:rPr>
          <w:spacing w:val="1"/>
        </w:rPr>
        <w:t xml:space="preserve"> </w:t>
      </w:r>
      <w:r w:rsidRPr="009E71E3">
        <w:t>l’article</w:t>
      </w:r>
      <w:r w:rsidRPr="009E71E3">
        <w:rPr>
          <w:spacing w:val="1"/>
        </w:rPr>
        <w:t xml:space="preserve"> </w:t>
      </w:r>
      <w:r w:rsidRPr="009E71E3">
        <w:t>L.</w:t>
      </w:r>
      <w:r w:rsidRPr="009E71E3">
        <w:rPr>
          <w:spacing w:val="1"/>
        </w:rPr>
        <w:t xml:space="preserve"> </w:t>
      </w:r>
      <w:r w:rsidRPr="009E71E3">
        <w:t>5121-12-1</w:t>
      </w:r>
      <w:r w:rsidRPr="009E71E3">
        <w:rPr>
          <w:spacing w:val="1"/>
        </w:rPr>
        <w:t xml:space="preserve"> </w:t>
      </w:r>
      <w:r w:rsidRPr="009E71E3">
        <w:t>III</w:t>
      </w:r>
      <w:r w:rsidRPr="009E71E3">
        <w:rPr>
          <w:spacing w:val="1"/>
        </w:rPr>
        <w:t xml:space="preserve"> </w:t>
      </w:r>
      <w:r w:rsidRPr="009E71E3">
        <w:t>du</w:t>
      </w:r>
      <w:r w:rsidRPr="009E71E3">
        <w:rPr>
          <w:spacing w:val="1"/>
        </w:rPr>
        <w:t xml:space="preserve"> </w:t>
      </w:r>
      <w:r>
        <w:t>c</w:t>
      </w:r>
      <w:r w:rsidRPr="009E71E3">
        <w:t>ode</w:t>
      </w:r>
      <w:r w:rsidRPr="009E71E3">
        <w:rPr>
          <w:spacing w:val="1"/>
        </w:rPr>
        <w:t xml:space="preserve"> </w:t>
      </w:r>
      <w:r w:rsidRPr="009E71E3">
        <w:t>de</w:t>
      </w:r>
      <w:r w:rsidRPr="009E71E3">
        <w:rPr>
          <w:spacing w:val="1"/>
        </w:rPr>
        <w:t xml:space="preserve"> </w:t>
      </w:r>
      <w:r w:rsidRPr="009E71E3">
        <w:t>la</w:t>
      </w:r>
      <w:r w:rsidRPr="009E71E3">
        <w:rPr>
          <w:spacing w:val="1"/>
        </w:rPr>
        <w:t xml:space="preserve"> </w:t>
      </w:r>
      <w:r w:rsidRPr="009E71E3">
        <w:t>santé</w:t>
      </w:r>
      <w:r w:rsidRPr="009E71E3">
        <w:rPr>
          <w:spacing w:val="1"/>
        </w:rPr>
        <w:t xml:space="preserve"> </w:t>
      </w:r>
      <w:r w:rsidRPr="009E71E3">
        <w:t>publique,</w:t>
      </w:r>
      <w:r w:rsidRPr="009E71E3">
        <w:rPr>
          <w:spacing w:val="1"/>
        </w:rPr>
        <w:t xml:space="preserve"> </w:t>
      </w:r>
      <w:r w:rsidRPr="009E71E3">
        <w:t>qui</w:t>
      </w:r>
      <w:r w:rsidRPr="009E71E3">
        <w:rPr>
          <w:spacing w:val="1"/>
        </w:rPr>
        <w:t xml:space="preserve"> </w:t>
      </w:r>
      <w:r w:rsidRPr="009E71E3">
        <w:t>permet</w:t>
      </w:r>
      <w:r w:rsidRPr="009E71E3">
        <w:rPr>
          <w:spacing w:val="1"/>
        </w:rPr>
        <w:t xml:space="preserve"> </w:t>
      </w:r>
      <w:r w:rsidRPr="009E71E3">
        <w:t>de</w:t>
      </w:r>
      <w:r w:rsidRPr="009E71E3">
        <w:rPr>
          <w:spacing w:val="1"/>
        </w:rPr>
        <w:t xml:space="preserve"> </w:t>
      </w:r>
      <w:r w:rsidRPr="009E71E3">
        <w:t>sécuriser</w:t>
      </w:r>
      <w:r w:rsidRPr="009E71E3">
        <w:rPr>
          <w:spacing w:val="1"/>
        </w:rPr>
        <w:t xml:space="preserve"> </w:t>
      </w:r>
      <w:r w:rsidR="00E629AE">
        <w:t xml:space="preserve">la </w:t>
      </w:r>
      <w:r w:rsidR="00E629AE" w:rsidRPr="009E71E3">
        <w:rPr>
          <w:spacing w:val="-57"/>
        </w:rPr>
        <w:t xml:space="preserve"> </w:t>
      </w:r>
      <w:r w:rsidRPr="009E71E3">
        <w:t xml:space="preserve">prescription d’un médicament </w:t>
      </w:r>
      <w:r>
        <w:t xml:space="preserve">dans une indication thérapeutique </w:t>
      </w:r>
      <w:r w:rsidRPr="009E71E3">
        <w:t>non conforme à son autorisation de mise sur le marché (AMM),</w:t>
      </w:r>
      <w:r>
        <w:t xml:space="preserve"> </w:t>
      </w:r>
      <w:r w:rsidRPr="009E71E3">
        <w:rPr>
          <w:spacing w:val="-57"/>
        </w:rPr>
        <w:t xml:space="preserve"> </w:t>
      </w:r>
      <w:r w:rsidRPr="009E71E3">
        <w:t>afin de répondre à un besoin thérapeutique</w:t>
      </w:r>
      <w:r>
        <w:t xml:space="preserve"> non couvert</w:t>
      </w:r>
      <w:r w:rsidRPr="009E71E3">
        <w:t>, dès lors que le rapport bénéfice/risque de ce</w:t>
      </w:r>
      <w:r w:rsidRPr="009E71E3">
        <w:rPr>
          <w:spacing w:val="1"/>
        </w:rPr>
        <w:t xml:space="preserve"> </w:t>
      </w:r>
      <w:r w:rsidRPr="009E71E3">
        <w:t xml:space="preserve">médicament </w:t>
      </w:r>
      <w:r>
        <w:t xml:space="preserve">dans cette indication </w:t>
      </w:r>
      <w:r w:rsidRPr="009E71E3">
        <w:t>est présumé favorable par l’</w:t>
      </w:r>
      <w:r w:rsidRPr="0064050F">
        <w:t>Agence</w:t>
      </w:r>
      <w:r w:rsidRPr="009135AC">
        <w:t xml:space="preserve"> </w:t>
      </w:r>
      <w:r w:rsidRPr="0064050F">
        <w:t>nationale</w:t>
      </w:r>
      <w:r w:rsidRPr="009135AC">
        <w:t xml:space="preserve"> </w:t>
      </w:r>
      <w:r w:rsidRPr="0064050F">
        <w:t>de</w:t>
      </w:r>
      <w:r w:rsidRPr="009135AC">
        <w:t xml:space="preserve"> </w:t>
      </w:r>
      <w:r w:rsidRPr="0064050F">
        <w:t>sécurité</w:t>
      </w:r>
      <w:r w:rsidRPr="009135AC">
        <w:t xml:space="preserve"> </w:t>
      </w:r>
      <w:r w:rsidRPr="0064050F">
        <w:t>du</w:t>
      </w:r>
      <w:r w:rsidRPr="009135AC">
        <w:t xml:space="preserve"> </w:t>
      </w:r>
      <w:r w:rsidRPr="0064050F">
        <w:t xml:space="preserve">médicament et des produits de santé </w:t>
      </w:r>
      <w:r>
        <w:t>(</w:t>
      </w:r>
      <w:r w:rsidRPr="009E71E3">
        <w:t>ANSM</w:t>
      </w:r>
      <w:r>
        <w:t>).</w:t>
      </w:r>
    </w:p>
    <w:p w14:paraId="2F873B35" w14:textId="4B8E52EC" w:rsidR="00B3576F" w:rsidRDefault="002B4292" w:rsidP="008C490C">
      <w:pPr>
        <w:pStyle w:val="Corpsdetexte"/>
        <w:spacing w:before="240"/>
        <w:jc w:val="both"/>
        <w:rPr>
          <w:color w:val="000000"/>
        </w:rPr>
      </w:pPr>
      <w:r>
        <w:rPr>
          <w:color w:val="000000"/>
        </w:rPr>
        <w:t>C</w:t>
      </w:r>
      <w:r w:rsidR="00F4747B">
        <w:rPr>
          <w:color w:val="000000"/>
        </w:rPr>
        <w:t xml:space="preserve">e </w:t>
      </w:r>
      <w:r w:rsidR="006803C0">
        <w:t>c</w:t>
      </w:r>
      <w:r w:rsidR="00F4747B">
        <w:t xml:space="preserve">adre de </w:t>
      </w:r>
      <w:r w:rsidR="006803C0">
        <w:t>p</w:t>
      </w:r>
      <w:r w:rsidR="00F4747B">
        <w:t xml:space="preserve">rescription </w:t>
      </w:r>
      <w:r w:rsidR="006803C0">
        <w:t>c</w:t>
      </w:r>
      <w:r w:rsidR="00F4747B">
        <w:t xml:space="preserve">ompassionnelle </w:t>
      </w:r>
      <w:r w:rsidR="00F4747B" w:rsidRPr="00AC4762">
        <w:rPr>
          <w:color w:val="000000"/>
        </w:rPr>
        <w:t>(</w:t>
      </w:r>
      <w:r w:rsidR="00F4747B">
        <w:rPr>
          <w:color w:val="000000"/>
        </w:rPr>
        <w:t xml:space="preserve">CPC) permet de prescrire </w:t>
      </w:r>
      <w:r w:rsidR="00FF3B5C">
        <w:rPr>
          <w:color w:val="000000"/>
        </w:rPr>
        <w:t>l’</w:t>
      </w:r>
      <w:r w:rsidR="00CB290B" w:rsidRPr="001B5E2B">
        <w:t>itraconazole</w:t>
      </w:r>
      <w:r w:rsidRPr="001B5E2B">
        <w:t xml:space="preserve"> 100 mg, gélule </w:t>
      </w:r>
      <w:r w:rsidR="00E629AE" w:rsidRPr="001B5E2B">
        <w:rPr>
          <w:color w:val="000000"/>
        </w:rPr>
        <w:t>pour</w:t>
      </w:r>
      <w:r w:rsidR="00E629AE">
        <w:rPr>
          <w:color w:val="000000"/>
        </w:rPr>
        <w:t xml:space="preserve"> traiter</w:t>
      </w:r>
      <w:r>
        <w:rPr>
          <w:color w:val="000000"/>
        </w:rPr>
        <w:t xml:space="preserve"> la teigne </w:t>
      </w:r>
      <w:r w:rsidR="004B4339">
        <w:rPr>
          <w:lang w:eastAsia="fr-FR"/>
        </w:rPr>
        <w:t xml:space="preserve">chez l’enfant </w:t>
      </w:r>
      <w:r w:rsidR="000B1389">
        <w:rPr>
          <w:lang w:eastAsia="fr-FR"/>
        </w:rPr>
        <w:t>à partir de</w:t>
      </w:r>
      <w:r w:rsidR="004B4339">
        <w:rPr>
          <w:lang w:eastAsia="fr-FR"/>
        </w:rPr>
        <w:t xml:space="preserve"> 20</w:t>
      </w:r>
      <w:r w:rsidR="00211CCB">
        <w:rPr>
          <w:lang w:eastAsia="fr-FR"/>
        </w:rPr>
        <w:t xml:space="preserve"> </w:t>
      </w:r>
      <w:r w:rsidR="004B4339">
        <w:rPr>
          <w:lang w:eastAsia="fr-FR"/>
        </w:rPr>
        <w:t>kg</w:t>
      </w:r>
      <w:r w:rsidR="004B4339" w:rsidDel="004B4339">
        <w:rPr>
          <w:color w:val="000000"/>
        </w:rPr>
        <w:t xml:space="preserve"> </w:t>
      </w:r>
      <w:r w:rsidR="00C07889">
        <w:t>après examen direct ou prélèvement mycologique</w:t>
      </w:r>
      <w:r w:rsidR="00B3576F">
        <w:rPr>
          <w:color w:val="000000"/>
        </w:rPr>
        <w:t>.</w:t>
      </w:r>
    </w:p>
    <w:p w14:paraId="71F73838" w14:textId="77777777" w:rsidR="00AC4762" w:rsidRDefault="00AC4762" w:rsidP="008C490C">
      <w:pPr>
        <w:pStyle w:val="Corpsdetexte"/>
        <w:jc w:val="both"/>
        <w:rPr>
          <w:color w:val="000000"/>
        </w:rPr>
      </w:pPr>
    </w:p>
    <w:p w14:paraId="44AFDD14" w14:textId="77777777" w:rsidR="00B45C43" w:rsidRDefault="00B45C43" w:rsidP="008C490C">
      <w:pPr>
        <w:pStyle w:val="Corpsdetexte"/>
        <w:jc w:val="both"/>
        <w:rPr>
          <w:color w:val="000000"/>
        </w:rPr>
      </w:pPr>
    </w:p>
    <w:p w14:paraId="34349FA0" w14:textId="77777777" w:rsidR="004A31F5" w:rsidRDefault="00AC4762" w:rsidP="008C490C">
      <w:pPr>
        <w:pStyle w:val="Corpsdetexte"/>
        <w:spacing w:before="121"/>
        <w:jc w:val="both"/>
      </w:pPr>
      <w:r w:rsidRPr="00684506">
        <w:rPr>
          <w:color w:val="000000"/>
        </w:rPr>
        <w:t xml:space="preserve">L’utilisation du médicament et la surveillance de tous les patients traités se fait en conformité avec le protocole </w:t>
      </w:r>
      <w:r w:rsidR="00B3576F">
        <w:rPr>
          <w:color w:val="000000"/>
        </w:rPr>
        <w:t xml:space="preserve">d’utilisation thérapeutique et </w:t>
      </w:r>
      <w:r w:rsidRPr="00684506">
        <w:rPr>
          <w:color w:val="000000"/>
        </w:rPr>
        <w:t xml:space="preserve">de suivi validé par l’Agence </w:t>
      </w:r>
      <w:r w:rsidR="00F70809">
        <w:rPr>
          <w:color w:val="000000"/>
        </w:rPr>
        <w:t>n</w:t>
      </w:r>
      <w:r w:rsidR="00F70809" w:rsidRPr="00684506">
        <w:rPr>
          <w:color w:val="000000"/>
        </w:rPr>
        <w:t xml:space="preserve">ationale </w:t>
      </w:r>
      <w:r w:rsidRPr="00684506">
        <w:rPr>
          <w:color w:val="000000"/>
        </w:rPr>
        <w:t xml:space="preserve">de </w:t>
      </w:r>
      <w:r w:rsidR="00F70809">
        <w:rPr>
          <w:color w:val="000000"/>
        </w:rPr>
        <w:t>s</w:t>
      </w:r>
      <w:r w:rsidRPr="00684506">
        <w:rPr>
          <w:color w:val="000000"/>
        </w:rPr>
        <w:t xml:space="preserve">écurité du </w:t>
      </w:r>
      <w:r w:rsidR="00F70809">
        <w:rPr>
          <w:color w:val="000000"/>
        </w:rPr>
        <w:t>m</w:t>
      </w:r>
      <w:r w:rsidRPr="00684506">
        <w:rPr>
          <w:color w:val="000000"/>
        </w:rPr>
        <w:t>édicament</w:t>
      </w:r>
      <w:r w:rsidR="00F70809">
        <w:rPr>
          <w:color w:val="000000"/>
        </w:rPr>
        <w:t xml:space="preserve"> et des produits de santé</w:t>
      </w:r>
      <w:r w:rsidRPr="00684506">
        <w:rPr>
          <w:color w:val="000000"/>
        </w:rPr>
        <w:t xml:space="preserve"> (ANSM).</w:t>
      </w:r>
    </w:p>
    <w:p w14:paraId="61DC8A86" w14:textId="77777777" w:rsidR="004A31F5" w:rsidRDefault="007F51CD" w:rsidP="008C490C">
      <w:pPr>
        <w:pStyle w:val="Corpsdetexte"/>
        <w:spacing w:before="118"/>
        <w:jc w:val="both"/>
      </w:pPr>
      <w:r>
        <w:t xml:space="preserve">Les données </w:t>
      </w:r>
      <w:r w:rsidR="00A63C24">
        <w:t xml:space="preserve">de </w:t>
      </w:r>
      <w:r w:rsidR="00A63C24" w:rsidRPr="00F92EBF">
        <w:rPr>
          <w:bCs/>
        </w:rPr>
        <w:t>pharmacovigilance</w:t>
      </w:r>
      <w:r w:rsidR="00A63C24">
        <w:t xml:space="preserve"> </w:t>
      </w:r>
      <w:r w:rsidR="006E18A1">
        <w:t xml:space="preserve">font l’objet de rapports annuels </w:t>
      </w:r>
      <w:r>
        <w:t>transmis à l’ANSM</w:t>
      </w:r>
      <w:r w:rsidR="009A1FFC">
        <w:t xml:space="preserve"> en collaboration avec le centre régional de pharm</w:t>
      </w:r>
      <w:r w:rsidR="00D021FE">
        <w:t xml:space="preserve">acovigilance (CRPV) de </w:t>
      </w:r>
      <w:r w:rsidR="001B5E2B">
        <w:t>Tours</w:t>
      </w:r>
      <w:r>
        <w:t>. Un résumé de ces rapports sera publié par l’ANSM sur son site internet (</w:t>
      </w:r>
      <w:hyperlink r:id="rId22">
        <w:r>
          <w:rPr>
            <w:color w:val="0000FF"/>
            <w:u w:val="single" w:color="0000FF"/>
          </w:rPr>
          <w:t>www.ansm.sante.fr</w:t>
        </w:r>
      </w:hyperlink>
      <w:r>
        <w:t>).</w:t>
      </w:r>
    </w:p>
    <w:p w14:paraId="64BB28DE" w14:textId="77777777" w:rsidR="00AC4762" w:rsidRDefault="00AC4762" w:rsidP="008C490C">
      <w:pPr>
        <w:pStyle w:val="Corpsdetexte"/>
        <w:spacing w:before="118"/>
        <w:jc w:val="both"/>
      </w:pPr>
    </w:p>
    <w:p w14:paraId="7B1BC5F4" w14:textId="692D4D26" w:rsidR="003B7EBF" w:rsidRDefault="003B7EBF" w:rsidP="008C490C">
      <w:pPr>
        <w:pStyle w:val="Titre4"/>
        <w:numPr>
          <w:ilvl w:val="0"/>
          <w:numId w:val="2"/>
        </w:numPr>
        <w:tabs>
          <w:tab w:val="left" w:pos="917"/>
        </w:tabs>
        <w:ind w:left="0"/>
      </w:pPr>
      <w:r>
        <w:t xml:space="preserve">Information sur </w:t>
      </w:r>
      <w:r w:rsidR="00FF3B5C">
        <w:t>l’itraconazole</w:t>
      </w:r>
      <w:r w:rsidR="002B4292" w:rsidRPr="00595539">
        <w:t xml:space="preserve"> 100 mg, gélule</w:t>
      </w:r>
    </w:p>
    <w:p w14:paraId="738624C3" w14:textId="77777777" w:rsidR="00D87351" w:rsidRDefault="00D87351" w:rsidP="008C490C">
      <w:pPr>
        <w:jc w:val="both"/>
        <w:rPr>
          <w:bCs/>
          <w:sz w:val="20"/>
          <w:szCs w:val="20"/>
        </w:rPr>
      </w:pPr>
    </w:p>
    <w:p w14:paraId="44749074" w14:textId="77777777" w:rsidR="002B4292" w:rsidRDefault="002B4292" w:rsidP="008C490C">
      <w:pPr>
        <w:jc w:val="both"/>
        <w:rPr>
          <w:bCs/>
          <w:sz w:val="20"/>
          <w:szCs w:val="20"/>
        </w:rPr>
      </w:pPr>
      <w:r w:rsidRPr="00595539">
        <w:rPr>
          <w:bCs/>
          <w:sz w:val="20"/>
          <w:szCs w:val="20"/>
        </w:rPr>
        <w:t>Dans le cadre de son Autorisation de Mise sur le Marché, l’itraconazole 100 mg, gélule est prescrit pour traiter des mycoses superficielles, systémiques ou viscérales.</w:t>
      </w:r>
    </w:p>
    <w:p w14:paraId="309C8428" w14:textId="1F9E8133" w:rsidR="002B4292" w:rsidRDefault="001A10D7" w:rsidP="008C490C">
      <w:pPr>
        <w:jc w:val="both"/>
        <w:rPr>
          <w:sz w:val="20"/>
          <w:szCs w:val="20"/>
        </w:rPr>
      </w:pPr>
      <w:r w:rsidRPr="001A10D7">
        <w:rPr>
          <w:sz w:val="20"/>
          <w:szCs w:val="20"/>
        </w:rPr>
        <w:t>La prise de gélule est à éviter chez l’enfant de moins de 6 ans car elle peut entraîner une fausse route.</w:t>
      </w:r>
    </w:p>
    <w:p w14:paraId="1ECF3C0C" w14:textId="77777777" w:rsidR="001A10D7" w:rsidRDefault="001A10D7" w:rsidP="008C490C">
      <w:pPr>
        <w:jc w:val="both"/>
        <w:rPr>
          <w:sz w:val="20"/>
          <w:szCs w:val="20"/>
        </w:rPr>
      </w:pPr>
    </w:p>
    <w:p w14:paraId="7F86C9BF" w14:textId="46AEFA07" w:rsidR="00E629AE" w:rsidRPr="00F92EBF" w:rsidRDefault="003C3214" w:rsidP="008C490C">
      <w:pPr>
        <w:jc w:val="both"/>
        <w:rPr>
          <w:sz w:val="20"/>
          <w:szCs w:val="20"/>
        </w:rPr>
      </w:pPr>
      <w:r>
        <w:rPr>
          <w:sz w:val="20"/>
          <w:lang w:eastAsia="fr-FR"/>
        </w:rPr>
        <w:t>Il est important de noter que, contrairement à une utilisation conforme à son AMM, la sécurité et l’efficacité d</w:t>
      </w:r>
      <w:r w:rsidR="00A35CE5">
        <w:rPr>
          <w:sz w:val="20"/>
          <w:lang w:eastAsia="fr-FR"/>
        </w:rPr>
        <w:t>e l</w:t>
      </w:r>
      <w:r>
        <w:rPr>
          <w:sz w:val="20"/>
          <w:lang w:eastAsia="fr-FR"/>
        </w:rPr>
        <w:t>’</w:t>
      </w:r>
      <w:r>
        <w:rPr>
          <w:sz w:val="20"/>
          <w:szCs w:val="20"/>
        </w:rPr>
        <w:t>itraconazole</w:t>
      </w:r>
      <w:r>
        <w:rPr>
          <w:sz w:val="20"/>
          <w:lang w:eastAsia="fr-FR"/>
        </w:rPr>
        <w:t xml:space="preserve"> </w:t>
      </w:r>
      <w:r>
        <w:rPr>
          <w:rFonts w:eastAsia="Calibri"/>
          <w:bCs/>
          <w:sz w:val="20"/>
        </w:rPr>
        <w:t>dans la situation du CPC</w:t>
      </w:r>
      <w:r w:rsidRPr="0099023C">
        <w:rPr>
          <w:rFonts w:eastAsia="Calibri"/>
          <w:bCs/>
          <w:sz w:val="20"/>
        </w:rPr>
        <w:t>,</w:t>
      </w:r>
      <w:r>
        <w:rPr>
          <w:sz w:val="20"/>
          <w:lang w:eastAsia="fr-FR"/>
        </w:rPr>
        <w:t xml:space="preserve"> sont seulement présumées à ce jour</w:t>
      </w:r>
      <w:r w:rsidR="00880477">
        <w:rPr>
          <w:sz w:val="20"/>
          <w:lang w:eastAsia="fr-FR"/>
        </w:rPr>
        <w:t xml:space="preserve"> ; </w:t>
      </w:r>
      <w:r w:rsidR="00E629AE">
        <w:rPr>
          <w:sz w:val="20"/>
          <w:szCs w:val="20"/>
        </w:rPr>
        <w:lastRenderedPageBreak/>
        <w:t>L</w:t>
      </w:r>
      <w:r w:rsidR="00A87D45">
        <w:rPr>
          <w:sz w:val="20"/>
          <w:szCs w:val="20"/>
        </w:rPr>
        <w:t>’utilisation</w:t>
      </w:r>
      <w:r w:rsidR="00E629AE">
        <w:rPr>
          <w:sz w:val="20"/>
          <w:szCs w:val="20"/>
        </w:rPr>
        <w:t xml:space="preserve"> d</w:t>
      </w:r>
      <w:r w:rsidR="00A35CE5">
        <w:rPr>
          <w:sz w:val="20"/>
          <w:szCs w:val="20"/>
        </w:rPr>
        <w:t>e l</w:t>
      </w:r>
      <w:r w:rsidR="00E629AE">
        <w:rPr>
          <w:sz w:val="20"/>
          <w:szCs w:val="20"/>
        </w:rPr>
        <w:t xml:space="preserve">’itraconazole </w:t>
      </w:r>
      <w:r w:rsidR="00D87351">
        <w:rPr>
          <w:sz w:val="20"/>
          <w:szCs w:val="20"/>
        </w:rPr>
        <w:t xml:space="preserve">pour traiter la teigne de l’enfant </w:t>
      </w:r>
      <w:r w:rsidR="00A87D45">
        <w:rPr>
          <w:sz w:val="20"/>
          <w:szCs w:val="20"/>
        </w:rPr>
        <w:t>en dehors du cadre de son autorisation de mise sur le marché repose sur des recommandations d’experts établies à partir d’études cliniques publiées dans la littérature.</w:t>
      </w:r>
    </w:p>
    <w:p w14:paraId="70F68EB5" w14:textId="77777777" w:rsidR="00877D7C" w:rsidRPr="00F92EBF" w:rsidRDefault="00877D7C" w:rsidP="008C490C">
      <w:pPr>
        <w:adjustRightInd w:val="0"/>
        <w:jc w:val="both"/>
        <w:rPr>
          <w:bCs/>
          <w:sz w:val="20"/>
          <w:szCs w:val="20"/>
        </w:rPr>
      </w:pPr>
    </w:p>
    <w:p w14:paraId="3DCDAC5E" w14:textId="29C133F0" w:rsidR="00CB290B" w:rsidRDefault="00D87351" w:rsidP="007A311D">
      <w:pPr>
        <w:jc w:val="both"/>
        <w:rPr>
          <w:sz w:val="20"/>
          <w:szCs w:val="20"/>
        </w:rPr>
      </w:pPr>
      <w:r w:rsidRPr="00D015AF">
        <w:rPr>
          <w:sz w:val="20"/>
          <w:szCs w:val="20"/>
        </w:rPr>
        <w:t xml:space="preserve">Il est indispensable que vous lisiez attentivement </w:t>
      </w:r>
      <w:r w:rsidR="00AB2C96" w:rsidRPr="00D015AF">
        <w:rPr>
          <w:sz w:val="20"/>
          <w:szCs w:val="20"/>
        </w:rPr>
        <w:t>la notice</w:t>
      </w:r>
      <w:r w:rsidRPr="00D015AF">
        <w:rPr>
          <w:sz w:val="20"/>
          <w:szCs w:val="20"/>
        </w:rPr>
        <w:t xml:space="preserve"> de ce médicament</w:t>
      </w:r>
      <w:r w:rsidR="00AB2C96" w:rsidRPr="00D015AF">
        <w:rPr>
          <w:sz w:val="20"/>
          <w:szCs w:val="20"/>
        </w:rPr>
        <w:t xml:space="preserve"> </w:t>
      </w:r>
      <w:r w:rsidRPr="00D015AF">
        <w:rPr>
          <w:sz w:val="20"/>
          <w:szCs w:val="20"/>
        </w:rPr>
        <w:t xml:space="preserve">disponible </w:t>
      </w:r>
      <w:r w:rsidR="00877D7C" w:rsidRPr="00D015AF">
        <w:rPr>
          <w:sz w:val="20"/>
          <w:szCs w:val="20"/>
        </w:rPr>
        <w:t>dans chaque boî</w:t>
      </w:r>
      <w:r w:rsidR="00AB2C96" w:rsidRPr="00D015AF">
        <w:rPr>
          <w:sz w:val="20"/>
          <w:szCs w:val="20"/>
        </w:rPr>
        <w:t>te</w:t>
      </w:r>
      <w:r w:rsidR="00A51376" w:rsidRPr="00D015AF">
        <w:rPr>
          <w:sz w:val="20"/>
          <w:szCs w:val="20"/>
        </w:rPr>
        <w:t>, a</w:t>
      </w:r>
      <w:r w:rsidR="00AB2C96" w:rsidRPr="00D015AF">
        <w:rPr>
          <w:sz w:val="20"/>
          <w:szCs w:val="20"/>
        </w:rPr>
        <w:t xml:space="preserve">insi que </w:t>
      </w:r>
      <w:r w:rsidR="008C490C" w:rsidRPr="00D015AF">
        <w:rPr>
          <w:sz w:val="20"/>
          <w:szCs w:val="20"/>
        </w:rPr>
        <w:t>dans</w:t>
      </w:r>
      <w:r w:rsidR="00AB2C96" w:rsidRPr="00D015AF">
        <w:rPr>
          <w:sz w:val="20"/>
          <w:szCs w:val="20"/>
        </w:rPr>
        <w:t xml:space="preserve"> la base de données publique des médicaments : </w:t>
      </w:r>
      <w:hyperlink r:id="rId23" w:history="1">
        <w:r w:rsidR="007B0F75" w:rsidRPr="00D015AF">
          <w:rPr>
            <w:rStyle w:val="Lienhypertexte"/>
            <w:sz w:val="20"/>
            <w:szCs w:val="20"/>
          </w:rPr>
          <w:t>http://base-donnees-publique.medicaments.gouv.fr/</w:t>
        </w:r>
      </w:hyperlink>
      <w:r w:rsidR="007B0F75" w:rsidRPr="00D87351">
        <w:rPr>
          <w:sz w:val="20"/>
          <w:szCs w:val="20"/>
        </w:rPr>
        <w:t>.</w:t>
      </w:r>
      <w:r w:rsidR="00D015AF">
        <w:rPr>
          <w:sz w:val="20"/>
          <w:szCs w:val="20"/>
        </w:rPr>
        <w:t xml:space="preserve"> </w:t>
      </w:r>
      <w:r w:rsidR="00D015AF" w:rsidRPr="0064050F">
        <w:rPr>
          <w:sz w:val="20"/>
          <w:szCs w:val="20"/>
        </w:rPr>
        <w:t>En</w:t>
      </w:r>
      <w:r w:rsidR="00D015AF" w:rsidRPr="0064050F">
        <w:rPr>
          <w:spacing w:val="1"/>
          <w:sz w:val="20"/>
          <w:szCs w:val="20"/>
        </w:rPr>
        <w:t xml:space="preserve"> </w:t>
      </w:r>
      <w:r w:rsidR="00D015AF" w:rsidRPr="0064050F">
        <w:rPr>
          <w:sz w:val="20"/>
          <w:szCs w:val="20"/>
        </w:rPr>
        <w:t>effet,</w:t>
      </w:r>
      <w:r w:rsidR="00D015AF" w:rsidRPr="0064050F">
        <w:rPr>
          <w:spacing w:val="1"/>
          <w:sz w:val="20"/>
          <w:szCs w:val="20"/>
        </w:rPr>
        <w:t xml:space="preserve"> </w:t>
      </w:r>
      <w:r w:rsidR="00D015AF" w:rsidRPr="0064050F">
        <w:rPr>
          <w:sz w:val="20"/>
          <w:szCs w:val="20"/>
        </w:rPr>
        <w:t>cette</w:t>
      </w:r>
      <w:r w:rsidR="00D015AF" w:rsidRPr="0064050F">
        <w:rPr>
          <w:spacing w:val="1"/>
          <w:sz w:val="20"/>
          <w:szCs w:val="20"/>
        </w:rPr>
        <w:t xml:space="preserve"> </w:t>
      </w:r>
      <w:r w:rsidR="00D015AF" w:rsidRPr="0064050F">
        <w:rPr>
          <w:sz w:val="20"/>
          <w:szCs w:val="20"/>
        </w:rPr>
        <w:t>notice</w:t>
      </w:r>
      <w:r w:rsidR="00D015AF" w:rsidRPr="0064050F">
        <w:rPr>
          <w:spacing w:val="1"/>
          <w:sz w:val="20"/>
          <w:szCs w:val="20"/>
        </w:rPr>
        <w:t xml:space="preserve"> </w:t>
      </w:r>
      <w:r w:rsidR="00D015AF" w:rsidRPr="0064050F">
        <w:rPr>
          <w:sz w:val="20"/>
          <w:szCs w:val="20"/>
        </w:rPr>
        <w:t>contient</w:t>
      </w:r>
      <w:r w:rsidR="00D015AF" w:rsidRPr="0064050F">
        <w:rPr>
          <w:spacing w:val="1"/>
          <w:sz w:val="20"/>
          <w:szCs w:val="20"/>
        </w:rPr>
        <w:t xml:space="preserve"> </w:t>
      </w:r>
      <w:r w:rsidR="00D015AF" w:rsidRPr="0064050F">
        <w:rPr>
          <w:sz w:val="20"/>
          <w:szCs w:val="20"/>
        </w:rPr>
        <w:t>des</w:t>
      </w:r>
      <w:r w:rsidR="00D015AF">
        <w:rPr>
          <w:sz w:val="20"/>
          <w:szCs w:val="20"/>
        </w:rPr>
        <w:t xml:space="preserve"> </w:t>
      </w:r>
      <w:r w:rsidR="00D015AF" w:rsidRPr="0064050F">
        <w:rPr>
          <w:spacing w:val="-57"/>
          <w:sz w:val="20"/>
          <w:szCs w:val="20"/>
        </w:rPr>
        <w:t xml:space="preserve"> </w:t>
      </w:r>
      <w:r w:rsidR="00D015AF" w:rsidRPr="0064050F">
        <w:rPr>
          <w:sz w:val="20"/>
          <w:szCs w:val="20"/>
        </w:rPr>
        <w:t xml:space="preserve">informations importantes pour votre traitement </w:t>
      </w:r>
      <w:r w:rsidR="00D015AF" w:rsidRPr="00B45C43">
        <w:rPr>
          <w:b/>
          <w:sz w:val="20"/>
          <w:szCs w:val="20"/>
        </w:rPr>
        <w:t>et vous devez la montrer ainsi que la présente note d’information à tous les médecins</w:t>
      </w:r>
      <w:r w:rsidR="00D015AF" w:rsidRPr="00B45C43">
        <w:rPr>
          <w:b/>
          <w:spacing w:val="1"/>
          <w:sz w:val="20"/>
          <w:szCs w:val="20"/>
        </w:rPr>
        <w:t xml:space="preserve"> </w:t>
      </w:r>
      <w:r w:rsidR="00D015AF" w:rsidRPr="00B45C43">
        <w:rPr>
          <w:b/>
          <w:sz w:val="20"/>
          <w:szCs w:val="20"/>
        </w:rPr>
        <w:t>que</w:t>
      </w:r>
      <w:r w:rsidR="00D015AF" w:rsidRPr="00B45C43">
        <w:rPr>
          <w:b/>
          <w:spacing w:val="-2"/>
          <w:sz w:val="20"/>
          <w:szCs w:val="20"/>
        </w:rPr>
        <w:t xml:space="preserve"> </w:t>
      </w:r>
      <w:r w:rsidR="00D015AF" w:rsidRPr="00B45C43">
        <w:rPr>
          <w:b/>
          <w:sz w:val="20"/>
          <w:szCs w:val="20"/>
        </w:rPr>
        <w:t>vous pouvez</w:t>
      </w:r>
      <w:r w:rsidR="00D015AF" w:rsidRPr="00B45C43">
        <w:rPr>
          <w:b/>
          <w:spacing w:val="1"/>
          <w:sz w:val="20"/>
          <w:szCs w:val="20"/>
        </w:rPr>
        <w:t xml:space="preserve"> </w:t>
      </w:r>
      <w:r w:rsidR="00D015AF" w:rsidRPr="00B45C43">
        <w:rPr>
          <w:b/>
          <w:sz w:val="20"/>
          <w:szCs w:val="20"/>
        </w:rPr>
        <w:t>être</w:t>
      </w:r>
      <w:r w:rsidR="00D015AF" w:rsidRPr="00B45C43">
        <w:rPr>
          <w:b/>
          <w:spacing w:val="-1"/>
          <w:sz w:val="20"/>
          <w:szCs w:val="20"/>
        </w:rPr>
        <w:t xml:space="preserve"> </w:t>
      </w:r>
      <w:r w:rsidR="00D015AF" w:rsidRPr="00B45C43">
        <w:rPr>
          <w:b/>
          <w:sz w:val="20"/>
          <w:szCs w:val="20"/>
        </w:rPr>
        <w:t>amené</w:t>
      </w:r>
      <w:r w:rsidR="00D015AF" w:rsidRPr="00B45C43">
        <w:rPr>
          <w:b/>
          <w:spacing w:val="-1"/>
          <w:sz w:val="20"/>
          <w:szCs w:val="20"/>
        </w:rPr>
        <w:t xml:space="preserve"> </w:t>
      </w:r>
      <w:r w:rsidR="00D015AF" w:rsidRPr="00B45C43">
        <w:rPr>
          <w:b/>
          <w:sz w:val="20"/>
          <w:szCs w:val="20"/>
        </w:rPr>
        <w:t>à</w:t>
      </w:r>
      <w:r w:rsidR="00D015AF" w:rsidRPr="00B45C43">
        <w:rPr>
          <w:b/>
          <w:spacing w:val="1"/>
          <w:sz w:val="20"/>
          <w:szCs w:val="20"/>
        </w:rPr>
        <w:t xml:space="preserve"> </w:t>
      </w:r>
      <w:r w:rsidR="00D015AF" w:rsidRPr="00B45C43">
        <w:rPr>
          <w:b/>
          <w:sz w:val="20"/>
          <w:szCs w:val="20"/>
        </w:rPr>
        <w:t>consulter</w:t>
      </w:r>
      <w:r w:rsidR="00B45C43">
        <w:rPr>
          <w:b/>
          <w:sz w:val="20"/>
          <w:szCs w:val="20"/>
        </w:rPr>
        <w:t>.</w:t>
      </w:r>
    </w:p>
    <w:p w14:paraId="165A5A4F" w14:textId="77777777" w:rsidR="00880477" w:rsidRDefault="00880477" w:rsidP="007A311D">
      <w:pPr>
        <w:jc w:val="both"/>
        <w:rPr>
          <w:sz w:val="20"/>
          <w:szCs w:val="20"/>
        </w:rPr>
      </w:pPr>
    </w:p>
    <w:p w14:paraId="2347391B" w14:textId="77777777" w:rsidR="00595539" w:rsidRDefault="004151F2" w:rsidP="007A311D">
      <w:pPr>
        <w:jc w:val="both"/>
        <w:rPr>
          <w:sz w:val="20"/>
          <w:szCs w:val="20"/>
        </w:rPr>
      </w:pPr>
      <w:r>
        <w:rPr>
          <w:sz w:val="20"/>
          <w:szCs w:val="20"/>
        </w:rPr>
        <w:t>I</w:t>
      </w:r>
      <w:r w:rsidR="008C490C">
        <w:rPr>
          <w:sz w:val="20"/>
          <w:szCs w:val="20"/>
        </w:rPr>
        <w:t>l est important de noter que certaines mentions ne s’appliquent pas à la situation du traitement de la teigne</w:t>
      </w:r>
      <w:r w:rsidR="007A311D">
        <w:rPr>
          <w:sz w:val="20"/>
          <w:szCs w:val="20"/>
        </w:rPr>
        <w:t>, notamment la poso</w:t>
      </w:r>
      <w:r w:rsidR="00C131D0">
        <w:rPr>
          <w:sz w:val="20"/>
          <w:szCs w:val="20"/>
        </w:rPr>
        <w:t>logie et la durée de traitement.</w:t>
      </w:r>
      <w:r w:rsidR="007A311D">
        <w:rPr>
          <w:sz w:val="20"/>
          <w:szCs w:val="20"/>
        </w:rPr>
        <w:t xml:space="preserve"> </w:t>
      </w:r>
      <w:r w:rsidR="00595539">
        <w:rPr>
          <w:sz w:val="20"/>
          <w:szCs w:val="20"/>
        </w:rPr>
        <w:t>Aussi r</w:t>
      </w:r>
      <w:r w:rsidR="00595539" w:rsidRPr="00595539">
        <w:rPr>
          <w:sz w:val="20"/>
          <w:szCs w:val="20"/>
        </w:rPr>
        <w:t xml:space="preserve">espectez la posologie </w:t>
      </w:r>
      <w:r w:rsidR="00595539">
        <w:rPr>
          <w:sz w:val="20"/>
          <w:szCs w:val="20"/>
        </w:rPr>
        <w:t>et la durée de traitement prescrites</w:t>
      </w:r>
      <w:r w:rsidR="00595539" w:rsidRPr="00595539">
        <w:rPr>
          <w:sz w:val="20"/>
          <w:szCs w:val="20"/>
        </w:rPr>
        <w:t xml:space="preserve"> par votre médecin</w:t>
      </w:r>
      <w:r w:rsidR="00595539">
        <w:rPr>
          <w:sz w:val="20"/>
          <w:szCs w:val="20"/>
        </w:rPr>
        <w:t xml:space="preserve"> dans la prise en charge de la teigne.</w:t>
      </w:r>
    </w:p>
    <w:p w14:paraId="7E668152" w14:textId="77777777" w:rsidR="00595539" w:rsidRDefault="00595539" w:rsidP="007A311D">
      <w:pPr>
        <w:jc w:val="both"/>
        <w:rPr>
          <w:sz w:val="20"/>
          <w:szCs w:val="20"/>
        </w:rPr>
      </w:pPr>
    </w:p>
    <w:p w14:paraId="3D7C0FB0" w14:textId="77777777" w:rsidR="004A31F5" w:rsidRPr="0002008A" w:rsidRDefault="004A31F5" w:rsidP="008C490C">
      <w:pPr>
        <w:pStyle w:val="Corpsdetexte"/>
        <w:spacing w:before="2"/>
      </w:pPr>
    </w:p>
    <w:p w14:paraId="5B72B82A" w14:textId="77777777" w:rsidR="004A31F5" w:rsidRDefault="007F51CD" w:rsidP="008C490C">
      <w:pPr>
        <w:pStyle w:val="Titre4"/>
        <w:numPr>
          <w:ilvl w:val="0"/>
          <w:numId w:val="2"/>
        </w:numPr>
        <w:tabs>
          <w:tab w:val="left" w:pos="917"/>
        </w:tabs>
        <w:ind w:left="0"/>
      </w:pPr>
      <w:r>
        <w:t>Modalités de signalement des effets indésirables par le</w:t>
      </w:r>
      <w:r w:rsidRPr="00BC4452">
        <w:t xml:space="preserve"> </w:t>
      </w:r>
      <w:r>
        <w:t>patient</w:t>
      </w:r>
    </w:p>
    <w:p w14:paraId="5B100C4E" w14:textId="77777777" w:rsidR="00880477" w:rsidRDefault="007F51CD" w:rsidP="008C490C">
      <w:pPr>
        <w:pStyle w:val="Corpsdetexte"/>
        <w:spacing w:before="123"/>
        <w:jc w:val="both"/>
      </w:pPr>
      <w:r w:rsidRPr="00880477">
        <w:t>Si vous ressentez un quelconque effet indésirable, parlez-en à votre médecin ou votre pharmacien.</w:t>
      </w:r>
    </w:p>
    <w:p w14:paraId="11B4FF81" w14:textId="77777777" w:rsidR="00880477" w:rsidRDefault="007F51CD" w:rsidP="008C490C">
      <w:pPr>
        <w:pStyle w:val="Corpsdetexte"/>
        <w:spacing w:before="123"/>
        <w:jc w:val="both"/>
      </w:pPr>
      <w:r w:rsidRPr="00880477">
        <w:t xml:space="preserve"> </w:t>
      </w:r>
    </w:p>
    <w:p w14:paraId="67BAB24E" w14:textId="77777777" w:rsidR="00880477" w:rsidRDefault="00880477" w:rsidP="00880477">
      <w:pPr>
        <w:pStyle w:val="Corpsdetexte"/>
        <w:spacing w:after="160" w:line="259" w:lineRule="auto"/>
        <w:jc w:val="both"/>
        <w:rPr>
          <w:rStyle w:val="Lienhypertexte"/>
        </w:rPr>
      </w:pPr>
      <w:r w:rsidRPr="00893D43">
        <w:rPr>
          <w:rFonts w:eastAsiaTheme="minorHAnsi"/>
        </w:rPr>
        <w:t xml:space="preserve">Vous avez également la possibilité de signaler directement tout effet indésirable susceptible d'être lié au médicament </w:t>
      </w:r>
      <w:r>
        <w:rPr>
          <w:rFonts w:eastAsiaTheme="minorHAnsi"/>
        </w:rPr>
        <w:t>via le portail de signalement </w:t>
      </w:r>
      <w:r w:rsidRPr="00893D43">
        <w:rPr>
          <w:rFonts w:eastAsiaTheme="minorHAnsi"/>
        </w:rPr>
        <w:t xml:space="preserve"> </w:t>
      </w:r>
      <w:hyperlink r:id="rId24" w:tgtFrame="_blank" w:history="1">
        <w:r w:rsidRPr="009171FC">
          <w:rPr>
            <w:rStyle w:val="Lienhypertexte"/>
          </w:rPr>
          <w:t>signalement.social-sante.gouv.fr</w:t>
        </w:r>
      </w:hyperlink>
    </w:p>
    <w:p w14:paraId="00574E41" w14:textId="77777777" w:rsidR="004A31F5" w:rsidRDefault="00880477" w:rsidP="008F6D98">
      <w:pPr>
        <w:pStyle w:val="Corpsdetexte"/>
        <w:spacing w:after="160" w:line="259" w:lineRule="auto"/>
        <w:jc w:val="both"/>
      </w:pPr>
      <w:r w:rsidRPr="00893D43">
        <w:rPr>
          <w:rFonts w:eastAsiaTheme="minorHAnsi"/>
        </w:rPr>
        <w:t xml:space="preserve">Votre déclaration doit préciser que vous êtes pris en charge dans le </w:t>
      </w:r>
      <w:r>
        <w:rPr>
          <w:rFonts w:eastAsiaTheme="minorHAnsi"/>
        </w:rPr>
        <w:t xml:space="preserve">contexte </w:t>
      </w:r>
      <w:r w:rsidRPr="00893D43">
        <w:rPr>
          <w:rFonts w:eastAsiaTheme="minorHAnsi"/>
        </w:rPr>
        <w:t>d’un CPC. En signalant les effets indésirables, vous contribuez à fournir davantage d'informations sur la sécurité de ce médicament</w:t>
      </w:r>
      <w:r>
        <w:rPr>
          <w:rFonts w:eastAsiaTheme="minorHAnsi"/>
        </w:rPr>
        <w:t>.</w:t>
      </w:r>
    </w:p>
    <w:p w14:paraId="3061C704" w14:textId="77777777" w:rsidR="008F6D98" w:rsidRDefault="008F6D98" w:rsidP="008F6D98">
      <w:pPr>
        <w:pStyle w:val="Corpsdetexte"/>
        <w:spacing w:after="160" w:line="259" w:lineRule="auto"/>
        <w:jc w:val="both"/>
      </w:pPr>
    </w:p>
    <w:p w14:paraId="321CAF29" w14:textId="77777777" w:rsidR="003F2361" w:rsidRDefault="003F2361" w:rsidP="008C490C">
      <w:r>
        <w:br w:type="page"/>
      </w:r>
    </w:p>
    <w:p w14:paraId="11787D6E" w14:textId="77777777" w:rsidR="006D5E0E" w:rsidRDefault="006D5E0E" w:rsidP="0024445F">
      <w:pPr>
        <w:ind w:right="709"/>
        <w:rPr>
          <w:sz w:val="20"/>
          <w:szCs w:val="20"/>
        </w:rPr>
      </w:pPr>
    </w:p>
    <w:p w14:paraId="5670AE04" w14:textId="77777777" w:rsidR="004A31F5" w:rsidRDefault="004A31F5" w:rsidP="0024445F">
      <w:pPr>
        <w:pStyle w:val="Corpsdetexte"/>
        <w:spacing w:before="6"/>
        <w:ind w:right="709"/>
        <w:rPr>
          <w:sz w:val="18"/>
        </w:rPr>
      </w:pPr>
    </w:p>
    <w:p w14:paraId="3BD0AD1D" w14:textId="767511E5" w:rsidR="00CA4ADC" w:rsidRPr="00BB3ACF" w:rsidRDefault="003259B8" w:rsidP="00CA4ADC">
      <w:pPr>
        <w:pStyle w:val="Titre1"/>
        <w:numPr>
          <w:ilvl w:val="0"/>
          <w:numId w:val="0"/>
        </w:numPr>
        <w:spacing w:before="72"/>
        <w:ind w:left="-432" w:right="709"/>
      </w:pPr>
      <w:r>
        <w:t>Annexe II</w:t>
      </w:r>
    </w:p>
    <w:p w14:paraId="4F8E0D52" w14:textId="77777777" w:rsidR="00B84D45" w:rsidRPr="00F85A04" w:rsidRDefault="00B84D45" w:rsidP="0024445F">
      <w:pPr>
        <w:ind w:right="709"/>
      </w:pPr>
    </w:p>
    <w:p w14:paraId="17A1F030" w14:textId="77777777" w:rsidR="00C16059" w:rsidRPr="00F85A04" w:rsidRDefault="00C16059" w:rsidP="0024445F">
      <w:pPr>
        <w:ind w:right="709"/>
      </w:pPr>
    </w:p>
    <w:p w14:paraId="3A881C68" w14:textId="7B2620DD" w:rsidR="00985536" w:rsidRPr="00F92EBF" w:rsidRDefault="007F51CD" w:rsidP="00F92EBF">
      <w:pPr>
        <w:jc w:val="center"/>
        <w:rPr>
          <w:b/>
        </w:rPr>
      </w:pPr>
      <w:r w:rsidRPr="00F92EBF">
        <w:rPr>
          <w:b/>
        </w:rPr>
        <w:t xml:space="preserve">Argumentaire pour l’utilisation de </w:t>
      </w:r>
      <w:r w:rsidR="00453509">
        <w:rPr>
          <w:b/>
        </w:rPr>
        <w:t>l’</w:t>
      </w:r>
      <w:r w:rsidR="003F2361">
        <w:rPr>
          <w:b/>
        </w:rPr>
        <w:t>ITRACONAZOLE</w:t>
      </w:r>
      <w:r w:rsidR="00985536" w:rsidRPr="00F92EBF">
        <w:rPr>
          <w:b/>
        </w:rPr>
        <w:t xml:space="preserve"> </w:t>
      </w:r>
      <w:r w:rsidR="00453509">
        <w:rPr>
          <w:b/>
        </w:rPr>
        <w:t>forme orale</w:t>
      </w:r>
      <w:r w:rsidRPr="00F92EBF">
        <w:rPr>
          <w:b/>
        </w:rPr>
        <w:t xml:space="preserve"> dans </w:t>
      </w:r>
      <w:r w:rsidR="003B7EBF" w:rsidRPr="00F92EBF">
        <w:rPr>
          <w:b/>
        </w:rPr>
        <w:t xml:space="preserve">le </w:t>
      </w:r>
      <w:r w:rsidR="003F2361">
        <w:rPr>
          <w:b/>
        </w:rPr>
        <w:t>traitement des teignes de l’enfant</w:t>
      </w:r>
      <w:r w:rsidR="00B45C43">
        <w:rPr>
          <w:b/>
        </w:rPr>
        <w:t xml:space="preserve"> et r</w:t>
      </w:r>
      <w:r w:rsidR="00877D7C" w:rsidRPr="00F92EBF">
        <w:rPr>
          <w:b/>
        </w:rPr>
        <w:t>éférences bibliographiques</w:t>
      </w:r>
    </w:p>
    <w:p w14:paraId="12B699C0" w14:textId="77777777" w:rsidR="00985536" w:rsidRDefault="00985536" w:rsidP="0024445F">
      <w:pPr>
        <w:pStyle w:val="Corpsdetexte"/>
        <w:spacing w:before="93"/>
        <w:ind w:right="709"/>
      </w:pPr>
    </w:p>
    <w:p w14:paraId="023517AC" w14:textId="77777777" w:rsidR="00EA358D" w:rsidRPr="00391DA1" w:rsidRDefault="00EA358D" w:rsidP="00EA358D">
      <w:pPr>
        <w:pStyle w:val="Corpsdetexte"/>
        <w:spacing w:before="8"/>
        <w:ind w:left="284"/>
        <w:jc w:val="both"/>
      </w:pPr>
    </w:p>
    <w:p w14:paraId="49D9C872" w14:textId="00A92F90" w:rsidR="00EA358D" w:rsidRPr="00694C66" w:rsidRDefault="00EA358D" w:rsidP="00694C66">
      <w:pPr>
        <w:pStyle w:val="Corpsdetexte"/>
        <w:spacing w:before="8"/>
        <w:jc w:val="both"/>
      </w:pPr>
      <w:r w:rsidRPr="00694C66">
        <w:t xml:space="preserve">Les teignes sont des dermatophyties fréquentes touchant essentiellement l’enfant. En France, les dermatophytes (champignons microscopiques) les plus fréquents appartiennent au genre </w:t>
      </w:r>
      <w:r w:rsidRPr="00694C66">
        <w:rPr>
          <w:i/>
        </w:rPr>
        <w:t>Trichophyton</w:t>
      </w:r>
      <w:r w:rsidRPr="00694C66">
        <w:t xml:space="preserve"> </w:t>
      </w:r>
      <w:r w:rsidR="00086B95">
        <w:t>ou</w:t>
      </w:r>
      <w:r w:rsidRPr="00694C66">
        <w:t xml:space="preserve"> </w:t>
      </w:r>
      <w:r w:rsidRPr="00694C66">
        <w:rPr>
          <w:i/>
        </w:rPr>
        <w:t>Microsporum</w:t>
      </w:r>
      <w:r w:rsidRPr="00694C66">
        <w:t>.</w:t>
      </w:r>
    </w:p>
    <w:p w14:paraId="42EBA8A4" w14:textId="77777777" w:rsidR="00EA358D" w:rsidRPr="00694C66" w:rsidRDefault="00EA358D" w:rsidP="00694C66">
      <w:pPr>
        <w:pStyle w:val="Corpsdetexte"/>
        <w:spacing w:before="8"/>
        <w:jc w:val="both"/>
      </w:pPr>
    </w:p>
    <w:p w14:paraId="65B16348" w14:textId="77777777" w:rsidR="00EA358D" w:rsidRPr="00694C66" w:rsidRDefault="00EA358D" w:rsidP="00694C66">
      <w:pPr>
        <w:pStyle w:val="Corpsdetexte"/>
        <w:spacing w:before="8"/>
        <w:jc w:val="both"/>
      </w:pPr>
      <w:r w:rsidRPr="00694C66">
        <w:t>En cas de suspicion clinique de teigne, il est recommandé de pratiquer un prélèvement mycologique dès que possible.</w:t>
      </w:r>
    </w:p>
    <w:p w14:paraId="613ABAD7" w14:textId="77777777" w:rsidR="00EA358D" w:rsidRPr="00694C66" w:rsidRDefault="00EA358D" w:rsidP="00694C66">
      <w:pPr>
        <w:pStyle w:val="Corpsdetexte"/>
        <w:spacing w:before="8"/>
        <w:jc w:val="both"/>
      </w:pPr>
    </w:p>
    <w:p w14:paraId="251EA359" w14:textId="77777777" w:rsidR="00EA358D" w:rsidRPr="00694C66" w:rsidRDefault="00EA358D" w:rsidP="00694C66">
      <w:pPr>
        <w:pStyle w:val="Corpsdetexte"/>
        <w:spacing w:before="8"/>
        <w:jc w:val="both"/>
      </w:pPr>
      <w:r w:rsidRPr="00694C66">
        <w:t>La prise en charge repose sur des mesures d’hygiène associées à un traitement antifongique local (crème, shampoing ou lotion) et un traitement antifongique administré par voie orale :</w:t>
      </w:r>
    </w:p>
    <w:p w14:paraId="236D4D9F" w14:textId="77777777" w:rsidR="00EA358D" w:rsidRPr="00694C66" w:rsidRDefault="00EA358D" w:rsidP="00694C66">
      <w:pPr>
        <w:pStyle w:val="Corpsdetexte"/>
        <w:numPr>
          <w:ilvl w:val="1"/>
          <w:numId w:val="11"/>
        </w:numPr>
        <w:spacing w:before="8"/>
        <w:ind w:left="709"/>
        <w:jc w:val="both"/>
      </w:pPr>
      <w:r w:rsidRPr="00694C66">
        <w:t xml:space="preserve">la terbinafine (dirigée contre le </w:t>
      </w:r>
      <w:r w:rsidRPr="00694C66">
        <w:rPr>
          <w:i/>
        </w:rPr>
        <w:t>Trichophyton</w:t>
      </w:r>
      <w:r w:rsidRPr="00694C66">
        <w:t>) est le traitement probabiliste à instaurer d’emblée,</w:t>
      </w:r>
    </w:p>
    <w:p w14:paraId="3347A0C2" w14:textId="77777777" w:rsidR="00EA358D" w:rsidRPr="00694C66" w:rsidRDefault="00EA358D" w:rsidP="00694C66">
      <w:pPr>
        <w:pStyle w:val="Corpsdetexte"/>
        <w:numPr>
          <w:ilvl w:val="1"/>
          <w:numId w:val="11"/>
        </w:numPr>
        <w:spacing w:before="8"/>
        <w:ind w:left="709"/>
        <w:jc w:val="both"/>
      </w:pPr>
      <w:r w:rsidRPr="00694C66">
        <w:t xml:space="preserve">l’itraconazole est utilisé pour traiter le </w:t>
      </w:r>
      <w:r w:rsidRPr="00694C66">
        <w:rPr>
          <w:i/>
        </w:rPr>
        <w:t>Microsporum</w:t>
      </w:r>
      <w:r w:rsidRPr="00694C66">
        <w:t>, soit lorsque l’examen clinique initial est clairement en faveur de ce champignon, soit lorsque les résultats mycologiques l’ont identifié.</w:t>
      </w:r>
    </w:p>
    <w:p w14:paraId="5DEEFDB4" w14:textId="77777777" w:rsidR="00EA358D" w:rsidRDefault="00EA358D" w:rsidP="0019164E">
      <w:pPr>
        <w:pStyle w:val="Corpsdetexte"/>
        <w:spacing w:before="93"/>
        <w:ind w:right="709"/>
        <w:jc w:val="both"/>
      </w:pPr>
    </w:p>
    <w:p w14:paraId="3487CA51" w14:textId="77777777" w:rsidR="0019164E" w:rsidRDefault="0019164E" w:rsidP="00694C66">
      <w:pPr>
        <w:pStyle w:val="Corpsdetexte"/>
        <w:jc w:val="both"/>
      </w:pPr>
      <w:r>
        <w:t xml:space="preserve">Le rapport bénéfice/risque de l’itraconazole dans le traitement des teignes de l’enfant est présumé favorable dans le </w:t>
      </w:r>
      <w:r w:rsidR="00A82327">
        <w:t xml:space="preserve">contexte </w:t>
      </w:r>
      <w:r>
        <w:t>d’un CPC, sur la base des données publiées présentées ci-après.</w:t>
      </w:r>
    </w:p>
    <w:p w14:paraId="58695CCA" w14:textId="77777777" w:rsidR="0019164E" w:rsidRDefault="0019164E" w:rsidP="00EA358D">
      <w:pPr>
        <w:pStyle w:val="Corpsdetexte"/>
        <w:spacing w:before="93"/>
        <w:jc w:val="both"/>
      </w:pPr>
    </w:p>
    <w:p w14:paraId="5D19A9A4" w14:textId="77777777" w:rsidR="00592DE4" w:rsidRDefault="00A55DED" w:rsidP="00EA358D">
      <w:pPr>
        <w:pStyle w:val="Corpsdetexte"/>
        <w:spacing w:before="93"/>
        <w:jc w:val="both"/>
      </w:pPr>
      <w:r>
        <w:t>O</w:t>
      </w:r>
      <w:r w:rsidR="00592DE4">
        <w:t>nt été retenues les</w:t>
      </w:r>
      <w:r>
        <w:t xml:space="preserve"> revues systématiques et </w:t>
      </w:r>
      <w:r w:rsidR="00592DE4">
        <w:t xml:space="preserve">méta-analyses publiées </w:t>
      </w:r>
      <w:r>
        <w:t>ainsi que les données issues de l’analyse d</w:t>
      </w:r>
      <w:r w:rsidR="00A40EB9">
        <w:t>’une</w:t>
      </w:r>
      <w:r>
        <w:t xml:space="preserve"> large cohorte et</w:t>
      </w:r>
      <w:r w:rsidR="00592DE4">
        <w:t xml:space="preserve"> un essai </w:t>
      </w:r>
      <w:r>
        <w:t>randomisé en double aveugle</w:t>
      </w:r>
      <w:r w:rsidR="00592DE4">
        <w:t xml:space="preserve"> évaluant l’effet </w:t>
      </w:r>
      <w:r>
        <w:t>de l’itraconazole</w:t>
      </w:r>
      <w:r w:rsidR="00592DE4">
        <w:t xml:space="preserve"> versus </w:t>
      </w:r>
      <w:r>
        <w:t>griséofulvine</w:t>
      </w:r>
      <w:r w:rsidR="00592DE4">
        <w:t>.</w:t>
      </w:r>
    </w:p>
    <w:p w14:paraId="3C8DE6E0" w14:textId="77777777" w:rsidR="004A31F5" w:rsidRPr="00816E68" w:rsidRDefault="004A31F5" w:rsidP="00EA358D">
      <w:pPr>
        <w:pStyle w:val="Corpsdetexte"/>
        <w:spacing w:before="10"/>
        <w:jc w:val="both"/>
      </w:pPr>
    </w:p>
    <w:p w14:paraId="2ADEE13D" w14:textId="77777777" w:rsidR="004A31F5" w:rsidRPr="00816E68" w:rsidRDefault="004A31F5" w:rsidP="00EA358D">
      <w:pPr>
        <w:pStyle w:val="Corpsdetexte"/>
      </w:pPr>
    </w:p>
    <w:p w14:paraId="4373AE09" w14:textId="77777777" w:rsidR="00592DE4" w:rsidRPr="00592DE4" w:rsidRDefault="00592DE4" w:rsidP="00EA358D">
      <w:pPr>
        <w:pStyle w:val="Style1"/>
        <w:ind w:right="0"/>
      </w:pPr>
      <w:bookmarkStart w:id="1" w:name="_Toc73045545"/>
      <w:r w:rsidRPr="00592DE4">
        <w:t xml:space="preserve">Efficacité </w:t>
      </w:r>
      <w:r w:rsidR="00D5275D">
        <w:t xml:space="preserve">et sécurité </w:t>
      </w:r>
      <w:r w:rsidR="00A40EB9">
        <w:t>de l’itraconazole dans les teignes de l’enfant</w:t>
      </w:r>
    </w:p>
    <w:bookmarkEnd w:id="1"/>
    <w:p w14:paraId="47E8770C" w14:textId="77777777" w:rsidR="008C46EE" w:rsidRPr="00816E68" w:rsidRDefault="008C46EE" w:rsidP="00EA358D">
      <w:pPr>
        <w:pStyle w:val="Corpsdetexte"/>
        <w:spacing w:before="8"/>
      </w:pPr>
    </w:p>
    <w:p w14:paraId="3C2BD0CA" w14:textId="77777777" w:rsidR="006C1C76" w:rsidRDefault="00A40EB9" w:rsidP="00EA358D">
      <w:pPr>
        <w:pStyle w:val="Corpsdetexte"/>
        <w:numPr>
          <w:ilvl w:val="0"/>
          <w:numId w:val="5"/>
        </w:numPr>
        <w:spacing w:before="8"/>
        <w:jc w:val="both"/>
      </w:pPr>
      <w:r>
        <w:t>Lopez-Gomez, 1994</w:t>
      </w:r>
      <w:r w:rsidR="00EE4FC1" w:rsidRPr="006C1C76">
        <w:t xml:space="preserve"> [</w:t>
      </w:r>
      <w:r w:rsidR="00592DE4">
        <w:t>1</w:t>
      </w:r>
      <w:r w:rsidR="00EE4FC1" w:rsidRPr="006C1C76">
        <w:t>]</w:t>
      </w:r>
      <w:r w:rsidR="006C1C76">
        <w:t xml:space="preserve"> </w:t>
      </w:r>
    </w:p>
    <w:p w14:paraId="77F5AF85" w14:textId="77777777" w:rsidR="006C1C76" w:rsidRDefault="006C1C76" w:rsidP="00EA358D">
      <w:pPr>
        <w:pStyle w:val="Corpsdetexte"/>
        <w:spacing w:before="8"/>
        <w:jc w:val="both"/>
      </w:pPr>
    </w:p>
    <w:p w14:paraId="275B6EDD" w14:textId="77777777" w:rsidR="00E60C66" w:rsidRDefault="00E60C66" w:rsidP="00EA358D">
      <w:pPr>
        <w:pStyle w:val="Corpsdetexte"/>
        <w:spacing w:before="8"/>
        <w:jc w:val="both"/>
      </w:pPr>
      <w:r>
        <w:t>Trente-quatre enfants âgés de 2 à 11 ans et un adulte de 60 ans atteints de teigne (Tinea capitis) ont été inclus dans cette étude en double aveugle comparant 100 mg d’itraconazole (n=18) ou 500 mg de griséofulvine ultramicronisée (n=17) par jour pendant 6 semaines.</w:t>
      </w:r>
    </w:p>
    <w:p w14:paraId="79B8DD56" w14:textId="77777777" w:rsidR="00E60C66" w:rsidRDefault="00E60C66" w:rsidP="00EA358D">
      <w:pPr>
        <w:pStyle w:val="Corpsdetexte"/>
        <w:spacing w:before="8"/>
        <w:jc w:val="both"/>
      </w:pPr>
      <w:r>
        <w:t xml:space="preserve">Quinze patients sur 17 du groupe itraconazole </w:t>
      </w:r>
      <w:r w:rsidR="007102E7">
        <w:t xml:space="preserve">et 14/15 du groupe griséofulvine étaient infectés par </w:t>
      </w:r>
      <w:r w:rsidR="007102E7" w:rsidRPr="007102E7">
        <w:rPr>
          <w:i/>
        </w:rPr>
        <w:t>Microsporum canis</w:t>
      </w:r>
      <w:r w:rsidR="007102E7">
        <w:t>.</w:t>
      </w:r>
    </w:p>
    <w:p w14:paraId="44103044" w14:textId="77777777" w:rsidR="00E60C66" w:rsidRDefault="00E60C66" w:rsidP="00EA358D">
      <w:pPr>
        <w:pStyle w:val="Corpsdetexte"/>
        <w:spacing w:before="8"/>
        <w:jc w:val="both"/>
      </w:pPr>
    </w:p>
    <w:p w14:paraId="3C187CA4" w14:textId="77777777" w:rsidR="00BF0118" w:rsidRDefault="006535D0" w:rsidP="00EA358D">
      <w:pPr>
        <w:pStyle w:val="Corpsdetexte"/>
        <w:spacing w:before="8"/>
        <w:jc w:val="both"/>
      </w:pPr>
      <w:r>
        <w:t>Le critère de jugement principal est l’évaluation combinée des tests mycologiques (microscopie et culture) et de la somme des scores cliniques : desquamation, érythème, alopécie, points noirs, pustules, croûtes, inflammation, adénopathie, démangeaisons (score 0 = pas de signes cliniques, 1=léger, 2=modéré</w:t>
      </w:r>
      <w:r w:rsidR="00BF0118">
        <w:t>, 3=marqué ou 4=sévère).</w:t>
      </w:r>
    </w:p>
    <w:p w14:paraId="1272748D" w14:textId="77777777" w:rsidR="00A40EB9" w:rsidRDefault="006535D0" w:rsidP="00EA358D">
      <w:pPr>
        <w:pStyle w:val="Corpsdetexte"/>
        <w:spacing w:before="8"/>
        <w:jc w:val="both"/>
      </w:pPr>
      <w:r>
        <w:t xml:space="preserve">Cette évaluation a été faite </w:t>
      </w:r>
      <w:r w:rsidR="00BF0118">
        <w:t xml:space="preserve">en fin de traitement à 6 semaines </w:t>
      </w:r>
      <w:r>
        <w:t xml:space="preserve">et </w:t>
      </w:r>
      <w:r w:rsidR="00BF0118">
        <w:t>après</w:t>
      </w:r>
      <w:r>
        <w:t xml:space="preserve"> la période de suivi, </w:t>
      </w:r>
      <w:r w:rsidR="00BF0118">
        <w:t>à 8 semaines après la fin du traitement.</w:t>
      </w:r>
    </w:p>
    <w:p w14:paraId="4BEDF7F3" w14:textId="77777777" w:rsidR="00BF0118" w:rsidRDefault="00BF0118" w:rsidP="00EA358D">
      <w:pPr>
        <w:pStyle w:val="Corpsdetexte"/>
        <w:spacing w:before="8"/>
        <w:jc w:val="both"/>
      </w:pPr>
    </w:p>
    <w:p w14:paraId="034DFDFF" w14:textId="77777777" w:rsidR="00794C73" w:rsidRDefault="008F3999" w:rsidP="00EA358D">
      <w:pPr>
        <w:pStyle w:val="Corpsdetexte"/>
        <w:spacing w:before="8"/>
        <w:jc w:val="both"/>
      </w:pPr>
      <w:r>
        <w:t>Huit</w:t>
      </w:r>
      <w:r w:rsidR="00794C73">
        <w:t xml:space="preserve"> semaines après la fin de la période de suivi, </w:t>
      </w:r>
      <w:r w:rsidR="00AB1EE5">
        <w:t xml:space="preserve">parmi les 35 patients inclus, </w:t>
      </w:r>
      <w:r w:rsidR="00794C73">
        <w:t>88%</w:t>
      </w:r>
      <w:r w:rsidR="00AB1EE5">
        <w:t xml:space="preserve"> des</w:t>
      </w:r>
      <w:r w:rsidR="00794C73">
        <w:t xml:space="preserve"> patients d</w:t>
      </w:r>
      <w:r>
        <w:t xml:space="preserve">ans chaque groupe </w:t>
      </w:r>
      <w:r w:rsidR="00AB1EE5">
        <w:t>étaient guéris.</w:t>
      </w:r>
    </w:p>
    <w:p w14:paraId="6215D582" w14:textId="77777777" w:rsidR="00BF0118" w:rsidRDefault="00BF0118" w:rsidP="00EA358D">
      <w:pPr>
        <w:pStyle w:val="Corpsdetexte"/>
        <w:spacing w:before="8"/>
        <w:jc w:val="both"/>
      </w:pPr>
    </w:p>
    <w:tbl>
      <w:tblPr>
        <w:tblStyle w:val="Grilledutableau"/>
        <w:tblW w:w="8784" w:type="dxa"/>
        <w:tblLook w:val="04A0" w:firstRow="1" w:lastRow="0" w:firstColumn="1" w:lastColumn="0" w:noHBand="0" w:noVBand="1"/>
      </w:tblPr>
      <w:tblGrid>
        <w:gridCol w:w="2122"/>
        <w:gridCol w:w="3402"/>
        <w:gridCol w:w="3260"/>
      </w:tblGrid>
      <w:tr w:rsidR="00BF0118" w14:paraId="1B07814E" w14:textId="77777777" w:rsidTr="00694C66">
        <w:tc>
          <w:tcPr>
            <w:tcW w:w="2122" w:type="dxa"/>
          </w:tcPr>
          <w:p w14:paraId="7AACCD11" w14:textId="77777777" w:rsidR="00BF0118" w:rsidRDefault="00BF0118" w:rsidP="00EA358D">
            <w:pPr>
              <w:pStyle w:val="Corpsdetexte"/>
              <w:spacing w:before="8"/>
              <w:jc w:val="both"/>
            </w:pPr>
          </w:p>
        </w:tc>
        <w:tc>
          <w:tcPr>
            <w:tcW w:w="3402" w:type="dxa"/>
          </w:tcPr>
          <w:p w14:paraId="52440B26" w14:textId="77777777" w:rsidR="00BF0118" w:rsidRDefault="00BF0118" w:rsidP="00EA358D">
            <w:pPr>
              <w:pStyle w:val="Corpsdetexte"/>
              <w:spacing w:before="8"/>
              <w:jc w:val="center"/>
            </w:pPr>
            <w:r>
              <w:t>Itraconazole</w:t>
            </w:r>
          </w:p>
          <w:p w14:paraId="176C81F4" w14:textId="77777777" w:rsidR="00BF0118" w:rsidRDefault="00BF0118" w:rsidP="00EA358D">
            <w:pPr>
              <w:pStyle w:val="Corpsdetexte"/>
              <w:spacing w:before="8"/>
              <w:jc w:val="center"/>
            </w:pPr>
            <w:r>
              <w:t>N=18</w:t>
            </w:r>
          </w:p>
        </w:tc>
        <w:tc>
          <w:tcPr>
            <w:tcW w:w="3260" w:type="dxa"/>
          </w:tcPr>
          <w:p w14:paraId="38C23C9E" w14:textId="77777777" w:rsidR="00BF0118" w:rsidRDefault="00BF0118" w:rsidP="00EA358D">
            <w:pPr>
              <w:pStyle w:val="Corpsdetexte"/>
              <w:spacing w:before="8"/>
              <w:jc w:val="center"/>
            </w:pPr>
            <w:r>
              <w:t>Griséofulvine</w:t>
            </w:r>
          </w:p>
          <w:p w14:paraId="0E9C3E1C" w14:textId="77777777" w:rsidR="00BF0118" w:rsidRDefault="00BF0118" w:rsidP="00EA358D">
            <w:pPr>
              <w:pStyle w:val="Corpsdetexte"/>
              <w:spacing w:before="8"/>
              <w:jc w:val="center"/>
            </w:pPr>
            <w:r>
              <w:t>N=17</w:t>
            </w:r>
          </w:p>
        </w:tc>
      </w:tr>
      <w:tr w:rsidR="00BF0118" w14:paraId="01061CDD" w14:textId="77777777" w:rsidTr="00694C66">
        <w:tc>
          <w:tcPr>
            <w:tcW w:w="2122" w:type="dxa"/>
            <w:tcBorders>
              <w:bottom w:val="nil"/>
            </w:tcBorders>
          </w:tcPr>
          <w:p w14:paraId="09F84B9B" w14:textId="77777777" w:rsidR="00BF0118" w:rsidRDefault="00BF0118" w:rsidP="00EA358D">
            <w:pPr>
              <w:pStyle w:val="Corpsdetexte"/>
              <w:spacing w:before="8"/>
              <w:jc w:val="both"/>
            </w:pPr>
            <w:r>
              <w:t>Après 6 semaines de traitement</w:t>
            </w:r>
          </w:p>
        </w:tc>
        <w:tc>
          <w:tcPr>
            <w:tcW w:w="3402" w:type="dxa"/>
            <w:tcBorders>
              <w:bottom w:val="nil"/>
            </w:tcBorders>
          </w:tcPr>
          <w:p w14:paraId="15792A9D" w14:textId="77777777" w:rsidR="00BF0118" w:rsidRDefault="00837D15" w:rsidP="00EA358D">
            <w:pPr>
              <w:pStyle w:val="Corpsdetexte"/>
              <w:spacing w:before="8"/>
              <w:jc w:val="both"/>
            </w:pPr>
            <w:r>
              <w:t>6/17 cultures négatives</w:t>
            </w:r>
          </w:p>
        </w:tc>
        <w:tc>
          <w:tcPr>
            <w:tcW w:w="3260" w:type="dxa"/>
            <w:tcBorders>
              <w:bottom w:val="nil"/>
            </w:tcBorders>
          </w:tcPr>
          <w:p w14:paraId="64649071" w14:textId="77777777" w:rsidR="00BF0118" w:rsidRDefault="00837D15" w:rsidP="00EA358D">
            <w:pPr>
              <w:pStyle w:val="Corpsdetexte"/>
              <w:spacing w:before="8"/>
              <w:jc w:val="both"/>
            </w:pPr>
            <w:r>
              <w:t>8/15 cultures négatives</w:t>
            </w:r>
          </w:p>
        </w:tc>
      </w:tr>
      <w:tr w:rsidR="00837D15" w14:paraId="39D6BFC2" w14:textId="77777777" w:rsidTr="00694C66">
        <w:tc>
          <w:tcPr>
            <w:tcW w:w="2122" w:type="dxa"/>
            <w:tcBorders>
              <w:top w:val="nil"/>
            </w:tcBorders>
          </w:tcPr>
          <w:p w14:paraId="628E0DA5" w14:textId="77777777" w:rsidR="00837D15" w:rsidRDefault="00837D15" w:rsidP="00EA358D">
            <w:pPr>
              <w:pStyle w:val="Corpsdetexte"/>
              <w:spacing w:before="8"/>
              <w:jc w:val="both"/>
            </w:pPr>
          </w:p>
        </w:tc>
        <w:tc>
          <w:tcPr>
            <w:tcW w:w="6662" w:type="dxa"/>
            <w:gridSpan w:val="2"/>
            <w:tcBorders>
              <w:top w:val="nil"/>
            </w:tcBorders>
          </w:tcPr>
          <w:p w14:paraId="7EAE5818" w14:textId="77777777" w:rsidR="00837D15" w:rsidRDefault="00837D15" w:rsidP="00EA358D">
            <w:pPr>
              <w:pStyle w:val="Corpsdetexte"/>
              <w:spacing w:before="8"/>
              <w:jc w:val="center"/>
            </w:pPr>
            <w:r>
              <w:t>microscopie négative chez 11 patients</w:t>
            </w:r>
          </w:p>
          <w:p w14:paraId="01767E45" w14:textId="77777777" w:rsidR="00837D15" w:rsidRDefault="00837D15" w:rsidP="00EA358D">
            <w:pPr>
              <w:pStyle w:val="Corpsdetexte"/>
              <w:spacing w:before="8"/>
              <w:jc w:val="center"/>
            </w:pPr>
          </w:p>
        </w:tc>
      </w:tr>
      <w:tr w:rsidR="00BF0118" w14:paraId="42068B15" w14:textId="77777777" w:rsidTr="00694C66">
        <w:tc>
          <w:tcPr>
            <w:tcW w:w="2122" w:type="dxa"/>
          </w:tcPr>
          <w:p w14:paraId="7E875322" w14:textId="77777777" w:rsidR="00BF0118" w:rsidRDefault="00BF0118" w:rsidP="00EA358D">
            <w:pPr>
              <w:pStyle w:val="Corpsdetexte"/>
              <w:spacing w:before="8"/>
              <w:jc w:val="both"/>
            </w:pPr>
            <w:r>
              <w:lastRenderedPageBreak/>
              <w:t>8 semaines après la fin du traitement</w:t>
            </w:r>
          </w:p>
        </w:tc>
        <w:tc>
          <w:tcPr>
            <w:tcW w:w="3402" w:type="dxa"/>
          </w:tcPr>
          <w:p w14:paraId="288D4CF8" w14:textId="77777777" w:rsidR="00C23B25" w:rsidRDefault="00C23B25" w:rsidP="00EA358D">
            <w:pPr>
              <w:pStyle w:val="Corpsdetexte"/>
              <w:spacing w:before="8"/>
              <w:jc w:val="both"/>
            </w:pPr>
            <w:r>
              <w:t>13 cultures négatives</w:t>
            </w:r>
          </w:p>
          <w:p w14:paraId="4FCE8542" w14:textId="77777777" w:rsidR="00837D15" w:rsidRDefault="00837D15" w:rsidP="00EA358D">
            <w:pPr>
              <w:pStyle w:val="Corpsdetexte"/>
              <w:spacing w:before="8"/>
              <w:jc w:val="both"/>
            </w:pPr>
            <w:r>
              <w:t>microscopie négative chez 16 patients</w:t>
            </w:r>
          </w:p>
        </w:tc>
        <w:tc>
          <w:tcPr>
            <w:tcW w:w="3260" w:type="dxa"/>
          </w:tcPr>
          <w:p w14:paraId="40DB1389" w14:textId="77777777" w:rsidR="00BF0118" w:rsidRDefault="00C23B25" w:rsidP="00EA358D">
            <w:pPr>
              <w:pStyle w:val="Corpsdetexte"/>
              <w:spacing w:before="8"/>
              <w:jc w:val="both"/>
            </w:pPr>
            <w:r>
              <w:t>11 cultures négatives</w:t>
            </w:r>
          </w:p>
          <w:p w14:paraId="2F895174" w14:textId="77777777" w:rsidR="00837D15" w:rsidRDefault="00837D15" w:rsidP="00EA358D">
            <w:pPr>
              <w:pStyle w:val="Corpsdetexte"/>
              <w:spacing w:before="8"/>
              <w:jc w:val="both"/>
            </w:pPr>
            <w:r>
              <w:t>microscopie négative chez 12 patients</w:t>
            </w:r>
          </w:p>
        </w:tc>
      </w:tr>
    </w:tbl>
    <w:p w14:paraId="10128A76" w14:textId="77777777" w:rsidR="00BF0118" w:rsidRDefault="00BF0118" w:rsidP="00EA358D">
      <w:pPr>
        <w:pStyle w:val="Corpsdetexte"/>
        <w:spacing w:before="8"/>
        <w:jc w:val="both"/>
      </w:pPr>
    </w:p>
    <w:p w14:paraId="32567E93" w14:textId="77777777" w:rsidR="00794C73" w:rsidRDefault="00F23C31" w:rsidP="00EA358D">
      <w:pPr>
        <w:pStyle w:val="Corpsdetexte"/>
        <w:spacing w:before="8"/>
        <w:jc w:val="both"/>
      </w:pPr>
      <w:r>
        <w:t xml:space="preserve">Il est à noter que dans les 2 groupes, quelques patients qui étaient cliniquement guéris avec une microscopie négative, présentaient encore quelques colonies en culture. Ceci pourrait indiquer que des enfants bien que guéris de la teigne sur les plans clinique et microscopique, soient des porteurs asymptomatiques du dermatophyte </w:t>
      </w:r>
      <w:r w:rsidRPr="00F23C31">
        <w:rPr>
          <w:i/>
        </w:rPr>
        <w:t>Microsporum</w:t>
      </w:r>
      <w:r>
        <w:t xml:space="preserve"> ou </w:t>
      </w:r>
      <w:r w:rsidRPr="00F23C31">
        <w:rPr>
          <w:i/>
        </w:rPr>
        <w:t>Trichophyton</w:t>
      </w:r>
      <w:r>
        <w:t>.</w:t>
      </w:r>
    </w:p>
    <w:p w14:paraId="3B429F99" w14:textId="77777777" w:rsidR="004219F9" w:rsidRDefault="004219F9" w:rsidP="00EA358D">
      <w:pPr>
        <w:pStyle w:val="Corpsdetexte"/>
        <w:spacing w:before="8"/>
        <w:jc w:val="both"/>
      </w:pPr>
    </w:p>
    <w:p w14:paraId="05F19464" w14:textId="77777777" w:rsidR="004219F9" w:rsidRDefault="004219F9" w:rsidP="00EA358D">
      <w:pPr>
        <w:pStyle w:val="Corpsdetexte"/>
        <w:spacing w:before="8"/>
        <w:jc w:val="both"/>
      </w:pPr>
      <w:r>
        <w:t>En termes de tolérance, 2 patients ont présenté des vomissements dans le groupe griséofulvine et aucun effet indésirable n’a été rapporté dans le groupe itracona</w:t>
      </w:r>
      <w:r w:rsidR="003C34D5">
        <w:t xml:space="preserve">zole pour cet échantillon </w:t>
      </w:r>
      <w:r w:rsidR="00BB3554">
        <w:t>de 34</w:t>
      </w:r>
      <w:r w:rsidR="003C34D5">
        <w:t xml:space="preserve"> </w:t>
      </w:r>
      <w:r w:rsidR="00BB3554">
        <w:t>enfants</w:t>
      </w:r>
      <w:r w:rsidR="003C34D5">
        <w:t>.</w:t>
      </w:r>
    </w:p>
    <w:p w14:paraId="1FD671B5" w14:textId="77777777" w:rsidR="003D6E74" w:rsidRDefault="003D6E74" w:rsidP="00EA358D">
      <w:pPr>
        <w:pStyle w:val="Corpsdetexte"/>
        <w:spacing w:before="8"/>
        <w:jc w:val="both"/>
      </w:pPr>
    </w:p>
    <w:p w14:paraId="00D4FB22" w14:textId="77777777" w:rsidR="003D6E74" w:rsidRDefault="003D6E74" w:rsidP="00EA358D">
      <w:pPr>
        <w:pStyle w:val="Corpsdetexte"/>
        <w:spacing w:before="8"/>
        <w:jc w:val="both"/>
      </w:pPr>
      <w:r>
        <w:t xml:space="preserve">Les auteurs concluent à une efficacité de même ordre de grandeur entre l’itraconazole et la griséofulvine pour traiter la teigne </w:t>
      </w:r>
      <w:r w:rsidR="00682F90">
        <w:t xml:space="preserve">ici due en majorité à </w:t>
      </w:r>
      <w:r w:rsidR="00682F90" w:rsidRPr="00682F90">
        <w:rPr>
          <w:i/>
        </w:rPr>
        <w:t>Microsporum canis</w:t>
      </w:r>
      <w:r>
        <w:t>.</w:t>
      </w:r>
    </w:p>
    <w:p w14:paraId="05B2FAAE" w14:textId="77777777" w:rsidR="00816E68" w:rsidRDefault="00816E68" w:rsidP="00EA358D">
      <w:pPr>
        <w:pStyle w:val="Corpsdetexte"/>
        <w:spacing w:before="8"/>
        <w:jc w:val="both"/>
      </w:pPr>
    </w:p>
    <w:p w14:paraId="3E47A8F3" w14:textId="77777777" w:rsidR="005836A4" w:rsidRDefault="005836A4" w:rsidP="00EA358D">
      <w:pPr>
        <w:pStyle w:val="Corpsdetexte"/>
        <w:spacing w:before="8"/>
        <w:jc w:val="both"/>
      </w:pPr>
    </w:p>
    <w:p w14:paraId="5E29390A" w14:textId="77777777" w:rsidR="00793394" w:rsidRDefault="00AB1EE5" w:rsidP="00EA358D">
      <w:pPr>
        <w:pStyle w:val="Corpsdetexte"/>
        <w:numPr>
          <w:ilvl w:val="0"/>
          <w:numId w:val="5"/>
        </w:numPr>
        <w:spacing w:before="8"/>
        <w:jc w:val="both"/>
      </w:pPr>
      <w:r>
        <w:t>Ginter-Hanselmayer</w:t>
      </w:r>
      <w:r w:rsidR="00816E68" w:rsidRPr="00816E68">
        <w:t xml:space="preserve"> et al</w:t>
      </w:r>
      <w:r w:rsidR="00793394">
        <w:t>,</w:t>
      </w:r>
      <w:r w:rsidR="00816E68" w:rsidRPr="00816E68">
        <w:t xml:space="preserve"> 20</w:t>
      </w:r>
      <w:r w:rsidR="000D5EDD">
        <w:t>0</w:t>
      </w:r>
      <w:r>
        <w:t>4</w:t>
      </w:r>
      <w:r w:rsidR="00816E68" w:rsidRPr="00816E68">
        <w:t xml:space="preserve"> </w:t>
      </w:r>
      <w:r w:rsidR="00EE4FC1">
        <w:t>[</w:t>
      </w:r>
      <w:r w:rsidR="00592DE4">
        <w:t>2</w:t>
      </w:r>
      <w:r w:rsidR="00EE4FC1">
        <w:t>]</w:t>
      </w:r>
    </w:p>
    <w:p w14:paraId="6E7E2F83" w14:textId="77777777" w:rsidR="00AA0B42" w:rsidRDefault="00AA0B42" w:rsidP="00EA358D">
      <w:pPr>
        <w:pStyle w:val="Corpsdetexte"/>
        <w:spacing w:before="8"/>
        <w:jc w:val="both"/>
      </w:pPr>
    </w:p>
    <w:p w14:paraId="79F1B098" w14:textId="77777777" w:rsidR="00793394" w:rsidRDefault="00AA0B42" w:rsidP="00EA358D">
      <w:pPr>
        <w:pStyle w:val="Corpsdetexte"/>
        <w:spacing w:before="8"/>
        <w:jc w:val="both"/>
      </w:pPr>
      <w:r>
        <w:t xml:space="preserve">Une étude prospective, non randomisée en ouvert </w:t>
      </w:r>
      <w:r w:rsidR="00966BD7">
        <w:t>a inclus 163 enfants de 1 à 12,5 ans atteint</w:t>
      </w:r>
      <w:r w:rsidR="00453509">
        <w:t>s</w:t>
      </w:r>
      <w:r w:rsidR="00966BD7">
        <w:t xml:space="preserve"> de teigne</w:t>
      </w:r>
      <w:r w:rsidR="00CB1413">
        <w:t xml:space="preserve"> due à </w:t>
      </w:r>
      <w:r w:rsidR="00CB1413" w:rsidRPr="00ED7BF9">
        <w:rPr>
          <w:i/>
        </w:rPr>
        <w:t>Microsporu</w:t>
      </w:r>
      <w:r w:rsidR="00990AFA" w:rsidRPr="00ED7BF9">
        <w:rPr>
          <w:i/>
        </w:rPr>
        <w:t>m</w:t>
      </w:r>
      <w:r w:rsidR="00CB1413" w:rsidRPr="00ED7BF9">
        <w:rPr>
          <w:i/>
        </w:rPr>
        <w:t xml:space="preserve"> canis</w:t>
      </w:r>
      <w:r w:rsidR="00CB1413">
        <w:t>, la forme la plus récalcitrante à traiter</w:t>
      </w:r>
      <w:r w:rsidR="00966BD7">
        <w:t xml:space="preserve">. Ils ont été traités </w:t>
      </w:r>
      <w:r w:rsidR="00453509">
        <w:t>par 5 mg/kg/jour d’itraconazole</w:t>
      </w:r>
      <w:r w:rsidR="00966BD7">
        <w:t xml:space="preserve"> en gélule ou solution buvable jusqu’à ce que les signes d’inflammation régressent et que la microscopie et la culture mycologique soient négatives sur une période maximale de 12 semaines avec un examen clinique et mycologique toutes les 2 semaines.</w:t>
      </w:r>
    </w:p>
    <w:p w14:paraId="4810A8BC" w14:textId="77777777" w:rsidR="00C242FC" w:rsidRDefault="00C242FC" w:rsidP="00EA358D">
      <w:pPr>
        <w:pStyle w:val="Corpsdetexte"/>
        <w:spacing w:before="8"/>
        <w:jc w:val="both"/>
      </w:pPr>
    </w:p>
    <w:p w14:paraId="42261554" w14:textId="77777777" w:rsidR="0001131C" w:rsidRDefault="0001131C" w:rsidP="00EA358D">
      <w:pPr>
        <w:pStyle w:val="Corpsdetexte"/>
        <w:spacing w:before="8"/>
        <w:jc w:val="both"/>
      </w:pPr>
      <w:r>
        <w:t xml:space="preserve">Les lésions ont </w:t>
      </w:r>
      <w:r w:rsidR="00453509" w:rsidRPr="00453509">
        <w:t>disparu cliniquement et mycologiquement</w:t>
      </w:r>
      <w:r w:rsidR="00453509">
        <w:t xml:space="preserve"> après une période moyenne de 39±12 jours (intervalle de 2 à 10 semaines). Le taux de guérison était de 36% après 4 semaines et 88% après 6 semaines.</w:t>
      </w:r>
    </w:p>
    <w:p w14:paraId="4A0D19F9" w14:textId="77777777" w:rsidR="0001131C" w:rsidRDefault="00453509" w:rsidP="00EA358D">
      <w:pPr>
        <w:pStyle w:val="Corpsdetexte"/>
        <w:spacing w:before="8"/>
        <w:jc w:val="both"/>
      </w:pPr>
      <w:r>
        <w:t xml:space="preserve">Douze semaines après la fin du traitement, tous les patients étaient cliniquement </w:t>
      </w:r>
      <w:r w:rsidR="001E4259">
        <w:t xml:space="preserve">guéris avec des tests </w:t>
      </w:r>
      <w:r>
        <w:t>mycologique</w:t>
      </w:r>
      <w:r w:rsidR="001E4259">
        <w:t>s négatifs (</w:t>
      </w:r>
      <w:r w:rsidR="001E4259" w:rsidRPr="001E4259">
        <w:t>en microscopie optique</w:t>
      </w:r>
      <w:r w:rsidR="001E4259">
        <w:t xml:space="preserve"> et en culture).</w:t>
      </w:r>
    </w:p>
    <w:p w14:paraId="73AA32DB" w14:textId="77777777" w:rsidR="001E4259" w:rsidRDefault="001E4259" w:rsidP="00EA358D">
      <w:pPr>
        <w:pStyle w:val="Corpsdetexte"/>
        <w:spacing w:before="8"/>
        <w:jc w:val="both"/>
      </w:pPr>
      <w:r>
        <w:t>Il n’y avait pas de différence de taux de guérison entre les patients traités par gélule ou solution buvable.</w:t>
      </w:r>
    </w:p>
    <w:p w14:paraId="636DEDBF" w14:textId="77777777" w:rsidR="001E4259" w:rsidRDefault="001E4259" w:rsidP="00EA358D">
      <w:pPr>
        <w:pStyle w:val="Corpsdetexte"/>
        <w:spacing w:before="8"/>
        <w:jc w:val="both"/>
      </w:pPr>
    </w:p>
    <w:p w14:paraId="0B46B1B3" w14:textId="77777777" w:rsidR="001E4259" w:rsidRDefault="00316AB9" w:rsidP="00EA358D">
      <w:pPr>
        <w:pStyle w:val="Corpsdetexte"/>
        <w:spacing w:before="8"/>
        <w:jc w:val="both"/>
      </w:pPr>
      <w:r>
        <w:t xml:space="preserve">Des effets indésirables ont été observés chez 11/163 enfants (6,7%). Trois enfants ont présenté des diarrhées d’intensité légère en début de traitement, résolues au cours du traitement. Chez 2 enfants, des diarrhées d’intensité modérée ont conduit à l’arrêt du traitement. </w:t>
      </w:r>
      <w:r w:rsidR="009C0890">
        <w:t>Il est à noter que t</w:t>
      </w:r>
      <w:r>
        <w:t>ous les enfants avec diarrhées recevaient la solution buvable.</w:t>
      </w:r>
    </w:p>
    <w:p w14:paraId="321BD66D" w14:textId="77777777" w:rsidR="009C0890" w:rsidRDefault="009C0890" w:rsidP="00EA358D">
      <w:pPr>
        <w:pStyle w:val="Corpsdetexte"/>
        <w:spacing w:before="8"/>
        <w:jc w:val="both"/>
      </w:pPr>
      <w:r>
        <w:t>Quatre enfants ont présenté des lésions cutanées au cours du traitement itraconazole à différents temps du traitement (2 enfants à J2, 1 enfant à J10 et 1 à J20). Ces lésions étaient accompagnées de prurit sur les extrémités du corps et aussi sur le visage et le tronc.</w:t>
      </w:r>
    </w:p>
    <w:p w14:paraId="70FDE87D" w14:textId="77777777" w:rsidR="00CB1413" w:rsidRDefault="00CB1413" w:rsidP="00EA358D">
      <w:pPr>
        <w:pStyle w:val="Corpsdetexte"/>
        <w:spacing w:before="8"/>
        <w:jc w:val="both"/>
      </w:pPr>
    </w:p>
    <w:p w14:paraId="57CCFBE5" w14:textId="77777777" w:rsidR="00CB1413" w:rsidRDefault="00A87D45" w:rsidP="00EA358D">
      <w:pPr>
        <w:pStyle w:val="Corpsdetexte"/>
        <w:spacing w:before="8"/>
        <w:jc w:val="both"/>
      </w:pPr>
      <w:r>
        <w:t>Les auteurs concluent que l</w:t>
      </w:r>
      <w:r w:rsidR="00295485">
        <w:t xml:space="preserve">’itraconazole apparaît comme un antifongique efficace et </w:t>
      </w:r>
      <w:r w:rsidR="00990AFA">
        <w:t xml:space="preserve">sûr pour le traitement de la teigne à </w:t>
      </w:r>
      <w:r w:rsidR="00990AFA" w:rsidRPr="00ED7BF9">
        <w:rPr>
          <w:i/>
        </w:rPr>
        <w:t>Microsporum canis</w:t>
      </w:r>
      <w:r w:rsidR="00990AFA">
        <w:t>.</w:t>
      </w:r>
    </w:p>
    <w:p w14:paraId="6DE85D06" w14:textId="77777777" w:rsidR="00F85637" w:rsidRDefault="00F85637" w:rsidP="00EA358D">
      <w:pPr>
        <w:pStyle w:val="Corpsdetexte"/>
        <w:spacing w:before="8"/>
        <w:jc w:val="both"/>
      </w:pPr>
    </w:p>
    <w:p w14:paraId="0645B169" w14:textId="77777777" w:rsidR="00CB1413" w:rsidRDefault="00CB1413" w:rsidP="00EA358D">
      <w:pPr>
        <w:pStyle w:val="Corpsdetexte"/>
        <w:spacing w:before="8"/>
        <w:jc w:val="both"/>
      </w:pPr>
    </w:p>
    <w:p w14:paraId="3AB3B0EF" w14:textId="77777777" w:rsidR="001409D7" w:rsidRPr="00592DE4" w:rsidRDefault="001409D7" w:rsidP="00EA358D">
      <w:pPr>
        <w:pStyle w:val="Style1"/>
        <w:ind w:right="0"/>
      </w:pPr>
      <w:r>
        <w:t>Recommandations européennes et revues systématiques</w:t>
      </w:r>
    </w:p>
    <w:p w14:paraId="1A97859C" w14:textId="77777777" w:rsidR="001409D7" w:rsidRDefault="001409D7" w:rsidP="00EA358D">
      <w:pPr>
        <w:pStyle w:val="Corpsdetexte"/>
        <w:spacing w:before="8"/>
      </w:pPr>
    </w:p>
    <w:p w14:paraId="41ED81C5" w14:textId="77777777" w:rsidR="003E0601" w:rsidRDefault="0027291D" w:rsidP="00EA358D">
      <w:pPr>
        <w:pStyle w:val="Corpsdetexte"/>
        <w:numPr>
          <w:ilvl w:val="0"/>
          <w:numId w:val="5"/>
        </w:numPr>
        <w:spacing w:before="8"/>
        <w:jc w:val="both"/>
      </w:pPr>
      <w:r>
        <w:t>Guideline européen - Kakourou</w:t>
      </w:r>
      <w:r w:rsidR="003E0601" w:rsidRPr="00816E68">
        <w:t xml:space="preserve"> et al</w:t>
      </w:r>
      <w:r>
        <w:t>, 2010</w:t>
      </w:r>
      <w:r w:rsidR="003E0601">
        <w:t xml:space="preserve"> </w:t>
      </w:r>
      <w:r w:rsidR="003E0601" w:rsidRPr="00F97D35">
        <w:t>[</w:t>
      </w:r>
      <w:r w:rsidR="003E0601">
        <w:t>3</w:t>
      </w:r>
      <w:r w:rsidR="003E0601" w:rsidRPr="00816E68">
        <w:fldChar w:fldCharType="begin"/>
      </w:r>
      <w:r w:rsidR="003E0601" w:rsidRPr="00816E68">
        <w:instrText xml:space="preserve"> ADDIN ZOTERO_ITEM CSL_CITATION {"citationID":"ugmpmSE1","properties":{"formattedCitation":"[59]","plainCitation":"[59]","noteIndex":0},"citationItems":[{"id":1579,"uris":["http://zotero.org/users/2826560/items/8UHZ7X3U"],"uri":["http://zotero.org/users/2826560/items/8UHZ7X3U"],"itemData":{"id":1579,"type":"article-journal","abstract":"BACKGROUND: The treatment of vitiligo is still one of the most difficult dermatological challenges, although there are many therapeutic options. Narrow band ultraviolet B (NB-UVB) phototherapy is considered to be a very important modality for generalized vitiligo.\nOBJECTIVE: The aim of this study was to explore whether a combination of NB-UVB and topical agents would be superior to NB-UVB alone for treating vitiligo.\nMETHODS: We searched the electronic databases such as PUBMED, EMBASE, Cochrane Library, and Web of Science. The primary outcome was the proportion of ≥50% repigmentation (a clinical significance), and secondary outcome was the proportion of ≥75% repigmentation (an excellent response).\nRESULTS: Seven randomized controlled trials (RCTs) involving 240 patients (413 lesions) were included in this meta-analysis. The study showed no significant difference between NB-UVB combination therapy (NB-UVB and topical calcineurin inhibitor or vitamin D analogs) and NB-UVB monotherapy in the outcomes of ≥50% repigmentation and ≥75% repigmentation. However, lesions located on the face and neck had better results in ≥50% repigmentation (RR = 1.40, 95% CI 1.08-1.81) and ≥75% repigmentation (RR = 1.88, 95% CI 1.10-3.20) with NB-UVB and topical calcineurin inhibitor combination therapy vs. NB-UVB monotherapy.\nCONCLUSIONS: The meta-analysis suggested that adding neither topical calcineurin inhibitors nor topical vitamin-D3 analogs on NB-UVB can yield significantly superior outcomes than NB-UVB monotherapy for treatment of vitiligo. However, addition of topical calcineurin inhibitors to NB-UVB may increase treatment outcomes in vitiligo affecting face and neck.","container-title":"Photodermatology, Photoimmunology &amp; Photomedicine","DOI":"10.1111/phpp.12277","ISSN":"1600-0781","issue":"1","journalAbbreviation":"Photodermatol Photoimmunol Photomed","language":"eng","note":"PMID: 27696531","page":"22-31","source":"PubMed","title":"Effect of narrow band ultraviolet B phototherapy as monotherapy or combination therapy for vitiligo: a meta-analysis","title-short":"Effect of narrow band ultraviolet B phototherapy as monotherapy or combination therapy for vitiligo","volume":"33","author":[{"family":"Li","given":"Ronghua"},{"family":"Qiao","given":"Meng"},{"family":"Wang","given":"Xiaoyan"},{"family":"Zhao","given":"Xintong"},{"family":"Sun","given":"Qing"}],"issued":{"date-parts":[["2017",1]]}}}],"schema":"https://github.com/citation-style-language/schema/raw/master/csl-citation.json"} </w:instrText>
      </w:r>
      <w:r w:rsidR="003E0601" w:rsidRPr="00816E68">
        <w:fldChar w:fldCharType="separate"/>
      </w:r>
      <w:r w:rsidR="003E0601" w:rsidRPr="00816E68">
        <w:t>]</w:t>
      </w:r>
      <w:r w:rsidR="003E0601" w:rsidRPr="00816E68">
        <w:fldChar w:fldCharType="end"/>
      </w:r>
    </w:p>
    <w:p w14:paraId="4F984313" w14:textId="77777777" w:rsidR="003E0601" w:rsidRDefault="003E0601" w:rsidP="00EA358D">
      <w:pPr>
        <w:pStyle w:val="Corpsdetexte"/>
        <w:spacing w:before="8"/>
        <w:jc w:val="both"/>
      </w:pPr>
    </w:p>
    <w:p w14:paraId="1F5207F2" w14:textId="77777777" w:rsidR="0027291D" w:rsidRDefault="00C7142B" w:rsidP="00EA358D">
      <w:pPr>
        <w:pStyle w:val="Corpsdetexte"/>
        <w:spacing w:before="8"/>
        <w:jc w:val="both"/>
      </w:pPr>
      <w:r>
        <w:t xml:space="preserve">Il est rappelé que Tinea capitis, la teigne est une infection </w:t>
      </w:r>
      <w:r w:rsidR="001C688B">
        <w:t xml:space="preserve">à </w:t>
      </w:r>
      <w:r w:rsidRPr="004151F2">
        <w:t>dermatophyte</w:t>
      </w:r>
      <w:r>
        <w:t xml:space="preserve"> des follicules du cuir chevelu et de </w:t>
      </w:r>
      <w:r w:rsidRPr="00C7142B">
        <w:t xml:space="preserve">la peau adjacente, principalement causée par des espèces anthropophiles et zoophiles des genres Trichophyton et </w:t>
      </w:r>
      <w:r w:rsidRPr="00ED7BF9">
        <w:rPr>
          <w:i/>
        </w:rPr>
        <w:t>Microsporum</w:t>
      </w:r>
      <w:r w:rsidRPr="00C7142B">
        <w:t>.</w:t>
      </w:r>
    </w:p>
    <w:p w14:paraId="290792CD" w14:textId="77777777" w:rsidR="0027291D" w:rsidRDefault="00C7142B" w:rsidP="00EA358D">
      <w:pPr>
        <w:pStyle w:val="Corpsdetexte"/>
        <w:spacing w:before="8"/>
        <w:jc w:val="both"/>
      </w:pPr>
      <w:r w:rsidRPr="004151F2">
        <w:t>Bien qu'il y ait une</w:t>
      </w:r>
      <w:r w:rsidRPr="00C7142B">
        <w:t xml:space="preserve"> augmentation globale du nombre d'infections anthropophi</w:t>
      </w:r>
      <w:r w:rsidR="00ED7BF9">
        <w:t xml:space="preserve">les du cuir chevelu en Europe, </w:t>
      </w:r>
      <w:r w:rsidRPr="00ED7BF9">
        <w:rPr>
          <w:i/>
        </w:rPr>
        <w:t>Microsporum canis</w:t>
      </w:r>
      <w:r w:rsidRPr="00C7142B">
        <w:t xml:space="preserve"> reste l'organisme prédominant avec l'incidence la plus élevée dans les pays méditerran</w:t>
      </w:r>
      <w:r w:rsidR="00D24544">
        <w:t>éens et leurs pays limitrophes.</w:t>
      </w:r>
    </w:p>
    <w:p w14:paraId="22978BAE" w14:textId="77777777" w:rsidR="00CB1413" w:rsidRDefault="00CB1413" w:rsidP="00EA358D">
      <w:pPr>
        <w:pStyle w:val="Corpsdetexte"/>
        <w:spacing w:before="8"/>
        <w:jc w:val="both"/>
      </w:pPr>
    </w:p>
    <w:p w14:paraId="2AD65772" w14:textId="77777777" w:rsidR="00CB1413" w:rsidRDefault="00CB1413" w:rsidP="00EA358D">
      <w:pPr>
        <w:pStyle w:val="Corpsdetexte"/>
        <w:spacing w:before="8"/>
        <w:jc w:val="both"/>
      </w:pPr>
      <w:r>
        <w:t>Un traitement systémique est nécessaire pour traiter la teigne car les traitements topiques ne pénètrent pas dans le follicule pileux. Les traitements topiques pourront contribuer au traitement à titre d’adjuvant.</w:t>
      </w:r>
    </w:p>
    <w:p w14:paraId="7BE583F5" w14:textId="77777777" w:rsidR="00CB1413" w:rsidRDefault="00CB1413" w:rsidP="00EA358D">
      <w:pPr>
        <w:pStyle w:val="Corpsdetexte"/>
        <w:spacing w:before="8"/>
        <w:jc w:val="both"/>
      </w:pPr>
    </w:p>
    <w:p w14:paraId="2F043C26" w14:textId="77777777" w:rsidR="00CF6FCE" w:rsidRDefault="00A87D45" w:rsidP="00EA358D">
      <w:pPr>
        <w:pStyle w:val="Corpsdetexte"/>
        <w:spacing w:before="8"/>
        <w:jc w:val="both"/>
      </w:pPr>
      <w:r>
        <w:t>L’itraconazole, ainsi que l</w:t>
      </w:r>
      <w:r w:rsidR="00036830">
        <w:t>a terbinafine</w:t>
      </w:r>
      <w:r w:rsidR="00CF6FCE">
        <w:t xml:space="preserve"> et le fluconazole permettent d’obtenir des taux d’efficacité similaire à celui de la griséofulvine chez l’enfant pour</w:t>
      </w:r>
      <w:r>
        <w:t xml:space="preserve"> traiter</w:t>
      </w:r>
      <w:r w:rsidR="00CF6FCE">
        <w:t xml:space="preserve"> les teignes dues au </w:t>
      </w:r>
      <w:r w:rsidR="00CF6FCE" w:rsidRPr="00ED7BF9">
        <w:rPr>
          <w:i/>
        </w:rPr>
        <w:t>Trichophyton</w:t>
      </w:r>
      <w:r w:rsidR="00ED7BF9">
        <w:t xml:space="preserve"> (grade A, 1b)</w:t>
      </w:r>
      <w:r w:rsidR="00CF6FCE">
        <w:t>.</w:t>
      </w:r>
    </w:p>
    <w:p w14:paraId="5084583E" w14:textId="00C7BF17" w:rsidR="00CB1413" w:rsidRDefault="00A87D45" w:rsidP="00EA358D">
      <w:pPr>
        <w:pStyle w:val="Corpsdetexte"/>
        <w:spacing w:before="8"/>
        <w:jc w:val="both"/>
      </w:pPr>
      <w:r>
        <w:t>De même, l’itraconazole et le fluconazole ont montré des taux correspondant à celui de la griséofulvine p</w:t>
      </w:r>
      <w:r w:rsidR="00CF6FCE">
        <w:t xml:space="preserve">our </w:t>
      </w:r>
      <w:r>
        <w:t xml:space="preserve">traiter les teignes dues au </w:t>
      </w:r>
      <w:r w:rsidR="00CF6FCE" w:rsidRPr="00ED7BF9">
        <w:rPr>
          <w:i/>
        </w:rPr>
        <w:t>Microsporum</w:t>
      </w:r>
      <w:r w:rsidR="0090562C">
        <w:t>.</w:t>
      </w:r>
    </w:p>
    <w:p w14:paraId="003A2595" w14:textId="77777777" w:rsidR="00CB1413" w:rsidRDefault="00CB1413" w:rsidP="00EA358D">
      <w:pPr>
        <w:pStyle w:val="Corpsdetexte"/>
        <w:spacing w:before="8"/>
        <w:jc w:val="both"/>
      </w:pPr>
      <w:r>
        <w:t xml:space="preserve"> </w:t>
      </w:r>
    </w:p>
    <w:p w14:paraId="51C07D8D" w14:textId="77777777" w:rsidR="0027291D" w:rsidRDefault="0027291D" w:rsidP="00EA358D">
      <w:pPr>
        <w:pStyle w:val="Corpsdetexte"/>
        <w:spacing w:before="8"/>
        <w:jc w:val="both"/>
      </w:pPr>
    </w:p>
    <w:p w14:paraId="609D5B72" w14:textId="77777777" w:rsidR="0027291D" w:rsidRDefault="0027291D" w:rsidP="00EA358D">
      <w:pPr>
        <w:pStyle w:val="Corpsdetexte"/>
        <w:numPr>
          <w:ilvl w:val="0"/>
          <w:numId w:val="5"/>
        </w:numPr>
        <w:spacing w:before="8"/>
        <w:jc w:val="both"/>
      </w:pPr>
      <w:r>
        <w:t>Revue Cochrane de Chen</w:t>
      </w:r>
      <w:r w:rsidRPr="00816E68">
        <w:t xml:space="preserve"> et al</w:t>
      </w:r>
      <w:r>
        <w:t xml:space="preserve">, 2016 </w:t>
      </w:r>
      <w:r w:rsidRPr="00F97D35">
        <w:t>[</w:t>
      </w:r>
      <w:r w:rsidR="001409D7">
        <w:t>4</w:t>
      </w:r>
      <w:r w:rsidRPr="00816E68">
        <w:fldChar w:fldCharType="begin"/>
      </w:r>
      <w:r w:rsidRPr="00816E68">
        <w:instrText xml:space="preserve"> ADDIN ZOTERO_ITEM CSL_CITATION {"citationID":"ugmpmSE1","properties":{"formattedCitation":"[59]","plainCitation":"[59]","noteIndex":0},"citationItems":[{"id":1579,"uris":["http://zotero.org/users/2826560/items/8UHZ7X3U"],"uri":["http://zotero.org/users/2826560/items/8UHZ7X3U"],"itemData":{"id":1579,"type":"article-journal","abstract":"BACKGROUND: The treatment of vitiligo is still one of the most difficult dermatological challenges, although there are many therapeutic options. Narrow band ultraviolet B (NB-UVB) phototherapy is considered to be a very important modality for generalized vitiligo.\nOBJECTIVE: The aim of this study was to explore whether a combination of NB-UVB and topical agents would be superior to NB-UVB alone for treating vitiligo.\nMETHODS: We searched the electronic databases such as PUBMED, EMBASE, Cochrane Library, and Web of Science. The primary outcome was the proportion of ≥50% repigmentation (a clinical significance), and secondary outcome was the proportion of ≥75% repigmentation (an excellent response).\nRESULTS: Seven randomized controlled trials (RCTs) involving 240 patients (413 lesions) were included in this meta-analysis. The study showed no significant difference between NB-UVB combination therapy (NB-UVB and topical calcineurin inhibitor or vitamin D analogs) and NB-UVB monotherapy in the outcomes of ≥50% repigmentation and ≥75% repigmentation. However, lesions located on the face and neck had better results in ≥50% repigmentation (RR = 1.40, 95% CI 1.08-1.81) and ≥75% repigmentation (RR = 1.88, 95% CI 1.10-3.20) with NB-UVB and topical calcineurin inhibitor combination therapy vs. NB-UVB monotherapy.\nCONCLUSIONS: The meta-analysis suggested that adding neither topical calcineurin inhibitors nor topical vitamin-D3 analogs on NB-UVB can yield significantly superior outcomes than NB-UVB monotherapy for treatment of vitiligo. However, addition of topical calcineurin inhibitors to NB-UVB may increase treatment outcomes in vitiligo affecting face and neck.","container-title":"Photodermatology, Photoimmunology &amp; Photomedicine","DOI":"10.1111/phpp.12277","ISSN":"1600-0781","issue":"1","journalAbbreviation":"Photodermatol Photoimmunol Photomed","language":"eng","note":"PMID: 27696531","page":"22-31","source":"PubMed","title":"Effect of narrow band ultraviolet B phototherapy as monotherapy or combination therapy for vitiligo: a meta-analysis","title-short":"Effect of narrow band ultraviolet B phototherapy as monotherapy or combination therapy for vitiligo","volume":"33","author":[{"family":"Li","given":"Ronghua"},{"family":"Qiao","given":"Meng"},{"family":"Wang","given":"Xiaoyan"},{"family":"Zhao","given":"Xintong"},{"family":"Sun","given":"Qing"}],"issued":{"date-parts":[["2017",1]]}}}],"schema":"https://github.com/citation-style-language/schema/raw/master/csl-citation.json"} </w:instrText>
      </w:r>
      <w:r w:rsidRPr="00816E68">
        <w:fldChar w:fldCharType="separate"/>
      </w:r>
      <w:r w:rsidRPr="00816E68">
        <w:t>]</w:t>
      </w:r>
      <w:r w:rsidRPr="00816E68">
        <w:fldChar w:fldCharType="end"/>
      </w:r>
    </w:p>
    <w:p w14:paraId="0FCA08BF" w14:textId="77777777" w:rsidR="0027291D" w:rsidRDefault="0027291D" w:rsidP="00EA358D">
      <w:pPr>
        <w:pStyle w:val="Corpsdetexte"/>
        <w:spacing w:before="8"/>
        <w:jc w:val="both"/>
      </w:pPr>
    </w:p>
    <w:p w14:paraId="54BE432E" w14:textId="77777777" w:rsidR="00983AD0" w:rsidRDefault="00C33DDC" w:rsidP="00EA358D">
      <w:pPr>
        <w:pStyle w:val="Corpsdetexte"/>
        <w:spacing w:before="8"/>
        <w:jc w:val="both"/>
      </w:pPr>
      <w:r>
        <w:t>Dans c</w:t>
      </w:r>
      <w:r w:rsidR="003E0601">
        <w:t>ette</w:t>
      </w:r>
      <w:r w:rsidR="003E0601" w:rsidRPr="00816E68">
        <w:t xml:space="preserve"> </w:t>
      </w:r>
      <w:r w:rsidR="00983AD0">
        <w:t xml:space="preserve">actualisation de la revue </w:t>
      </w:r>
      <w:r>
        <w:t xml:space="preserve">de 2007 (Gonzalez, 21 essais), 4 essais récents </w:t>
      </w:r>
      <w:r w:rsidR="00A87D45">
        <w:t xml:space="preserve">incluant </w:t>
      </w:r>
      <w:r w:rsidR="001C4385">
        <w:t xml:space="preserve">2637 enfants </w:t>
      </w:r>
      <w:r>
        <w:t xml:space="preserve">ont été </w:t>
      </w:r>
      <w:r w:rsidR="00ED7BF9">
        <w:t>ajoutés</w:t>
      </w:r>
      <w:r>
        <w:t> : Deng – 2011, Elewski – 2008, Foster – 2005, Khan –</w:t>
      </w:r>
      <w:r w:rsidR="00ED7BF9">
        <w:t xml:space="preserve"> 2011, soit un total de 25 études avec 4449 patients</w:t>
      </w:r>
      <w:r w:rsidR="00523DF0">
        <w:t xml:space="preserve"> de moins de 18 ans</w:t>
      </w:r>
      <w:r w:rsidR="00ED7BF9">
        <w:t>.</w:t>
      </w:r>
    </w:p>
    <w:p w14:paraId="2224139B" w14:textId="77777777" w:rsidR="00A87D45" w:rsidRDefault="00A87D45" w:rsidP="00EA358D">
      <w:pPr>
        <w:pStyle w:val="Corpsdetexte"/>
        <w:spacing w:before="8"/>
        <w:jc w:val="both"/>
      </w:pPr>
    </w:p>
    <w:p w14:paraId="5D10D741" w14:textId="77777777" w:rsidR="00983AD0" w:rsidRDefault="00ED7BF9" w:rsidP="00EA358D">
      <w:pPr>
        <w:pStyle w:val="Corpsdetexte"/>
        <w:spacing w:before="8"/>
        <w:jc w:val="both"/>
      </w:pPr>
      <w:r>
        <w:t xml:space="preserve">Les traitements par </w:t>
      </w:r>
      <w:r w:rsidR="00A87D45">
        <w:t xml:space="preserve">itraconazole, </w:t>
      </w:r>
      <w:r>
        <w:t>terbinafine,</w:t>
      </w:r>
      <w:r w:rsidR="004A4096">
        <w:t xml:space="preserve"> et fluconazole sont au moins similaires </w:t>
      </w:r>
      <w:r w:rsidR="00A87D45">
        <w:t xml:space="preserve">en termes d’efficacité </w:t>
      </w:r>
      <w:r w:rsidR="004A4096">
        <w:t xml:space="preserve">à la griséofulvine chez l’enfant atteint de teigne due à l’espèce </w:t>
      </w:r>
      <w:r w:rsidR="004A4096" w:rsidRPr="004A4096">
        <w:rPr>
          <w:i/>
        </w:rPr>
        <w:t>Trichophyton</w:t>
      </w:r>
      <w:r w:rsidR="004A4096">
        <w:t>.</w:t>
      </w:r>
    </w:p>
    <w:p w14:paraId="6A1ED06C" w14:textId="77777777" w:rsidR="004A4096" w:rsidRDefault="004A4096" w:rsidP="00EA358D">
      <w:pPr>
        <w:pStyle w:val="Corpsdetexte"/>
        <w:spacing w:before="8"/>
        <w:jc w:val="both"/>
      </w:pPr>
    </w:p>
    <w:p w14:paraId="3B2EAA15" w14:textId="77777777" w:rsidR="004A4096" w:rsidRDefault="004151F2" w:rsidP="00EA358D">
      <w:pPr>
        <w:pStyle w:val="Corpsdetexte"/>
        <w:spacing w:before="8"/>
        <w:jc w:val="both"/>
      </w:pPr>
      <w:r w:rsidRPr="00694C66">
        <w:t>L</w:t>
      </w:r>
      <w:r w:rsidR="004A4096" w:rsidRPr="00694C66">
        <w:t xml:space="preserve">a terbinafine est plus efficace que la griséofulvine chez l’enfant avec une teigne à </w:t>
      </w:r>
      <w:r w:rsidR="004A4096" w:rsidRPr="00694C66">
        <w:rPr>
          <w:i/>
        </w:rPr>
        <w:t>T</w:t>
      </w:r>
      <w:r w:rsidR="00FE4C9E" w:rsidRPr="00694C66">
        <w:rPr>
          <w:i/>
        </w:rPr>
        <w:t xml:space="preserve">richophyton </w:t>
      </w:r>
      <w:r w:rsidR="004A4096" w:rsidRPr="00694C66">
        <w:rPr>
          <w:i/>
        </w:rPr>
        <w:t>tonsurans</w:t>
      </w:r>
      <w:r w:rsidR="004A4096" w:rsidRPr="00694C66">
        <w:t>.</w:t>
      </w:r>
      <w:r w:rsidRPr="00694C66">
        <w:t xml:space="preserve"> Par contre la griséofulvine est meilleure que la terbinafine c</w:t>
      </w:r>
      <w:r w:rsidR="004A4096" w:rsidRPr="00694C66">
        <w:t xml:space="preserve">hez les enfants avec </w:t>
      </w:r>
      <w:r w:rsidRPr="00694C66">
        <w:t xml:space="preserve">une </w:t>
      </w:r>
      <w:r w:rsidR="004A4096" w:rsidRPr="00694C66">
        <w:t xml:space="preserve">teigne à </w:t>
      </w:r>
      <w:r w:rsidR="004A4096" w:rsidRPr="00694C66">
        <w:rPr>
          <w:i/>
        </w:rPr>
        <w:t>Microsporum</w:t>
      </w:r>
      <w:r w:rsidRPr="00694C66">
        <w:t>.</w:t>
      </w:r>
    </w:p>
    <w:p w14:paraId="083FC239" w14:textId="77777777" w:rsidR="00FE4C9E" w:rsidRDefault="00FE4C9E" w:rsidP="00EA358D">
      <w:pPr>
        <w:pStyle w:val="Corpsdetexte"/>
        <w:spacing w:before="8"/>
        <w:jc w:val="both"/>
      </w:pPr>
    </w:p>
    <w:p w14:paraId="110AA8FA" w14:textId="77777777" w:rsidR="00FE4C9E" w:rsidRDefault="00FE4C9E" w:rsidP="00EA358D">
      <w:pPr>
        <w:pStyle w:val="Corpsdetexte"/>
        <w:spacing w:before="8"/>
        <w:jc w:val="both"/>
      </w:pPr>
      <w:r w:rsidRPr="00FE4C9E">
        <w:t xml:space="preserve">Des </w:t>
      </w:r>
      <w:r>
        <w:t>données</w:t>
      </w:r>
      <w:r w:rsidRPr="00FE4C9E">
        <w:t xml:space="preserve"> limitées bas</w:t>
      </w:r>
      <w:r>
        <w:t>ées sur de petits essais suggère</w:t>
      </w:r>
      <w:r w:rsidRPr="00FE4C9E">
        <w:t xml:space="preserve">nt que l'itraconazole par voie orale à des doses ajustées au poids était </w:t>
      </w:r>
      <w:r>
        <w:t>efficace</w:t>
      </w:r>
      <w:r w:rsidRPr="00FE4C9E">
        <w:t xml:space="preserve"> et sans </w:t>
      </w:r>
      <w:r>
        <w:t>effet indésirable</w:t>
      </w:r>
      <w:r w:rsidRPr="00FE4C9E">
        <w:t xml:space="preserve"> p</w:t>
      </w:r>
      <w:r>
        <w:t>our le traitement de T</w:t>
      </w:r>
      <w:r w:rsidRPr="00FE4C9E">
        <w:t xml:space="preserve">inea capitis causée par </w:t>
      </w:r>
      <w:r w:rsidRPr="004A4096">
        <w:rPr>
          <w:i/>
        </w:rPr>
        <w:t>T</w:t>
      </w:r>
      <w:r>
        <w:rPr>
          <w:i/>
        </w:rPr>
        <w:t>richophyton</w:t>
      </w:r>
      <w:r w:rsidRPr="00FE4C9E">
        <w:rPr>
          <w:i/>
        </w:rPr>
        <w:t xml:space="preserve"> violaceum</w:t>
      </w:r>
      <w:r w:rsidRPr="00FE4C9E">
        <w:t xml:space="preserve"> (</w:t>
      </w:r>
      <w:r>
        <w:t>2</w:t>
      </w:r>
      <w:r w:rsidRPr="00FE4C9E">
        <w:t xml:space="preserve"> semaines de traitement) et </w:t>
      </w:r>
      <w:r w:rsidRPr="00FE4C9E">
        <w:rPr>
          <w:i/>
        </w:rPr>
        <w:t xml:space="preserve">Microsporum canis </w:t>
      </w:r>
      <w:r w:rsidRPr="00FE4C9E">
        <w:t>(</w:t>
      </w:r>
      <w:r>
        <w:t>6</w:t>
      </w:r>
      <w:r w:rsidRPr="00FE4C9E">
        <w:t xml:space="preserve"> semaines de traitement).</w:t>
      </w:r>
    </w:p>
    <w:p w14:paraId="61012EFF" w14:textId="77777777" w:rsidR="00FE4C9E" w:rsidRDefault="00FE4C9E" w:rsidP="00EA358D">
      <w:pPr>
        <w:pStyle w:val="Corpsdetexte"/>
        <w:spacing w:before="8"/>
        <w:jc w:val="both"/>
      </w:pPr>
    </w:p>
    <w:p w14:paraId="0574E4FA" w14:textId="77777777" w:rsidR="00592DE4" w:rsidRPr="00816E68" w:rsidRDefault="00592DE4" w:rsidP="00EA358D">
      <w:pPr>
        <w:pStyle w:val="Corpsdetexte"/>
        <w:spacing w:before="8"/>
        <w:jc w:val="both"/>
      </w:pPr>
    </w:p>
    <w:p w14:paraId="7080F35B" w14:textId="77777777" w:rsidR="00AB1EE5" w:rsidRDefault="00AB1EE5" w:rsidP="00EA358D">
      <w:pPr>
        <w:pStyle w:val="Corpsdetexte"/>
        <w:numPr>
          <w:ilvl w:val="0"/>
          <w:numId w:val="5"/>
        </w:numPr>
        <w:spacing w:before="8"/>
        <w:jc w:val="both"/>
      </w:pPr>
      <w:r>
        <w:t>Revue systématique de Gupta et al en 2018</w:t>
      </w:r>
      <w:r w:rsidR="00816E68" w:rsidRPr="00457BCD">
        <w:t xml:space="preserve"> </w:t>
      </w:r>
      <w:r w:rsidR="00816E68" w:rsidRPr="00457BCD">
        <w:fldChar w:fldCharType="begin"/>
      </w:r>
      <w:r w:rsidR="00816E68" w:rsidRPr="00457BCD">
        <w:instrText xml:space="preserve"> ADDIN ZOTERO_ITEM CSL_CITATION {"citationID":"GhEr9UPQ","properties":{"formattedCitation":"[60]","plainCitation":"[60]","noteIndex":0},"citationItems":[{"id":1556,"uris":["http://zotero.org/users/2826560/items/BUGEANPP"],"uri":["http://zotero.org/users/2826560/items/BUGEANPP"],"itemData":{"id":1556,"type":"article-journal","container-title":"Journal of the American Academy of Dermatology","DOI":"10.1016/j.jaad.2019.07.108","ISSN":"1097-6787","issue":"1","journalAbbreviation":"J Am Acad Dermatol","language":"eng","note":"PMID: 31408687","page":"243-245","source":"PubMed","title":"The effectiveness of topical calcineurin inhibitors compared with topical corticosteroids in the treatment of vitiligo: A systematic review and meta-analysis","title-short":"The effectiveness of topical calcineurin inhibitors compared with topical corticosteroids in the treatment of vitiligo","volume":"82","author":[{"family":"Chang","given":"Hua-Ching"},{"family":"Hsu","given":"Yuan-Pin"},{"family":"Huang","given":"Yu-Chen"}],"issued":{"date-parts":[["2020",1]]}}}],"schema":"https://github.com/citation-style-language/schema/raw/master/csl-citation.json"} </w:instrText>
      </w:r>
      <w:r w:rsidR="00816E68" w:rsidRPr="00457BCD">
        <w:fldChar w:fldCharType="separate"/>
      </w:r>
      <w:r w:rsidR="00816E68" w:rsidRPr="00F97D35">
        <w:t>[</w:t>
      </w:r>
      <w:r w:rsidR="004151F2">
        <w:t>5</w:t>
      </w:r>
      <w:r w:rsidR="00816E68" w:rsidRPr="00457BCD">
        <w:t>]</w:t>
      </w:r>
      <w:r w:rsidR="00816E68" w:rsidRPr="00457BCD">
        <w:fldChar w:fldCharType="end"/>
      </w:r>
      <w:r w:rsidR="00882677">
        <w:t xml:space="preserve"> </w:t>
      </w:r>
    </w:p>
    <w:p w14:paraId="1E04CE2A" w14:textId="77777777" w:rsidR="00793394" w:rsidRDefault="00793394" w:rsidP="00EA358D">
      <w:pPr>
        <w:pStyle w:val="Corpsdetexte"/>
        <w:spacing w:before="8"/>
        <w:jc w:val="both"/>
      </w:pPr>
    </w:p>
    <w:p w14:paraId="3965EE82" w14:textId="77777777" w:rsidR="002E0F6F" w:rsidRDefault="003A7827" w:rsidP="00EA358D">
      <w:pPr>
        <w:pStyle w:val="Corpsdetexte"/>
        <w:spacing w:before="8"/>
        <w:jc w:val="both"/>
      </w:pPr>
      <w:r>
        <w:t xml:space="preserve">Dans la revue de 2018, </w:t>
      </w:r>
      <w:r w:rsidR="00DC7807">
        <w:t xml:space="preserve">38 </w:t>
      </w:r>
      <w:r w:rsidR="002E0F6F">
        <w:t>études cliniques répondant à la recherche de teigne chez l’</w:t>
      </w:r>
      <w:r w:rsidR="00DC7807">
        <w:t xml:space="preserve">enfant </w:t>
      </w:r>
      <w:r w:rsidR="002E0F6F">
        <w:t xml:space="preserve">ont été identifiées </w:t>
      </w:r>
      <w:r w:rsidR="00DC7807">
        <w:t xml:space="preserve">dans la littérature </w:t>
      </w:r>
      <w:r w:rsidR="002E0F6F">
        <w:t xml:space="preserve">dont </w:t>
      </w:r>
      <w:r w:rsidR="00DC7807">
        <w:t>21 études randomisées contr</w:t>
      </w:r>
      <w:r w:rsidR="00882677">
        <w:t>ôlées soit un total de 3998 enfants traités.</w:t>
      </w:r>
    </w:p>
    <w:p w14:paraId="167BD57C" w14:textId="77777777" w:rsidR="002E0F6F" w:rsidRDefault="002E0F6F" w:rsidP="00EA358D">
      <w:pPr>
        <w:pStyle w:val="Corpsdetexte"/>
        <w:spacing w:before="8"/>
        <w:jc w:val="both"/>
      </w:pPr>
    </w:p>
    <w:p w14:paraId="27B9AAE0" w14:textId="77777777" w:rsidR="00793394" w:rsidRDefault="003A7827" w:rsidP="00EA358D">
      <w:pPr>
        <w:pStyle w:val="Corpsdetexte"/>
        <w:spacing w:before="8"/>
        <w:jc w:val="both"/>
      </w:pPr>
      <w:r>
        <w:t xml:space="preserve">Gupta </w:t>
      </w:r>
      <w:r w:rsidR="00E26C33">
        <w:t>mentionne que l’itraconazole et le fluconazole ayant une affinité élevée pour les tissus kératinisés, restent dans la kératine et le cheveu après la fin du traitement, pouvant permettre des traitements de durée moins longue que la griséofulvine.</w:t>
      </w:r>
    </w:p>
    <w:p w14:paraId="18DD0907" w14:textId="77777777" w:rsidR="003A7827" w:rsidRDefault="003A7827" w:rsidP="00EA358D">
      <w:pPr>
        <w:pStyle w:val="Corpsdetexte"/>
        <w:spacing w:before="8"/>
        <w:jc w:val="both"/>
      </w:pPr>
    </w:p>
    <w:p w14:paraId="72B0071D" w14:textId="77777777" w:rsidR="003A7827" w:rsidRDefault="00E26C33" w:rsidP="00EA358D">
      <w:pPr>
        <w:pStyle w:val="Corpsdetexte"/>
        <w:spacing w:before="8"/>
        <w:jc w:val="both"/>
      </w:pPr>
      <w:r w:rsidRPr="0003779F">
        <w:rPr>
          <w:i/>
        </w:rPr>
        <w:t>Trichophyton tonsurans</w:t>
      </w:r>
      <w:r>
        <w:t xml:space="preserve"> est le dermatophyte le plus fréquent en Amérique du nord surtout chez les enfants de 3 à 7 ans</w:t>
      </w:r>
      <w:r w:rsidR="0003779F">
        <w:t xml:space="preserve">. </w:t>
      </w:r>
      <w:r w:rsidR="0003779F" w:rsidRPr="0003779F">
        <w:rPr>
          <w:i/>
        </w:rPr>
        <w:t>Microsporum canis</w:t>
      </w:r>
      <w:r w:rsidR="0003779F">
        <w:t xml:space="preserve"> est lui fréquent en Europe, d’autres </w:t>
      </w:r>
      <w:r w:rsidR="0003779F" w:rsidRPr="0003779F">
        <w:t>dermatophytes</w:t>
      </w:r>
      <w:r w:rsidR="0003779F">
        <w:t xml:space="preserve"> sont en augmentation tels que </w:t>
      </w:r>
      <w:r w:rsidR="0003779F" w:rsidRPr="0003779F">
        <w:rPr>
          <w:i/>
        </w:rPr>
        <w:t>M. audouinii</w:t>
      </w:r>
      <w:r w:rsidR="0003779F">
        <w:t xml:space="preserve">, </w:t>
      </w:r>
      <w:r w:rsidR="0003779F" w:rsidRPr="0003779F">
        <w:rPr>
          <w:i/>
        </w:rPr>
        <w:t>T. soudanense</w:t>
      </w:r>
      <w:r w:rsidR="0003779F">
        <w:t xml:space="preserve">, </w:t>
      </w:r>
      <w:r w:rsidR="0003779F" w:rsidRPr="0003779F">
        <w:rPr>
          <w:i/>
        </w:rPr>
        <w:t>T. violaceum</w:t>
      </w:r>
      <w:r w:rsidR="0003779F">
        <w:t>.</w:t>
      </w:r>
    </w:p>
    <w:p w14:paraId="660DDEDD" w14:textId="77777777" w:rsidR="003A7827" w:rsidRDefault="003A7827" w:rsidP="00EA358D">
      <w:pPr>
        <w:pStyle w:val="Corpsdetexte"/>
        <w:spacing w:before="8"/>
        <w:jc w:val="both"/>
      </w:pPr>
    </w:p>
    <w:p w14:paraId="3D2BC3E3" w14:textId="77777777" w:rsidR="003A7827" w:rsidRDefault="003A7827" w:rsidP="00EA358D">
      <w:pPr>
        <w:pStyle w:val="Corpsdetexte"/>
        <w:spacing w:before="8"/>
        <w:jc w:val="both"/>
      </w:pPr>
    </w:p>
    <w:p w14:paraId="5306C21E" w14:textId="77777777" w:rsidR="00882677" w:rsidRDefault="00882677" w:rsidP="00EA358D">
      <w:pPr>
        <w:pStyle w:val="Corpsdetexte"/>
        <w:numPr>
          <w:ilvl w:val="0"/>
          <w:numId w:val="5"/>
        </w:numPr>
        <w:spacing w:before="8"/>
        <w:jc w:val="both"/>
      </w:pPr>
      <w:r>
        <w:t>Revue systématique de Gupta et al en 2020</w:t>
      </w:r>
      <w:r w:rsidRPr="00457BCD">
        <w:t xml:space="preserve"> </w:t>
      </w:r>
      <w:r w:rsidRPr="00457BCD">
        <w:fldChar w:fldCharType="begin"/>
      </w:r>
      <w:r w:rsidRPr="00457BCD">
        <w:instrText xml:space="preserve"> ADDIN ZOTERO_ITEM CSL_CITATION {"citationID":"GhEr9UPQ","properties":{"formattedCitation":"[60]","plainCitation":"[60]","noteIndex":0},"citationItems":[{"id":1556,"uris":["http://zotero.org/users/2826560/items/BUGEANPP"],"uri":["http://zotero.org/users/2826560/items/BUGEANPP"],"itemData":{"id":1556,"type":"article-journal","container-title":"Journal of the American Academy of Dermatology","DOI":"10.1016/j.jaad.2019.07.108","ISSN":"1097-6787","issue":"1","journalAbbreviation":"J Am Acad Dermatol","language":"eng","note":"PMID: 31408687","page":"243-245","source":"PubMed","title":"The effectiveness of topical calcineurin inhibitors compared with topical corticosteroids in the treatment of vitiligo: A systematic review and meta-analysis","title-short":"The effectiveness of topical calcineurin inhibitors compared with topical corticosteroids in the treatment of vitiligo","volume":"82","author":[{"family":"Chang","given":"Hua-Ching"},{"family":"Hsu","given":"Yuan-Pin"},{"family":"Huang","given":"Yu-Chen"}],"issued":{"date-parts":[["2020",1]]}}}],"schema":"https://github.com/citation-style-language/schema/raw/master/csl-citation.json"} </w:instrText>
      </w:r>
      <w:r w:rsidRPr="00457BCD">
        <w:fldChar w:fldCharType="separate"/>
      </w:r>
      <w:r w:rsidRPr="00F97D35">
        <w:t>[</w:t>
      </w:r>
      <w:r w:rsidR="001409D7">
        <w:t>6</w:t>
      </w:r>
      <w:r w:rsidRPr="00457BCD">
        <w:t>]</w:t>
      </w:r>
      <w:r w:rsidRPr="00457BCD">
        <w:fldChar w:fldCharType="end"/>
      </w:r>
    </w:p>
    <w:p w14:paraId="4551CCE5" w14:textId="77777777" w:rsidR="003A7827" w:rsidRDefault="003A7827" w:rsidP="00EA358D">
      <w:pPr>
        <w:pStyle w:val="Corpsdetexte"/>
        <w:spacing w:before="8"/>
        <w:jc w:val="both"/>
      </w:pPr>
    </w:p>
    <w:p w14:paraId="6E2E386B" w14:textId="77777777" w:rsidR="003A7827" w:rsidRDefault="00CF7DE5" w:rsidP="00EA358D">
      <w:pPr>
        <w:pStyle w:val="Corpsdetexte"/>
        <w:spacing w:before="8"/>
        <w:jc w:val="both"/>
      </w:pPr>
      <w:r>
        <w:t xml:space="preserve">Une méta-analyse en réseau sur l’efficacité et la sécurité des traitements en monothérapie de la teigne a été réalisée pour déterminer leur efficacité relative (mycologique et taux de guérison complète). Le réseau a inclus au final 12 études dont 5 en monothérapie avec la griséofulvine, le kétoconazole, la terbinafine, l’itraconazole et le fluconazole ; les principaux éléments du réseau provenant d’études comparant le terbinafine et la griséofulvine avec une majorité d’études avec </w:t>
      </w:r>
      <w:r w:rsidRPr="001E495B">
        <w:rPr>
          <w:i/>
        </w:rPr>
        <w:t>Trichophyton</w:t>
      </w:r>
      <w:r w:rsidR="001E495B">
        <w:t>.</w:t>
      </w:r>
    </w:p>
    <w:p w14:paraId="7E3748CB" w14:textId="77777777" w:rsidR="003A7827" w:rsidRDefault="003A7827" w:rsidP="00EA358D">
      <w:pPr>
        <w:pStyle w:val="Corpsdetexte"/>
        <w:spacing w:before="8"/>
        <w:jc w:val="both"/>
      </w:pPr>
    </w:p>
    <w:p w14:paraId="29F0918D" w14:textId="77777777" w:rsidR="001E495B" w:rsidRDefault="005D1587" w:rsidP="00EA358D">
      <w:pPr>
        <w:pStyle w:val="Corpsdetexte"/>
        <w:spacing w:before="8"/>
        <w:jc w:val="both"/>
      </w:pPr>
      <w:r>
        <w:t>Les auteurs</w:t>
      </w:r>
      <w:r w:rsidR="001E495B">
        <w:t xml:space="preserve"> concluent que :</w:t>
      </w:r>
    </w:p>
    <w:p w14:paraId="0D0CA72A" w14:textId="77777777" w:rsidR="00592DE4" w:rsidRDefault="005D1587" w:rsidP="00EA358D">
      <w:pPr>
        <w:pStyle w:val="Corpsdetexte"/>
        <w:numPr>
          <w:ilvl w:val="0"/>
          <w:numId w:val="3"/>
        </w:numPr>
        <w:spacing w:before="8"/>
        <w:jc w:val="both"/>
      </w:pPr>
      <w:r>
        <w:t>p</w:t>
      </w:r>
      <w:r w:rsidR="007E26C6">
        <w:t xml:space="preserve">our traiter une teigne due à une espèce </w:t>
      </w:r>
      <w:r w:rsidR="007E26C6" w:rsidRPr="001E495B">
        <w:rPr>
          <w:i/>
        </w:rPr>
        <w:t>Trichophyton</w:t>
      </w:r>
      <w:r w:rsidR="007E26C6">
        <w:t xml:space="preserve">, </w:t>
      </w:r>
      <w:r w:rsidR="001E495B">
        <w:t>la terbinafine est la plus efficace en termes de guérison mycologique (SUCRA=75,15%, Surface Under the Cumulative RA</w:t>
      </w:r>
      <w:r w:rsidR="001E495B" w:rsidRPr="001E495B">
        <w:t>nking</w:t>
      </w:r>
      <w:r w:rsidR="001E495B">
        <w:t>) et de guérison complète (SUCRA=78,24%)</w:t>
      </w:r>
      <w:r w:rsidR="007E26C6">
        <w:t> ;</w:t>
      </w:r>
    </w:p>
    <w:p w14:paraId="3975C109" w14:textId="77777777" w:rsidR="007E26C6" w:rsidRDefault="007E26C6" w:rsidP="00EA358D">
      <w:pPr>
        <w:pStyle w:val="Corpsdetexte"/>
        <w:spacing w:before="8"/>
        <w:ind w:left="556"/>
        <w:jc w:val="both"/>
      </w:pPr>
    </w:p>
    <w:p w14:paraId="757B5ABF" w14:textId="77777777" w:rsidR="001E495B" w:rsidRDefault="005D1587" w:rsidP="00EA358D">
      <w:pPr>
        <w:pStyle w:val="Corpsdetexte"/>
        <w:numPr>
          <w:ilvl w:val="0"/>
          <w:numId w:val="3"/>
        </w:numPr>
        <w:spacing w:before="8"/>
        <w:jc w:val="both"/>
      </w:pPr>
      <w:r>
        <w:t>p</w:t>
      </w:r>
      <w:r w:rsidR="007E26C6">
        <w:t xml:space="preserve">our traiter une teigne due à une espèce </w:t>
      </w:r>
      <w:r w:rsidR="007E26C6" w:rsidRPr="001E495B">
        <w:rPr>
          <w:i/>
        </w:rPr>
        <w:t>Microsporum</w:t>
      </w:r>
      <w:r w:rsidR="007E26C6">
        <w:t>,</w:t>
      </w:r>
      <w:r w:rsidR="002066D8">
        <w:t xml:space="preserve"> </w:t>
      </w:r>
      <w:r w:rsidR="001E495B">
        <w:t>la griséofulvine est la plus efficace en termes de guérison mycologique (SUCRA=66,07%)</w:t>
      </w:r>
      <w:r w:rsidR="00853557">
        <w:t xml:space="preserve"> </w:t>
      </w:r>
      <w:r w:rsidR="001E495B">
        <w:t>et de guérison complète (SUCRA=80,58%)</w:t>
      </w:r>
      <w:r>
        <w:t>.</w:t>
      </w:r>
    </w:p>
    <w:p w14:paraId="1855417B" w14:textId="77777777" w:rsidR="005D1587" w:rsidRDefault="005D1587" w:rsidP="005D1587">
      <w:pPr>
        <w:pStyle w:val="Paragraphedeliste"/>
      </w:pPr>
    </w:p>
    <w:p w14:paraId="19BDDB56" w14:textId="77777777" w:rsidR="007E26C6" w:rsidRDefault="002066D8" w:rsidP="00EA358D">
      <w:pPr>
        <w:pStyle w:val="Corpsdetexte"/>
        <w:spacing w:before="8"/>
        <w:jc w:val="both"/>
      </w:pPr>
      <w:r>
        <w:lastRenderedPageBreak/>
        <w:t>En termes de sécurité, 9 sur 12 études ont analysé les effets indésirables de ces 5 antifongiques. Le risque relatif des effets indésirables n’était pas différent parmi les 5 monothérapies.</w:t>
      </w:r>
    </w:p>
    <w:p w14:paraId="239428F1" w14:textId="77777777" w:rsidR="002066D8" w:rsidRDefault="002066D8" w:rsidP="00EA358D">
      <w:pPr>
        <w:pStyle w:val="Corpsdetexte"/>
        <w:spacing w:before="8"/>
        <w:jc w:val="both"/>
      </w:pPr>
    </w:p>
    <w:p w14:paraId="05F36FF5" w14:textId="77777777" w:rsidR="00D305D5" w:rsidRPr="00592DE4" w:rsidRDefault="00D305D5" w:rsidP="00D305D5">
      <w:pPr>
        <w:pStyle w:val="Style1"/>
      </w:pPr>
      <w:r>
        <w:t>Conclusion</w:t>
      </w:r>
    </w:p>
    <w:p w14:paraId="671ACBA4" w14:textId="77777777" w:rsidR="00D305D5" w:rsidRDefault="00D305D5" w:rsidP="00EA358D">
      <w:pPr>
        <w:pStyle w:val="Corpsdetexte"/>
        <w:spacing w:before="8"/>
        <w:jc w:val="both"/>
      </w:pPr>
    </w:p>
    <w:p w14:paraId="0A0330EB" w14:textId="77777777" w:rsidR="00D305D5" w:rsidRDefault="00D305D5" w:rsidP="00EA358D">
      <w:pPr>
        <w:pStyle w:val="Corpsdetexte"/>
        <w:spacing w:before="8"/>
        <w:jc w:val="both"/>
      </w:pPr>
      <w:r>
        <w:t>Sur la base des données publiées d’efficacité de l’itraconazole formes orales dans le traitement de la teigne chez l’enfant et des données de sécurité connues dans le cadre de son A</w:t>
      </w:r>
      <w:r w:rsidR="001C688B">
        <w:t>MM, l</w:t>
      </w:r>
      <w:r>
        <w:t xml:space="preserve">e rapport </w:t>
      </w:r>
      <w:r w:rsidR="001C688B">
        <w:t xml:space="preserve">bénéfice/risque </w:t>
      </w:r>
      <w:r>
        <w:t xml:space="preserve">de ce médicament est présumé favorable dans cette situation </w:t>
      </w:r>
      <w:r w:rsidR="001C688B">
        <w:t>clinique</w:t>
      </w:r>
      <w:r>
        <w:t>.</w:t>
      </w:r>
    </w:p>
    <w:p w14:paraId="37784EC9" w14:textId="77777777" w:rsidR="00D305D5" w:rsidRDefault="00D305D5" w:rsidP="00EA358D">
      <w:pPr>
        <w:pStyle w:val="Corpsdetexte"/>
        <w:spacing w:before="8"/>
        <w:jc w:val="both"/>
      </w:pPr>
    </w:p>
    <w:p w14:paraId="1D733D54" w14:textId="77777777" w:rsidR="00382BDC" w:rsidRPr="00816E68" w:rsidRDefault="00382BDC" w:rsidP="00EA358D">
      <w:pPr>
        <w:pStyle w:val="Corpsdetexte"/>
        <w:spacing w:before="8"/>
      </w:pPr>
    </w:p>
    <w:p w14:paraId="69047DDB" w14:textId="77777777" w:rsidR="00816E68" w:rsidRPr="00816E68" w:rsidRDefault="00816E68" w:rsidP="00EA358D">
      <w:pPr>
        <w:pStyle w:val="Corpsdetexte"/>
        <w:spacing w:before="8"/>
      </w:pPr>
    </w:p>
    <w:p w14:paraId="6C5D1931" w14:textId="77777777" w:rsidR="004A31F5" w:rsidRPr="006738DF" w:rsidRDefault="007F51CD" w:rsidP="00EA358D">
      <w:pPr>
        <w:jc w:val="both"/>
        <w:rPr>
          <w:b/>
          <w:sz w:val="20"/>
          <w:u w:val="single"/>
          <w:lang w:val="en-GB"/>
        </w:rPr>
      </w:pPr>
      <w:r w:rsidRPr="006738DF">
        <w:rPr>
          <w:b/>
          <w:sz w:val="20"/>
          <w:u w:val="single"/>
          <w:lang w:val="en-GB"/>
        </w:rPr>
        <w:t>BIBLIOGRAPHIE</w:t>
      </w:r>
    </w:p>
    <w:p w14:paraId="4A9C5673" w14:textId="77777777" w:rsidR="007519DA" w:rsidRPr="006738DF" w:rsidRDefault="007519DA" w:rsidP="00EA358D">
      <w:pPr>
        <w:pStyle w:val="Corpsdetexte"/>
        <w:spacing w:before="5"/>
        <w:jc w:val="both"/>
        <w:rPr>
          <w:lang w:val="en-GB"/>
        </w:rPr>
      </w:pPr>
    </w:p>
    <w:p w14:paraId="6AAD581C" w14:textId="77777777" w:rsidR="00FD11CB" w:rsidRDefault="006A3BCC" w:rsidP="00EA358D">
      <w:pPr>
        <w:pStyle w:val="Corpsdetexte"/>
        <w:spacing w:before="5"/>
        <w:jc w:val="both"/>
        <w:rPr>
          <w:lang w:val="en-GB"/>
        </w:rPr>
      </w:pPr>
      <w:r w:rsidRPr="006738DF">
        <w:rPr>
          <w:lang w:val="en-GB"/>
        </w:rPr>
        <w:t>[1</w:t>
      </w:r>
      <w:r w:rsidR="006D5E0E" w:rsidRPr="006738DF">
        <w:rPr>
          <w:lang w:val="en-GB"/>
        </w:rPr>
        <w:t>]</w:t>
      </w:r>
      <w:r w:rsidR="006D5E0E" w:rsidRPr="006738DF">
        <w:rPr>
          <w:lang w:val="en-GB"/>
        </w:rPr>
        <w:tab/>
      </w:r>
      <w:r w:rsidR="006738DF" w:rsidRPr="006738DF">
        <w:rPr>
          <w:lang w:val="en-GB"/>
        </w:rPr>
        <w:t>S López-Gómez, A Del Palacio, J Van Cutsem, M Soledad Cuétara, L Iglesias, A Rodriguez-Noriega</w:t>
      </w:r>
      <w:r w:rsidR="006738DF">
        <w:rPr>
          <w:lang w:val="en-GB"/>
        </w:rPr>
        <w:t xml:space="preserve">. </w:t>
      </w:r>
      <w:r w:rsidR="006738DF" w:rsidRPr="006738DF">
        <w:rPr>
          <w:lang w:val="en-GB"/>
        </w:rPr>
        <w:t>Itraconazole versus griseofulvin in the treatment of tinea capitis: a double-blind randomized study in children</w:t>
      </w:r>
      <w:r w:rsidR="006738DF">
        <w:rPr>
          <w:lang w:val="en-GB"/>
        </w:rPr>
        <w:t>. Int J Dermatol</w:t>
      </w:r>
      <w:r w:rsidR="006738DF" w:rsidRPr="006738DF">
        <w:rPr>
          <w:lang w:val="en-GB"/>
        </w:rPr>
        <w:t>. 1994 Oct;33(10):743-7.</w:t>
      </w:r>
      <w:r w:rsidR="006738DF">
        <w:rPr>
          <w:lang w:val="en-GB"/>
        </w:rPr>
        <w:t xml:space="preserve"> </w:t>
      </w:r>
    </w:p>
    <w:p w14:paraId="171A1E50" w14:textId="77777777" w:rsidR="006738DF" w:rsidRDefault="005F15B2" w:rsidP="00EA358D">
      <w:pPr>
        <w:pStyle w:val="Corpsdetexte"/>
        <w:spacing w:before="5"/>
        <w:jc w:val="both"/>
        <w:rPr>
          <w:lang w:val="en-GB"/>
        </w:rPr>
      </w:pPr>
      <w:hyperlink r:id="rId25" w:history="1">
        <w:r w:rsidR="006738DF" w:rsidRPr="006738DF">
          <w:rPr>
            <w:rStyle w:val="Lienhypertexte"/>
            <w:lang w:val="en-GB"/>
          </w:rPr>
          <w:t>https://onlinelibrary.wiley.com/doi/pdf/10.1111/j.1365-4362.1994.tb01525.x</w:t>
        </w:r>
      </w:hyperlink>
    </w:p>
    <w:p w14:paraId="6009AB5E" w14:textId="77777777" w:rsidR="00457BCD" w:rsidRPr="006D5E0E" w:rsidRDefault="00457BCD" w:rsidP="00EA358D">
      <w:pPr>
        <w:pStyle w:val="Corpsdetexte"/>
        <w:spacing w:before="5"/>
        <w:jc w:val="both"/>
        <w:rPr>
          <w:lang w:val="en-US"/>
        </w:rPr>
      </w:pPr>
    </w:p>
    <w:p w14:paraId="6E0019D9" w14:textId="77777777" w:rsidR="00FD11CB" w:rsidRDefault="00901E7E" w:rsidP="00EA358D">
      <w:pPr>
        <w:pStyle w:val="Corpsdetexte"/>
        <w:spacing w:before="5"/>
        <w:jc w:val="both"/>
        <w:rPr>
          <w:lang w:val="en-US"/>
        </w:rPr>
      </w:pPr>
      <w:r w:rsidRPr="00FE14C5">
        <w:rPr>
          <w:lang w:val="en-US"/>
        </w:rPr>
        <w:t>[2]</w:t>
      </w:r>
      <w:r w:rsidR="00EE4FC1" w:rsidRPr="00EE4FC1">
        <w:rPr>
          <w:lang w:val="en-US"/>
        </w:rPr>
        <w:tab/>
      </w:r>
      <w:r w:rsidR="00FD11CB" w:rsidRPr="00FD11CB">
        <w:rPr>
          <w:lang w:val="en-US"/>
        </w:rPr>
        <w:t>Ginter-Hanselmayer, G., Smolle, J., Gupta, A. Itraconazole in the Treatment of Tinea Capitis Caused by Microsporum canis: Experience in a Large Cohort. Pediatric Dermatology 2004; 21(4): 499– 502.</w:t>
      </w:r>
      <w:r w:rsidR="00FD11CB">
        <w:rPr>
          <w:lang w:val="en-US"/>
        </w:rPr>
        <w:t xml:space="preserve"> </w:t>
      </w:r>
      <w:hyperlink r:id="rId26" w:history="1">
        <w:r w:rsidR="00FD11CB" w:rsidRPr="00FD11CB">
          <w:rPr>
            <w:rStyle w:val="Lienhypertexte"/>
            <w:lang w:val="en-US"/>
          </w:rPr>
          <w:t>https://doi.org/10.1111/j.0736-8046.2004.21419.x</w:t>
        </w:r>
      </w:hyperlink>
    </w:p>
    <w:p w14:paraId="14EC9ED5" w14:textId="77777777" w:rsidR="00457BCD" w:rsidRDefault="00457BCD" w:rsidP="00EA358D">
      <w:pPr>
        <w:pStyle w:val="Corpsdetexte"/>
        <w:spacing w:before="5"/>
        <w:jc w:val="both"/>
        <w:rPr>
          <w:lang w:val="en-US"/>
        </w:rPr>
      </w:pPr>
    </w:p>
    <w:p w14:paraId="549614BD" w14:textId="77777777" w:rsidR="00FD11CB" w:rsidRPr="00D5275D" w:rsidRDefault="009F512D" w:rsidP="00EA358D">
      <w:pPr>
        <w:pStyle w:val="Corpsdetexte"/>
        <w:spacing w:before="5"/>
        <w:jc w:val="both"/>
      </w:pPr>
      <w:r w:rsidRPr="00FD11CB">
        <w:rPr>
          <w:lang w:val="en-GB"/>
        </w:rPr>
        <w:t>[3]</w:t>
      </w:r>
      <w:r w:rsidRPr="00FD11CB">
        <w:rPr>
          <w:lang w:val="en-GB"/>
        </w:rPr>
        <w:tab/>
      </w:r>
      <w:r w:rsidR="00FD11CB" w:rsidRPr="00FD11CB">
        <w:rPr>
          <w:lang w:val="en-GB"/>
        </w:rPr>
        <w:t>Kakourou T. Guidelines for the management of tinea capitis in children, Pediatr.Dermatol. 2010, 27:226-28</w:t>
      </w:r>
      <w:r w:rsidR="00F75986">
        <w:rPr>
          <w:lang w:val="en-GB"/>
        </w:rPr>
        <w:t>.</w:t>
      </w:r>
      <w:r w:rsidR="00FD11CB" w:rsidRPr="00FD11CB">
        <w:rPr>
          <w:lang w:val="en-GB"/>
        </w:rPr>
        <w:t xml:space="preserve"> </w:t>
      </w:r>
      <w:hyperlink r:id="rId27" w:history="1">
        <w:r w:rsidR="00FD11CB" w:rsidRPr="00D5275D">
          <w:rPr>
            <w:rStyle w:val="Lienhypertexte"/>
          </w:rPr>
          <w:t>https://doi.org/10.1111/j.1525-1470.2010.01137.x</w:t>
        </w:r>
      </w:hyperlink>
    </w:p>
    <w:p w14:paraId="1CA67BD1" w14:textId="77777777" w:rsidR="009F512D" w:rsidRPr="00D5275D" w:rsidRDefault="009F512D" w:rsidP="00EA358D">
      <w:pPr>
        <w:pStyle w:val="Corpsdetexte"/>
        <w:spacing w:before="5"/>
        <w:jc w:val="both"/>
      </w:pPr>
    </w:p>
    <w:p w14:paraId="39E8BCA5" w14:textId="77777777" w:rsidR="007B6893" w:rsidRPr="00F75986" w:rsidRDefault="009F512D" w:rsidP="00EA358D">
      <w:pPr>
        <w:pStyle w:val="Corpsdetexte"/>
        <w:spacing w:before="5"/>
        <w:jc w:val="both"/>
        <w:rPr>
          <w:lang w:val="en-GB"/>
        </w:rPr>
      </w:pPr>
      <w:r w:rsidRPr="00AD0182" w:rsidDel="009F512D">
        <w:t xml:space="preserve"> </w:t>
      </w:r>
      <w:r w:rsidR="00592DE4" w:rsidRPr="00F75986">
        <w:t>[</w:t>
      </w:r>
      <w:r w:rsidRPr="00F75986">
        <w:t>4</w:t>
      </w:r>
      <w:r w:rsidR="00901E7E" w:rsidRPr="00F75986">
        <w:t>]</w:t>
      </w:r>
      <w:r w:rsidR="00EE4FC1" w:rsidRPr="00F75986">
        <w:tab/>
      </w:r>
      <w:r w:rsidR="00F75986" w:rsidRPr="00F75986">
        <w:t xml:space="preserve">Chen X, Jiang X, Yang M, et al. </w:t>
      </w:r>
      <w:r w:rsidR="00F75986" w:rsidRPr="00F75986">
        <w:rPr>
          <w:lang w:val="en-US"/>
        </w:rPr>
        <w:t>Systemic antifungal therapy for tinea capitis in children.</w:t>
      </w:r>
      <w:r w:rsidR="00F75986">
        <w:rPr>
          <w:lang w:val="en-US"/>
        </w:rPr>
        <w:t xml:space="preserve"> Cochrane Database Syst Rev 2016;2016 (5). </w:t>
      </w:r>
      <w:r w:rsidR="00F75986" w:rsidRPr="00F75986">
        <w:rPr>
          <w:lang w:val="en-US"/>
        </w:rPr>
        <w:t xml:space="preserve"> </w:t>
      </w:r>
      <w:hyperlink r:id="rId28" w:history="1">
        <w:r w:rsidR="00F75986" w:rsidRPr="00F75986">
          <w:rPr>
            <w:rStyle w:val="Lienhypertexte"/>
            <w:lang w:val="en-US"/>
          </w:rPr>
          <w:t>https://www.cochranelibrary.com/cdsr/doi/10.1002/14651858.CD004685.pub3/epdf/full</w:t>
        </w:r>
      </w:hyperlink>
    </w:p>
    <w:p w14:paraId="3099D6DD" w14:textId="77777777" w:rsidR="00C93A52" w:rsidRPr="00F75986" w:rsidRDefault="00C93A52" w:rsidP="00EA358D">
      <w:pPr>
        <w:jc w:val="both"/>
        <w:rPr>
          <w:lang w:val="en-GB"/>
        </w:rPr>
      </w:pPr>
    </w:p>
    <w:p w14:paraId="18D4BCB8" w14:textId="77777777" w:rsidR="00F75986" w:rsidRPr="00D5275D" w:rsidRDefault="00F02350" w:rsidP="00EA358D">
      <w:pPr>
        <w:pStyle w:val="Corpsdetexte"/>
        <w:spacing w:before="5"/>
        <w:jc w:val="both"/>
        <w:rPr>
          <w:lang w:val="en-GB"/>
        </w:rPr>
      </w:pPr>
      <w:r w:rsidRPr="00F75986">
        <w:rPr>
          <w:lang w:val="en-US"/>
        </w:rPr>
        <w:t>[</w:t>
      </w:r>
      <w:r w:rsidR="009F512D" w:rsidRPr="00F75986">
        <w:rPr>
          <w:lang w:val="en-US"/>
        </w:rPr>
        <w:t>5</w:t>
      </w:r>
      <w:r w:rsidRPr="00F75986">
        <w:rPr>
          <w:lang w:val="en-US"/>
        </w:rPr>
        <w:t>]</w:t>
      </w:r>
      <w:r w:rsidR="007B6893" w:rsidRPr="00F75986">
        <w:rPr>
          <w:lang w:val="en-US"/>
        </w:rPr>
        <w:tab/>
      </w:r>
      <w:r w:rsidR="00F75986" w:rsidRPr="00F75986">
        <w:rPr>
          <w:lang w:val="en-US"/>
        </w:rPr>
        <w:t>A.K. Gupta, R.R. Mays, S.G. Versteeg, B.M. Piraccini, N.H. Shear, V. Piguet, A. Tosti, S.F. Friedlander</w:t>
      </w:r>
      <w:r w:rsidR="00F75986">
        <w:rPr>
          <w:lang w:val="en-US"/>
        </w:rPr>
        <w:t xml:space="preserve">. </w:t>
      </w:r>
      <w:r w:rsidR="00F75986" w:rsidRPr="00F75986">
        <w:rPr>
          <w:lang w:val="en-US"/>
        </w:rPr>
        <w:t>Tinea capitis in children: a systematic review of management</w:t>
      </w:r>
      <w:r w:rsidR="00F75986">
        <w:rPr>
          <w:lang w:val="en-US"/>
        </w:rPr>
        <w:t>.</w:t>
      </w:r>
      <w:r w:rsidR="00AD0182">
        <w:rPr>
          <w:lang w:val="en-US"/>
        </w:rPr>
        <w:t xml:space="preserve"> </w:t>
      </w:r>
      <w:r w:rsidR="00AD0182" w:rsidRPr="00E52B4B">
        <w:rPr>
          <w:lang w:val="en-GB"/>
        </w:rPr>
        <w:t xml:space="preserve">J Eur Acad Dermatol Venereol. </w:t>
      </w:r>
      <w:r w:rsidR="00AD0182" w:rsidRPr="00D5275D">
        <w:rPr>
          <w:lang w:val="en-GB"/>
        </w:rPr>
        <w:t xml:space="preserve">2018 Dec;32(12):2264-2274. </w:t>
      </w:r>
      <w:hyperlink r:id="rId29" w:history="1">
        <w:r w:rsidR="00F75986" w:rsidRPr="00D5275D">
          <w:rPr>
            <w:rStyle w:val="Lienhypertexte"/>
            <w:lang w:val="en-GB"/>
          </w:rPr>
          <w:t>https://doi.org/10.1111/jdv.15088</w:t>
        </w:r>
      </w:hyperlink>
    </w:p>
    <w:p w14:paraId="3458AFEB" w14:textId="77777777" w:rsidR="00F75986" w:rsidRPr="00D5275D" w:rsidRDefault="00F75986" w:rsidP="00EA358D">
      <w:pPr>
        <w:pStyle w:val="Corpsdetexte"/>
        <w:spacing w:before="5"/>
        <w:jc w:val="both"/>
        <w:rPr>
          <w:lang w:val="en-GB"/>
        </w:rPr>
      </w:pPr>
    </w:p>
    <w:p w14:paraId="49619260" w14:textId="77777777" w:rsidR="00F75986" w:rsidRPr="00E52B4B" w:rsidRDefault="00AD0182" w:rsidP="00EA358D">
      <w:pPr>
        <w:pStyle w:val="Corpsdetexte"/>
        <w:spacing w:before="5"/>
        <w:jc w:val="both"/>
      </w:pPr>
      <w:r w:rsidRPr="00AD0182">
        <w:rPr>
          <w:lang w:val="en-GB"/>
        </w:rPr>
        <w:t>[</w:t>
      </w:r>
      <w:r>
        <w:rPr>
          <w:lang w:val="en-GB"/>
        </w:rPr>
        <w:t>6</w:t>
      </w:r>
      <w:r w:rsidRPr="00AD0182">
        <w:rPr>
          <w:lang w:val="en-GB"/>
        </w:rPr>
        <w:t>]</w:t>
      </w:r>
      <w:r w:rsidRPr="00AD0182">
        <w:rPr>
          <w:lang w:val="en-GB"/>
        </w:rPr>
        <w:tab/>
        <w:t>A.K</w:t>
      </w:r>
      <w:r>
        <w:rPr>
          <w:lang w:val="en-GB"/>
        </w:rPr>
        <w:t>. Gupta,</w:t>
      </w:r>
      <w:r w:rsidRPr="00AD0182">
        <w:rPr>
          <w:lang w:val="en-GB"/>
        </w:rPr>
        <w:t xml:space="preserve"> Mary A. Bamimore, Helen J. Renaud, Neil H. Shear, Vincent Piguet,</w:t>
      </w:r>
      <w:r>
        <w:rPr>
          <w:lang w:val="en-GB"/>
        </w:rPr>
        <w:t xml:space="preserve">. </w:t>
      </w:r>
      <w:r w:rsidRPr="00AD0182">
        <w:rPr>
          <w:lang w:val="en-GB"/>
        </w:rPr>
        <w:t>A network meta-analysis on the efficacy and safety of monotherapies for tinea capitis, and an assessment of evidence quality</w:t>
      </w:r>
      <w:r>
        <w:rPr>
          <w:lang w:val="en-GB"/>
        </w:rPr>
        <w:t xml:space="preserve">. </w:t>
      </w:r>
      <w:r w:rsidRPr="00E52B4B">
        <w:t xml:space="preserve">Pediatr Dermatol. 2020 Nov;37(6):1014-1022. </w:t>
      </w:r>
      <w:hyperlink r:id="rId30" w:history="1">
        <w:r w:rsidRPr="00E52B4B">
          <w:rPr>
            <w:rStyle w:val="Lienhypertexte"/>
          </w:rPr>
          <w:t>https://doi.org/10.1111/pde.14353</w:t>
        </w:r>
      </w:hyperlink>
    </w:p>
    <w:p w14:paraId="3F395C12" w14:textId="77777777" w:rsidR="00AD0182" w:rsidRPr="00E52B4B" w:rsidRDefault="00AD0182" w:rsidP="00EA358D">
      <w:pPr>
        <w:pStyle w:val="Corpsdetexte"/>
        <w:spacing w:before="5"/>
        <w:jc w:val="both"/>
      </w:pPr>
    </w:p>
    <w:p w14:paraId="168DE74C" w14:textId="77777777" w:rsidR="00E26505" w:rsidRPr="00E52B4B" w:rsidRDefault="00E26505" w:rsidP="00EA358D">
      <w:pPr>
        <w:pStyle w:val="Corpsdetexte"/>
        <w:spacing w:before="5"/>
        <w:jc w:val="both"/>
      </w:pPr>
    </w:p>
    <w:p w14:paraId="5CEF1065" w14:textId="77777777" w:rsidR="00E26505" w:rsidRPr="00E52B4B" w:rsidRDefault="00E26505" w:rsidP="00EA358D">
      <w:pPr>
        <w:pStyle w:val="Corpsdetexte"/>
        <w:spacing w:before="5"/>
        <w:jc w:val="both"/>
      </w:pPr>
    </w:p>
    <w:p w14:paraId="5A54DEF6" w14:textId="77777777" w:rsidR="00603549" w:rsidRPr="00E52B4B" w:rsidRDefault="00603549" w:rsidP="0024445F">
      <w:pPr>
        <w:pStyle w:val="Corpsdetexte"/>
        <w:spacing w:before="5"/>
        <w:jc w:val="both"/>
      </w:pPr>
    </w:p>
    <w:p w14:paraId="04FA6F45" w14:textId="77777777" w:rsidR="0002008A" w:rsidRPr="00E52B4B" w:rsidRDefault="0002008A" w:rsidP="0024445F">
      <w:pPr>
        <w:pStyle w:val="Corpsdetexte"/>
        <w:spacing w:before="5"/>
        <w:jc w:val="both"/>
      </w:pPr>
    </w:p>
    <w:p w14:paraId="168B4CC3" w14:textId="77777777" w:rsidR="0002008A" w:rsidRPr="00E52B4B" w:rsidRDefault="0002008A" w:rsidP="0024445F">
      <w:pPr>
        <w:pStyle w:val="Corpsdetexte"/>
        <w:spacing w:before="5"/>
        <w:jc w:val="both"/>
        <w:sectPr w:rsidR="0002008A" w:rsidRPr="00E52B4B" w:rsidSect="0019164E">
          <w:type w:val="continuous"/>
          <w:pgSz w:w="11910" w:h="16840" w:code="9"/>
          <w:pgMar w:top="1276" w:right="1704" w:bottom="1417" w:left="1417" w:header="0" w:footer="1191" w:gutter="0"/>
          <w:cols w:space="720"/>
        </w:sectPr>
      </w:pPr>
    </w:p>
    <w:p w14:paraId="790C8C22" w14:textId="043C7F5F" w:rsidR="00B3576F" w:rsidRPr="00F92EBF" w:rsidRDefault="0082493A" w:rsidP="00F92EBF">
      <w:pPr>
        <w:pStyle w:val="Titre1"/>
        <w:numPr>
          <w:ilvl w:val="0"/>
          <w:numId w:val="0"/>
        </w:numPr>
        <w:spacing w:before="72"/>
        <w:ind w:left="-432" w:right="709"/>
      </w:pPr>
      <w:r>
        <w:lastRenderedPageBreak/>
        <w:t>Annexe I</w:t>
      </w:r>
      <w:r w:rsidR="002E5AAF">
        <w:t>II</w:t>
      </w:r>
    </w:p>
    <w:p w14:paraId="7168F680" w14:textId="77777777" w:rsidR="00B3576F" w:rsidRPr="00F92EBF" w:rsidRDefault="00B3576F" w:rsidP="00CE0095">
      <w:pPr>
        <w:pStyle w:val="Corpsdetexte"/>
        <w:rPr>
          <w:b/>
          <w:sz w:val="32"/>
        </w:rPr>
      </w:pPr>
    </w:p>
    <w:p w14:paraId="62C579F8" w14:textId="77777777" w:rsidR="00B3576F" w:rsidRPr="00F92EBF" w:rsidRDefault="00B3576F" w:rsidP="00B3576F">
      <w:pPr>
        <w:pStyle w:val="Corpsdetexte"/>
        <w:jc w:val="center"/>
        <w:rPr>
          <w:b/>
          <w:sz w:val="22"/>
          <w:szCs w:val="22"/>
        </w:rPr>
      </w:pPr>
      <w:r w:rsidRPr="00F92EBF">
        <w:rPr>
          <w:b/>
          <w:sz w:val="22"/>
          <w:szCs w:val="22"/>
        </w:rPr>
        <w:t>Rappel des modalités de déclaration des effets indésirables</w:t>
      </w:r>
    </w:p>
    <w:p w14:paraId="4CE50778" w14:textId="77777777" w:rsidR="00EB0AF5" w:rsidRDefault="00EB0AF5" w:rsidP="00B3576F">
      <w:pPr>
        <w:pStyle w:val="Corpsdetexte"/>
        <w:jc w:val="center"/>
        <w:rPr>
          <w:b/>
          <w:sz w:val="32"/>
        </w:rPr>
      </w:pPr>
    </w:p>
    <w:p w14:paraId="095C6169" w14:textId="77777777" w:rsidR="00B3576F" w:rsidRPr="00861B2F" w:rsidRDefault="00B3576F" w:rsidP="00DE2019">
      <w:pPr>
        <w:pStyle w:val="Titre3"/>
        <w:numPr>
          <w:ilvl w:val="2"/>
          <w:numId w:val="0"/>
        </w:numPr>
        <w:tabs>
          <w:tab w:val="num" w:pos="1008"/>
        </w:tabs>
        <w:spacing w:before="0" w:after="240"/>
        <w:ind w:right="66"/>
        <w:rPr>
          <w:rFonts w:ascii="Arial" w:hAnsi="Arial" w:cs="Arial"/>
          <w:b/>
          <w:bCs/>
          <w:sz w:val="20"/>
          <w:szCs w:val="20"/>
        </w:rPr>
      </w:pPr>
      <w:r w:rsidRPr="00861B2F">
        <w:rPr>
          <w:rFonts w:ascii="Arial" w:hAnsi="Arial" w:cs="Arial"/>
          <w:b/>
          <w:bCs/>
          <w:sz w:val="20"/>
          <w:szCs w:val="20"/>
        </w:rPr>
        <w:t>Qui déclare ?</w:t>
      </w:r>
    </w:p>
    <w:p w14:paraId="3811B251" w14:textId="77777777" w:rsidR="00B3576F" w:rsidRDefault="00B3576F" w:rsidP="00EB0AF5">
      <w:pPr>
        <w:ind w:right="66"/>
        <w:jc w:val="both"/>
        <w:rPr>
          <w:sz w:val="20"/>
          <w:szCs w:val="20"/>
        </w:rPr>
      </w:pPr>
      <w:r w:rsidRPr="001F504B">
        <w:rPr>
          <w:sz w:val="20"/>
          <w:szCs w:val="20"/>
        </w:rPr>
        <w:t>Tout médecin, chirurgien-dentiste, sage-femme ou pharmacien ayant eu connaissance d’un effet indésirable susceptible d’être dû au médicament</w:t>
      </w:r>
      <w:r>
        <w:rPr>
          <w:sz w:val="20"/>
          <w:szCs w:val="20"/>
        </w:rPr>
        <w:t>, doit en faire la déclaration.</w:t>
      </w:r>
    </w:p>
    <w:p w14:paraId="19F2979C" w14:textId="77777777" w:rsidR="000A6EBA" w:rsidRPr="00861B2F" w:rsidRDefault="000A6EBA" w:rsidP="00EB0AF5">
      <w:pPr>
        <w:ind w:right="66"/>
        <w:jc w:val="both"/>
        <w:rPr>
          <w:sz w:val="20"/>
          <w:szCs w:val="20"/>
        </w:rPr>
      </w:pPr>
    </w:p>
    <w:p w14:paraId="0AAEE868" w14:textId="77777777" w:rsidR="00B3576F" w:rsidRDefault="00B3576F" w:rsidP="00EB0AF5">
      <w:pPr>
        <w:pStyle w:val="Text"/>
        <w:spacing w:before="0"/>
        <w:ind w:right="66"/>
        <w:rPr>
          <w:rFonts w:ascii="Arial" w:hAnsi="Arial" w:cs="Arial"/>
          <w:sz w:val="20"/>
          <w:lang w:val="fr-FR"/>
        </w:rPr>
      </w:pPr>
      <w:r w:rsidRPr="00861B2F">
        <w:rPr>
          <w:rFonts w:ascii="Arial" w:hAnsi="Arial" w:cs="Arial"/>
          <w:sz w:val="20"/>
          <w:lang w:val="fr-FR"/>
        </w:rPr>
        <w:t>Les autres professionnels de santé peuvent également déclarer tout effet indésirable suspecté d'être dû au médicament dont ils ont connaissance.</w:t>
      </w:r>
    </w:p>
    <w:p w14:paraId="7316A21D" w14:textId="77777777" w:rsidR="000A6EBA" w:rsidRDefault="000A6EBA" w:rsidP="00EB0AF5">
      <w:pPr>
        <w:pStyle w:val="Text"/>
        <w:spacing w:before="0"/>
        <w:ind w:right="66"/>
        <w:rPr>
          <w:rFonts w:ascii="Arial" w:hAnsi="Arial" w:cs="Arial"/>
          <w:sz w:val="20"/>
          <w:lang w:val="fr-FR"/>
        </w:rPr>
      </w:pPr>
      <w:r w:rsidRPr="00E213EB">
        <w:rPr>
          <w:rFonts w:ascii="Arial" w:eastAsia="Calibri" w:hAnsi="Arial" w:cs="Arial"/>
          <w:sz w:val="20"/>
          <w:lang w:val="fr-FR"/>
        </w:rPr>
        <w:t xml:space="preserve">En outre, les professionnels de santé sont encouragés à déclarer toute situation particulière </w:t>
      </w:r>
      <w:r w:rsidRPr="00E213EB">
        <w:rPr>
          <w:rFonts w:ascii="Arial" w:hAnsi="Arial" w:cs="Arial"/>
          <w:sz w:val="20"/>
          <w:lang w:val="fr-FR"/>
        </w:rPr>
        <w:t>(cf. paragraphe ci-dessous « Que déclarer ? »)</w:t>
      </w:r>
      <w:r w:rsidRPr="00E213EB">
        <w:rPr>
          <w:rFonts w:ascii="Arial" w:eastAsia="Calibri" w:hAnsi="Arial" w:cs="Arial"/>
          <w:sz w:val="20"/>
          <w:lang w:val="fr-FR"/>
        </w:rPr>
        <w:t>.</w:t>
      </w:r>
    </w:p>
    <w:p w14:paraId="4656258D" w14:textId="77777777" w:rsidR="000A6EBA" w:rsidRPr="00861B2F" w:rsidRDefault="000A6EBA" w:rsidP="00EB0AF5">
      <w:pPr>
        <w:pStyle w:val="Text"/>
        <w:spacing w:before="0"/>
        <w:ind w:right="66"/>
        <w:rPr>
          <w:rFonts w:ascii="Arial" w:hAnsi="Arial" w:cs="Arial"/>
          <w:sz w:val="20"/>
          <w:lang w:val="fr-FR"/>
        </w:rPr>
      </w:pPr>
    </w:p>
    <w:p w14:paraId="71EB652A" w14:textId="77777777" w:rsidR="00B3576F" w:rsidRPr="001E3412" w:rsidRDefault="00B3576F" w:rsidP="00EB0AF5">
      <w:pPr>
        <w:ind w:right="66"/>
        <w:jc w:val="both"/>
        <w:rPr>
          <w:sz w:val="20"/>
          <w:szCs w:val="20"/>
        </w:rPr>
      </w:pPr>
      <w:r w:rsidRPr="004E7F75">
        <w:rPr>
          <w:sz w:val="20"/>
          <w:szCs w:val="20"/>
          <w:lang w:eastAsia="fr-FR"/>
        </w:rPr>
        <w:t xml:space="preserve">Le patient ou son représentant légal ou la personne de confiance qu’il a désignée </w:t>
      </w:r>
      <w:r w:rsidRPr="004E7F75">
        <w:rPr>
          <w:sz w:val="20"/>
          <w:szCs w:val="20"/>
        </w:rPr>
        <w:t>ou les associations agréées que pourrait solliciter le pat</w:t>
      </w:r>
      <w:r w:rsidRPr="001E3412">
        <w:rPr>
          <w:sz w:val="20"/>
          <w:szCs w:val="20"/>
        </w:rPr>
        <w:t>ient</w:t>
      </w:r>
      <w:r w:rsidR="00DD3428">
        <w:rPr>
          <w:sz w:val="20"/>
          <w:szCs w:val="20"/>
        </w:rPr>
        <w:t xml:space="preserve"> </w:t>
      </w:r>
      <w:r w:rsidR="00DD3428">
        <w:rPr>
          <w:rFonts w:eastAsia="Calibri"/>
          <w:sz w:val="20"/>
        </w:rPr>
        <w:t xml:space="preserve">peut </w:t>
      </w:r>
      <w:r w:rsidR="00DD3428" w:rsidRPr="00B23549">
        <w:rPr>
          <w:sz w:val="20"/>
          <w:szCs w:val="20"/>
        </w:rPr>
        <w:t>déclarer</w:t>
      </w:r>
      <w:r w:rsidR="00DD3428">
        <w:rPr>
          <w:sz w:val="20"/>
          <w:szCs w:val="20"/>
        </w:rPr>
        <w:t xml:space="preserve"> les effets i</w:t>
      </w:r>
      <w:r w:rsidR="00DD3428" w:rsidRPr="00B23549">
        <w:rPr>
          <w:sz w:val="20"/>
          <w:szCs w:val="20"/>
        </w:rPr>
        <w:t>ndésirable</w:t>
      </w:r>
      <w:r w:rsidR="00DD3428">
        <w:rPr>
          <w:sz w:val="20"/>
          <w:szCs w:val="20"/>
        </w:rPr>
        <w:t>s/ situations particulières (cf. paragraphe ci-dessous « Que déclarer ? ») qu’il, ou son entourage, suspecte d’être liés à l’utilisation du médicament</w:t>
      </w:r>
      <w:r w:rsidR="00DD3428">
        <w:rPr>
          <w:rFonts w:eastAsia="Calibri"/>
          <w:sz w:val="20"/>
        </w:rPr>
        <w:t>.</w:t>
      </w:r>
    </w:p>
    <w:p w14:paraId="6E94FF61" w14:textId="77777777" w:rsidR="00B3576F" w:rsidRPr="00861B2F" w:rsidRDefault="00B3576F" w:rsidP="00DE2019">
      <w:pPr>
        <w:spacing w:after="240"/>
        <w:jc w:val="both"/>
        <w:rPr>
          <w:sz w:val="20"/>
          <w:szCs w:val="20"/>
        </w:rPr>
      </w:pPr>
    </w:p>
    <w:p w14:paraId="651627A5" w14:textId="77777777" w:rsidR="00B3576F" w:rsidRPr="00DE2019" w:rsidRDefault="00B3576F" w:rsidP="00DE2019">
      <w:pPr>
        <w:pStyle w:val="Titre3"/>
        <w:numPr>
          <w:ilvl w:val="2"/>
          <w:numId w:val="0"/>
        </w:numPr>
        <w:tabs>
          <w:tab w:val="num" w:pos="1008"/>
        </w:tabs>
        <w:spacing w:before="0" w:after="240"/>
        <w:ind w:right="66"/>
        <w:rPr>
          <w:rFonts w:ascii="Arial" w:hAnsi="Arial" w:cs="Arial"/>
          <w:b/>
          <w:bCs/>
          <w:sz w:val="20"/>
          <w:szCs w:val="20"/>
        </w:rPr>
      </w:pPr>
      <w:r w:rsidRPr="00861B2F">
        <w:rPr>
          <w:rFonts w:ascii="Arial" w:hAnsi="Arial" w:cs="Arial"/>
          <w:b/>
          <w:bCs/>
          <w:sz w:val="20"/>
          <w:szCs w:val="20"/>
        </w:rPr>
        <w:t>Que déclarer</w:t>
      </w:r>
      <w:r w:rsidRPr="00DE2019">
        <w:rPr>
          <w:rFonts w:ascii="Arial" w:hAnsi="Arial" w:cs="Arial"/>
          <w:b/>
          <w:bCs/>
          <w:sz w:val="20"/>
          <w:szCs w:val="20"/>
        </w:rPr>
        <w:t xml:space="preserve"> ?</w:t>
      </w:r>
    </w:p>
    <w:p w14:paraId="1DFBC514" w14:textId="77777777" w:rsidR="000A6EBA" w:rsidRDefault="000A6EBA" w:rsidP="000A6EBA">
      <w:pPr>
        <w:jc w:val="both"/>
        <w:rPr>
          <w:sz w:val="20"/>
          <w:szCs w:val="20"/>
        </w:rPr>
      </w:pPr>
      <w:r w:rsidRPr="001F1809">
        <w:rPr>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5EC44577" w14:textId="77777777" w:rsidR="004A1A0F" w:rsidRPr="001F1809" w:rsidRDefault="004A1A0F" w:rsidP="000A6EBA">
      <w:pPr>
        <w:jc w:val="both"/>
        <w:rPr>
          <w:sz w:val="20"/>
          <w:szCs w:val="20"/>
        </w:rPr>
      </w:pPr>
    </w:p>
    <w:p w14:paraId="2AA9BEB9" w14:textId="77777777" w:rsidR="000A6EBA" w:rsidRPr="005D5849" w:rsidRDefault="000A6EBA" w:rsidP="000A6EBA">
      <w:pPr>
        <w:jc w:val="both"/>
        <w:rPr>
          <w:sz w:val="20"/>
          <w:szCs w:val="20"/>
        </w:rPr>
      </w:pPr>
      <w:r w:rsidRPr="001F1809">
        <w:rPr>
          <w:sz w:val="20"/>
          <w:szCs w:val="20"/>
        </w:rPr>
        <w:t xml:space="preserve">En outre, il convient également de </w:t>
      </w:r>
      <w:r w:rsidRPr="005D5849">
        <w:rPr>
          <w:sz w:val="20"/>
          <w:szCs w:val="20"/>
        </w:rPr>
        <w:t>déclarer toute situation particulière :</w:t>
      </w:r>
    </w:p>
    <w:p w14:paraId="4D06868A" w14:textId="77777777" w:rsidR="000A6EBA" w:rsidRPr="005D5849" w:rsidRDefault="000A6EBA" w:rsidP="000A6EBA">
      <w:pPr>
        <w:pStyle w:val="Paragraphedeliste"/>
        <w:widowControl/>
        <w:numPr>
          <w:ilvl w:val="0"/>
          <w:numId w:val="18"/>
        </w:numPr>
        <w:autoSpaceDE/>
        <w:autoSpaceDN/>
        <w:spacing w:before="40" w:after="20" w:line="288" w:lineRule="auto"/>
        <w:rPr>
          <w:sz w:val="20"/>
          <w:szCs w:val="20"/>
        </w:rPr>
      </w:pPr>
      <w:r w:rsidRPr="005D5849">
        <w:rPr>
          <w:sz w:val="20"/>
          <w:szCs w:val="20"/>
        </w:rPr>
        <w:t xml:space="preserve">toute erreur médicamenteuse sans effet indésirable, qu’elle soit avérée, potentielle ou latente, </w:t>
      </w:r>
    </w:p>
    <w:p w14:paraId="0E6432FA" w14:textId="77777777" w:rsidR="000A6EBA" w:rsidRPr="005D5849" w:rsidRDefault="000A6EBA" w:rsidP="000A6EBA">
      <w:pPr>
        <w:pStyle w:val="Paragraphedeliste"/>
        <w:widowControl/>
        <w:numPr>
          <w:ilvl w:val="0"/>
          <w:numId w:val="18"/>
        </w:numPr>
        <w:autoSpaceDE/>
        <w:autoSpaceDN/>
        <w:spacing w:before="40" w:after="20" w:line="288" w:lineRule="auto"/>
        <w:rPr>
          <w:sz w:val="20"/>
          <w:szCs w:val="20"/>
        </w:rPr>
      </w:pPr>
      <w:r w:rsidRPr="005D5849">
        <w:rPr>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3504684E" w14:textId="77777777" w:rsidR="000A6EBA" w:rsidRPr="005D5849" w:rsidRDefault="000A6EBA" w:rsidP="000A6EBA">
      <w:pPr>
        <w:pStyle w:val="Paragraphedeliste"/>
        <w:widowControl/>
        <w:numPr>
          <w:ilvl w:val="0"/>
          <w:numId w:val="18"/>
        </w:numPr>
        <w:autoSpaceDE/>
        <w:autoSpaceDN/>
        <w:spacing w:before="40" w:after="20" w:line="288" w:lineRule="auto"/>
        <w:rPr>
          <w:sz w:val="20"/>
          <w:szCs w:val="20"/>
        </w:rPr>
      </w:pPr>
      <w:r w:rsidRPr="005D5849">
        <w:rPr>
          <w:sz w:val="20"/>
          <w:szCs w:val="20"/>
        </w:rPr>
        <w:t xml:space="preserve">toute suspicion de transmission d’agents infectieux liée à un médicament ou à un produit, </w:t>
      </w:r>
    </w:p>
    <w:p w14:paraId="052236C1" w14:textId="77777777" w:rsidR="000A6EBA" w:rsidRPr="005D5849" w:rsidRDefault="000A6EBA" w:rsidP="000A6EBA">
      <w:pPr>
        <w:pStyle w:val="Paragraphedeliste"/>
        <w:widowControl/>
        <w:numPr>
          <w:ilvl w:val="0"/>
          <w:numId w:val="18"/>
        </w:numPr>
        <w:autoSpaceDE/>
        <w:autoSpaceDN/>
        <w:spacing w:before="40" w:after="20" w:line="288" w:lineRule="auto"/>
        <w:rPr>
          <w:sz w:val="20"/>
          <w:szCs w:val="20"/>
        </w:rPr>
      </w:pPr>
      <w:r w:rsidRPr="005D5849">
        <w:rPr>
          <w:sz w:val="20"/>
          <w:szCs w:val="20"/>
        </w:rPr>
        <w:t>toute exposition à un médicament au cours de la grossesse ou de l’allaitement sans survenue d’effet indésirable ;</w:t>
      </w:r>
    </w:p>
    <w:p w14:paraId="0C9B495B" w14:textId="77777777" w:rsidR="000A6EBA" w:rsidRPr="005D5849" w:rsidRDefault="000A6EBA" w:rsidP="000A6EBA">
      <w:pPr>
        <w:pStyle w:val="Paragraphedeliste"/>
        <w:widowControl/>
        <w:numPr>
          <w:ilvl w:val="0"/>
          <w:numId w:val="18"/>
        </w:numPr>
        <w:autoSpaceDE/>
        <w:autoSpaceDN/>
        <w:spacing w:before="40" w:after="20" w:line="288" w:lineRule="auto"/>
        <w:rPr>
          <w:sz w:val="20"/>
          <w:szCs w:val="20"/>
        </w:rPr>
      </w:pPr>
      <w:r w:rsidRPr="005D5849">
        <w:rPr>
          <w:sz w:val="20"/>
          <w:szCs w:val="20"/>
        </w:rPr>
        <w:t>toute situation jugée pertinente de déclarer.</w:t>
      </w:r>
    </w:p>
    <w:p w14:paraId="3C59E739" w14:textId="77777777" w:rsidR="00B3576F" w:rsidRPr="00DE2019" w:rsidRDefault="00B3576F" w:rsidP="00DE2019">
      <w:pPr>
        <w:spacing w:after="240"/>
        <w:jc w:val="both"/>
        <w:rPr>
          <w:sz w:val="20"/>
          <w:szCs w:val="20"/>
        </w:rPr>
      </w:pPr>
    </w:p>
    <w:p w14:paraId="60085444" w14:textId="77777777" w:rsidR="00B3576F" w:rsidRPr="00861B2F" w:rsidRDefault="00B3576F" w:rsidP="00DE2019">
      <w:pPr>
        <w:pStyle w:val="Titre3"/>
        <w:numPr>
          <w:ilvl w:val="2"/>
          <w:numId w:val="0"/>
        </w:numPr>
        <w:tabs>
          <w:tab w:val="num" w:pos="1008"/>
        </w:tabs>
        <w:spacing w:before="0" w:after="240"/>
        <w:ind w:right="66"/>
        <w:rPr>
          <w:rFonts w:ascii="Arial" w:hAnsi="Arial" w:cs="Arial"/>
          <w:b/>
          <w:bCs/>
          <w:sz w:val="20"/>
          <w:szCs w:val="20"/>
        </w:rPr>
      </w:pPr>
      <w:r w:rsidRPr="00861B2F">
        <w:rPr>
          <w:rFonts w:ascii="Arial" w:hAnsi="Arial" w:cs="Arial"/>
          <w:b/>
          <w:bCs/>
          <w:sz w:val="20"/>
          <w:szCs w:val="20"/>
        </w:rPr>
        <w:t>Quand déclarer ?</w:t>
      </w:r>
    </w:p>
    <w:p w14:paraId="3A959762" w14:textId="77777777" w:rsidR="00B3576F" w:rsidRPr="00861B2F" w:rsidRDefault="000A6EBA" w:rsidP="00DE2019">
      <w:pPr>
        <w:spacing w:after="240"/>
        <w:jc w:val="both"/>
        <w:rPr>
          <w:sz w:val="20"/>
          <w:szCs w:val="20"/>
        </w:rPr>
      </w:pPr>
      <w:r w:rsidRPr="001F1809">
        <w:rPr>
          <w:rFonts w:eastAsia="Calibri"/>
          <w:sz w:val="20"/>
          <w:szCs w:val="20"/>
        </w:rPr>
        <w:t>Tous les effets indésirables/</w:t>
      </w:r>
      <w:r w:rsidRPr="001F1809">
        <w:rPr>
          <w:sz w:val="20"/>
          <w:szCs w:val="20"/>
        </w:rPr>
        <w:t xml:space="preserve"> situations particulières </w:t>
      </w:r>
      <w:r w:rsidRPr="001F1809">
        <w:rPr>
          <w:rFonts w:eastAsia="Calibri"/>
          <w:sz w:val="20"/>
          <w:szCs w:val="20"/>
        </w:rPr>
        <w:t>doivent être déclarés dès que le professionnel de santé ou le patient en a connaissance</w:t>
      </w:r>
      <w:r w:rsidRPr="00861B2F" w:rsidDel="000A6EBA">
        <w:rPr>
          <w:sz w:val="20"/>
          <w:szCs w:val="20"/>
          <w:lang w:eastAsia="fr-FR"/>
        </w:rPr>
        <w:t xml:space="preserve"> </w:t>
      </w:r>
    </w:p>
    <w:p w14:paraId="17DD6CE9" w14:textId="77777777" w:rsidR="00B3576F" w:rsidRPr="00861B2F" w:rsidRDefault="00B3576F" w:rsidP="00DE2019">
      <w:pPr>
        <w:pStyle w:val="Titre3"/>
        <w:numPr>
          <w:ilvl w:val="2"/>
          <w:numId w:val="0"/>
        </w:numPr>
        <w:tabs>
          <w:tab w:val="num" w:pos="1008"/>
        </w:tabs>
        <w:spacing w:before="0" w:after="240"/>
        <w:ind w:right="66"/>
        <w:rPr>
          <w:rFonts w:ascii="Arial" w:hAnsi="Arial" w:cs="Arial"/>
          <w:b/>
          <w:bCs/>
          <w:sz w:val="20"/>
          <w:szCs w:val="20"/>
        </w:rPr>
      </w:pPr>
      <w:r w:rsidRPr="00861B2F">
        <w:rPr>
          <w:rFonts w:ascii="Arial" w:hAnsi="Arial" w:cs="Arial"/>
          <w:b/>
          <w:bCs/>
          <w:sz w:val="20"/>
          <w:szCs w:val="20"/>
        </w:rPr>
        <w:t>Comment</w:t>
      </w:r>
      <w:r w:rsidR="000A6EBA">
        <w:rPr>
          <w:rFonts w:ascii="Arial" w:hAnsi="Arial" w:cs="Arial"/>
          <w:b/>
          <w:bCs/>
          <w:sz w:val="20"/>
          <w:szCs w:val="20"/>
        </w:rPr>
        <w:t xml:space="preserve"> et à qui</w:t>
      </w:r>
      <w:r w:rsidRPr="00861B2F">
        <w:rPr>
          <w:rFonts w:ascii="Arial" w:hAnsi="Arial" w:cs="Arial"/>
          <w:b/>
          <w:bCs/>
          <w:sz w:val="20"/>
          <w:szCs w:val="20"/>
        </w:rPr>
        <w:t xml:space="preserve"> déclarer ?</w:t>
      </w:r>
    </w:p>
    <w:p w14:paraId="24A7E61C" w14:textId="77777777" w:rsidR="00B3576F" w:rsidRPr="00861B2F" w:rsidRDefault="00B3576F" w:rsidP="00EB0AF5">
      <w:pPr>
        <w:tabs>
          <w:tab w:val="left" w:pos="-1238"/>
          <w:tab w:val="left" w:pos="-720"/>
          <w:tab w:val="left" w:pos="0"/>
          <w:tab w:val="left" w:pos="142"/>
          <w:tab w:val="left" w:pos="826"/>
          <w:tab w:val="left" w:pos="940"/>
          <w:tab w:val="left" w:pos="2160"/>
          <w:tab w:val="left" w:pos="2880"/>
          <w:tab w:val="left" w:pos="3119"/>
          <w:tab w:val="left" w:pos="3600"/>
          <w:tab w:val="left" w:pos="4320"/>
          <w:tab w:val="left" w:pos="5040"/>
          <w:tab w:val="left" w:pos="5760"/>
          <w:tab w:val="left" w:pos="6480"/>
          <w:tab w:val="left" w:pos="7200"/>
          <w:tab w:val="left" w:pos="7920"/>
          <w:tab w:val="left" w:pos="8640"/>
        </w:tabs>
        <w:ind w:right="141"/>
        <w:jc w:val="both"/>
        <w:rPr>
          <w:sz w:val="20"/>
          <w:szCs w:val="20"/>
          <w:u w:val="single"/>
        </w:rPr>
      </w:pPr>
      <w:r w:rsidRPr="00861B2F">
        <w:rPr>
          <w:sz w:val="20"/>
          <w:szCs w:val="20"/>
          <w:u w:val="single"/>
        </w:rPr>
        <w:t>Pour les professionnels de santé :</w:t>
      </w:r>
    </w:p>
    <w:p w14:paraId="5833943E" w14:textId="253F30F4" w:rsidR="000A6EBA" w:rsidRDefault="000A6EBA" w:rsidP="000A6EBA">
      <w:pPr>
        <w:ind w:left="709" w:right="260"/>
        <w:jc w:val="both"/>
        <w:rPr>
          <w:rFonts w:eastAsia="Calibri"/>
          <w:sz w:val="20"/>
          <w:szCs w:val="20"/>
        </w:rPr>
      </w:pPr>
      <w:r w:rsidRPr="001F1809">
        <w:rPr>
          <w:rFonts w:eastAsia="Calibri"/>
          <w:sz w:val="20"/>
          <w:szCs w:val="20"/>
        </w:rPr>
        <w:t xml:space="preserve">La déclaration se fait </w:t>
      </w:r>
      <w:r>
        <w:rPr>
          <w:rFonts w:eastAsia="Calibri"/>
          <w:sz w:val="20"/>
          <w:szCs w:val="20"/>
        </w:rPr>
        <w:t xml:space="preserve">préférentiellement </w:t>
      </w:r>
      <w:r w:rsidRPr="001F1809">
        <w:rPr>
          <w:rFonts w:eastAsia="Calibri"/>
          <w:sz w:val="20"/>
          <w:szCs w:val="20"/>
        </w:rPr>
        <w:t xml:space="preserve">directement sur le portail de signalement : </w:t>
      </w:r>
      <w:hyperlink r:id="rId31" w:history="1">
        <w:r w:rsidR="00B34C09" w:rsidRPr="00B34C09">
          <w:rPr>
            <w:rStyle w:val="Lienhypertexte"/>
            <w:rFonts w:eastAsia="Calibri"/>
            <w:sz w:val="20"/>
            <w:szCs w:val="20"/>
          </w:rPr>
          <w:t>https://signalement.social-sante.gouv.fr</w:t>
        </w:r>
      </w:hyperlink>
      <w:r w:rsidRPr="009171FC">
        <w:rPr>
          <w:rFonts w:eastAsia="Calibri"/>
          <w:sz w:val="20"/>
          <w:szCs w:val="20"/>
        </w:rPr>
        <w:t>).</w:t>
      </w:r>
      <w:r w:rsidRPr="001F1809">
        <w:rPr>
          <w:rFonts w:eastAsia="Calibri"/>
          <w:sz w:val="20"/>
          <w:szCs w:val="20"/>
        </w:rPr>
        <w:t xml:space="preserve"> La déclaration doit clairement indiquer que la prescription a été faite dans </w:t>
      </w:r>
      <w:r>
        <w:rPr>
          <w:rFonts w:eastAsia="Calibri"/>
          <w:sz w:val="20"/>
          <w:szCs w:val="20"/>
        </w:rPr>
        <w:t>le contexte d’</w:t>
      </w:r>
      <w:r w:rsidRPr="001F1809">
        <w:rPr>
          <w:rFonts w:eastAsia="Calibri"/>
          <w:sz w:val="20"/>
          <w:szCs w:val="20"/>
        </w:rPr>
        <w:t>un cadre de prescription compassionnelle (CPC).</w:t>
      </w:r>
    </w:p>
    <w:p w14:paraId="4DCAE0B8" w14:textId="77777777" w:rsidR="000A6EBA" w:rsidRPr="001F1809" w:rsidRDefault="000A6EBA" w:rsidP="000A6EBA">
      <w:pPr>
        <w:ind w:left="709" w:right="260"/>
        <w:jc w:val="both"/>
        <w:rPr>
          <w:rFonts w:eastAsia="Calibri"/>
          <w:sz w:val="20"/>
          <w:szCs w:val="20"/>
        </w:rPr>
      </w:pPr>
      <w:r w:rsidRPr="00732874">
        <w:rPr>
          <w:rFonts w:eastAsia="Calibri"/>
          <w:sz w:val="20"/>
          <w:szCs w:val="20"/>
        </w:rPr>
        <w:t xml:space="preserve">D’autres supports de déclaration peuvent être utilisés, tels qu’un courrier, un compte rendu d’hospitalisation, un fax, un courriel ou un appel téléphonique, adressés directement au CRPV du territoire duquel dépend le professionnel de santé. La liste indiquant l’adresse et </w:t>
      </w:r>
      <w:r w:rsidRPr="00732874">
        <w:rPr>
          <w:rFonts w:eastAsia="Calibri"/>
          <w:sz w:val="20"/>
          <w:szCs w:val="20"/>
        </w:rPr>
        <w:lastRenderedPageBreak/>
        <w:t>les départements couverts par chaque CRPV est disponible sur le site Internet de l’ANSM. </w:t>
      </w:r>
    </w:p>
    <w:p w14:paraId="7B1BD6A5" w14:textId="77777777" w:rsidR="000A6EBA" w:rsidRDefault="000A6EBA" w:rsidP="000A6EBA">
      <w:pPr>
        <w:ind w:left="709" w:right="260"/>
        <w:jc w:val="both"/>
        <w:rPr>
          <w:rFonts w:eastAsia="Calibri"/>
          <w:sz w:val="20"/>
          <w:szCs w:val="20"/>
        </w:rPr>
      </w:pPr>
    </w:p>
    <w:p w14:paraId="7606760B" w14:textId="77777777" w:rsidR="00DE2019" w:rsidRDefault="00DE2019" w:rsidP="00EB0AF5">
      <w:pPr>
        <w:tabs>
          <w:tab w:val="left" w:pos="3119"/>
        </w:tabs>
        <w:adjustRightInd w:val="0"/>
        <w:ind w:right="141"/>
        <w:jc w:val="both"/>
        <w:rPr>
          <w:sz w:val="20"/>
          <w:szCs w:val="20"/>
          <w:u w:val="single"/>
        </w:rPr>
      </w:pPr>
    </w:p>
    <w:p w14:paraId="70EB78CF" w14:textId="77777777" w:rsidR="00B3576F" w:rsidRPr="00861B2F" w:rsidRDefault="00B3576F" w:rsidP="00EB0AF5">
      <w:pPr>
        <w:tabs>
          <w:tab w:val="left" w:pos="3119"/>
        </w:tabs>
        <w:adjustRightInd w:val="0"/>
        <w:ind w:right="141"/>
        <w:jc w:val="both"/>
        <w:rPr>
          <w:sz w:val="20"/>
          <w:szCs w:val="20"/>
          <w:u w:val="single"/>
        </w:rPr>
      </w:pPr>
      <w:r w:rsidRPr="00861B2F">
        <w:rPr>
          <w:sz w:val="20"/>
          <w:szCs w:val="20"/>
          <w:u w:val="single"/>
        </w:rPr>
        <w:t>Pour les patients</w:t>
      </w:r>
      <w:r>
        <w:rPr>
          <w:sz w:val="20"/>
          <w:szCs w:val="20"/>
          <w:u w:val="single"/>
        </w:rPr>
        <w:t xml:space="preserve"> et/ou les associations de patients</w:t>
      </w:r>
      <w:r w:rsidRPr="00861B2F">
        <w:rPr>
          <w:sz w:val="20"/>
          <w:szCs w:val="20"/>
          <w:u w:val="single"/>
        </w:rPr>
        <w:t> :</w:t>
      </w:r>
    </w:p>
    <w:p w14:paraId="14867DEF" w14:textId="782DE6B1" w:rsidR="000A6EBA" w:rsidRDefault="000A6EBA" w:rsidP="000A6EBA">
      <w:pPr>
        <w:ind w:left="709"/>
        <w:jc w:val="both"/>
        <w:rPr>
          <w:sz w:val="20"/>
          <w:szCs w:val="20"/>
        </w:rPr>
      </w:pPr>
      <w:r w:rsidRPr="001F1809">
        <w:rPr>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sz w:val="20"/>
          <w:szCs w:val="20"/>
        </w:rPr>
        <w:t>indésirables/situations particulières directement via le portail de signalement</w:t>
      </w:r>
      <w:r w:rsidRPr="0093672E">
        <w:t xml:space="preserve"> : </w:t>
      </w:r>
      <w:hyperlink r:id="rId32" w:history="1">
        <w:r w:rsidR="00B34C09" w:rsidRPr="009A7E95">
          <w:rPr>
            <w:rStyle w:val="Lienhypertexte"/>
            <w:sz w:val="20"/>
            <w:szCs w:val="20"/>
          </w:rPr>
          <w:t>https://signalement.social-sante.gouv.fr/</w:t>
        </w:r>
      </w:hyperlink>
      <w:r w:rsidRPr="0093672E">
        <w:t xml:space="preserve"> </w:t>
      </w:r>
      <w:r w:rsidRPr="00732874">
        <w:rPr>
          <w:sz w:val="20"/>
          <w:szCs w:val="20"/>
        </w:rPr>
        <w:t xml:space="preserve">en précisant que le traitement est administré dans le contexte d’un cadre de prescription compassionnelle (CPC). </w:t>
      </w:r>
    </w:p>
    <w:p w14:paraId="069A007C" w14:textId="77777777" w:rsidR="004A1A0F" w:rsidRDefault="004A1A0F" w:rsidP="000A6EBA">
      <w:pPr>
        <w:ind w:left="709"/>
        <w:jc w:val="both"/>
        <w:rPr>
          <w:sz w:val="20"/>
          <w:szCs w:val="20"/>
        </w:rPr>
      </w:pPr>
    </w:p>
    <w:p w14:paraId="5D115389" w14:textId="77777777" w:rsidR="000A6EBA" w:rsidRPr="00732874" w:rsidRDefault="000A6EBA" w:rsidP="000A6EBA">
      <w:pPr>
        <w:ind w:left="709"/>
        <w:jc w:val="both"/>
        <w:rPr>
          <w:sz w:val="20"/>
          <w:szCs w:val="20"/>
        </w:rPr>
      </w:pPr>
      <w:r w:rsidRPr="002A79D5">
        <w:rPr>
          <w:rFonts w:eastAsia="Calibri"/>
          <w:color w:val="000000"/>
          <w:sz w:val="20"/>
        </w:rPr>
        <w:t>D’autres supports de déclaration peuvent être utilisés, tels qu’un courrier, un courriel, ou un appel téléphonique,</w:t>
      </w:r>
      <w:r>
        <w:rPr>
          <w:rFonts w:eastAsia="Calibri"/>
          <w:color w:val="000000"/>
          <w:sz w:val="20"/>
        </w:rPr>
        <w:t xml:space="preserve"> </w:t>
      </w:r>
      <w:r w:rsidRPr="002A79D5">
        <w:rPr>
          <w:rFonts w:eastAsia="Calibri"/>
          <w:color w:val="000000"/>
          <w:sz w:val="20"/>
        </w:rPr>
        <w:t>adressés directement au CRPV dont la personne ayant présenté l’effet indésirable dépend géographiquement. La liste indiquant l’adresse et les départements couverts par chaque CRPV est disponible sur le site Internet de l’ANSM.</w:t>
      </w:r>
    </w:p>
    <w:p w14:paraId="7CBE9B56" w14:textId="77777777" w:rsidR="00EB0AF5" w:rsidRPr="00861B2F" w:rsidRDefault="00EB0AF5" w:rsidP="00DE201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after="240"/>
        <w:ind w:right="66"/>
        <w:jc w:val="both"/>
        <w:rPr>
          <w:sz w:val="20"/>
          <w:szCs w:val="20"/>
        </w:rPr>
      </w:pPr>
    </w:p>
    <w:p w14:paraId="375A3A03" w14:textId="77777777" w:rsidR="00B3576F" w:rsidRPr="004E7F75" w:rsidRDefault="00B3576F" w:rsidP="00EB0AF5">
      <w:pPr>
        <w:adjustRightInd w:val="0"/>
        <w:jc w:val="both"/>
        <w:rPr>
          <w:sz w:val="20"/>
          <w:szCs w:val="20"/>
          <w:lang w:eastAsia="fr-FR"/>
        </w:rPr>
      </w:pPr>
    </w:p>
    <w:p w14:paraId="1B706407" w14:textId="77777777" w:rsidR="00B3576F" w:rsidRPr="00DE2019" w:rsidRDefault="00B3576F" w:rsidP="00EB0AF5">
      <w:pPr>
        <w:rPr>
          <w:b/>
          <w:sz w:val="20"/>
          <w:szCs w:val="20"/>
        </w:rPr>
      </w:pPr>
      <w:r w:rsidRPr="00DE2019">
        <w:rPr>
          <w:b/>
          <w:sz w:val="20"/>
          <w:szCs w:val="20"/>
        </w:rPr>
        <w:br w:type="page"/>
      </w:r>
    </w:p>
    <w:p w14:paraId="41BA1957" w14:textId="77777777" w:rsidR="00D21D56" w:rsidRPr="00B3576F" w:rsidRDefault="00D21D56" w:rsidP="0024445F">
      <w:pPr>
        <w:pStyle w:val="Corpsdetexte"/>
        <w:jc w:val="center"/>
        <w:rPr>
          <w:b/>
          <w:sz w:val="32"/>
        </w:rPr>
      </w:pPr>
    </w:p>
    <w:p w14:paraId="1B6AEC4F" w14:textId="5EE1BF7C" w:rsidR="004A31F5" w:rsidRPr="00F92EBF" w:rsidRDefault="007F51CD" w:rsidP="00F92EBF">
      <w:pPr>
        <w:pStyle w:val="Titre1"/>
        <w:numPr>
          <w:ilvl w:val="0"/>
          <w:numId w:val="0"/>
        </w:numPr>
        <w:spacing w:before="72"/>
        <w:ind w:left="-432" w:right="709"/>
      </w:pPr>
      <w:r w:rsidRPr="00B064FF">
        <w:t>A</w:t>
      </w:r>
      <w:r w:rsidR="004B2A75" w:rsidRPr="00B064FF">
        <w:t>nnexe</w:t>
      </w:r>
      <w:r w:rsidRPr="00B064FF">
        <w:t xml:space="preserve"> </w:t>
      </w:r>
      <w:r w:rsidR="002E5AAF">
        <w:t>I</w:t>
      </w:r>
      <w:r w:rsidR="00B3576F" w:rsidRPr="00B064FF">
        <w:t>V</w:t>
      </w:r>
    </w:p>
    <w:p w14:paraId="6FF85409" w14:textId="77777777" w:rsidR="004A31F5" w:rsidRPr="00B064FF" w:rsidRDefault="004A31F5" w:rsidP="0024445F">
      <w:pPr>
        <w:pStyle w:val="Corpsdetexte"/>
        <w:jc w:val="center"/>
        <w:rPr>
          <w:b/>
          <w:sz w:val="32"/>
        </w:rPr>
      </w:pPr>
    </w:p>
    <w:p w14:paraId="24BCC619" w14:textId="77777777" w:rsidR="002255C7" w:rsidRPr="00F92EBF" w:rsidRDefault="007F51CD" w:rsidP="00F92EBF">
      <w:pPr>
        <w:jc w:val="center"/>
        <w:rPr>
          <w:b/>
        </w:rPr>
      </w:pPr>
      <w:r w:rsidRPr="00F92EBF">
        <w:rPr>
          <w:b/>
        </w:rPr>
        <w:t>Dispositions législati</w:t>
      </w:r>
      <w:r w:rsidR="002255C7" w:rsidRPr="00F92EBF">
        <w:rPr>
          <w:b/>
        </w:rPr>
        <w:t>ves et réglementaires relatives</w:t>
      </w:r>
    </w:p>
    <w:p w14:paraId="7908650D" w14:textId="77777777" w:rsidR="004A31F5" w:rsidRPr="00F92EBF" w:rsidRDefault="00816E68" w:rsidP="00F92EBF">
      <w:pPr>
        <w:jc w:val="center"/>
        <w:rPr>
          <w:b/>
        </w:rPr>
      </w:pPr>
      <w:r w:rsidRPr="00F92EBF">
        <w:rPr>
          <w:b/>
        </w:rPr>
        <w:t>au Cadre</w:t>
      </w:r>
      <w:r w:rsidR="007F51CD" w:rsidRPr="00F92EBF">
        <w:rPr>
          <w:b/>
        </w:rPr>
        <w:t xml:space="preserve"> </w:t>
      </w:r>
      <w:r w:rsidRPr="00F92EBF">
        <w:rPr>
          <w:b/>
        </w:rPr>
        <w:t xml:space="preserve">de Prescription Compassionnelle </w:t>
      </w:r>
      <w:r w:rsidR="007F51CD" w:rsidRPr="00F92EBF">
        <w:rPr>
          <w:b/>
        </w:rPr>
        <w:t>(</w:t>
      </w:r>
      <w:r w:rsidR="005B4B4E" w:rsidRPr="00F92EBF">
        <w:rPr>
          <w:b/>
        </w:rPr>
        <w:t>CPC</w:t>
      </w:r>
      <w:r w:rsidR="007F51CD" w:rsidRPr="00F92EBF">
        <w:rPr>
          <w:b/>
        </w:rPr>
        <w:t>)</w:t>
      </w:r>
    </w:p>
    <w:p w14:paraId="521997DC" w14:textId="77777777" w:rsidR="004A31F5" w:rsidRDefault="004A31F5" w:rsidP="0024445F">
      <w:pPr>
        <w:pStyle w:val="Corpsdetexte"/>
        <w:spacing w:before="1"/>
        <w:rPr>
          <w:b/>
          <w:sz w:val="16"/>
        </w:rPr>
      </w:pPr>
    </w:p>
    <w:p w14:paraId="3AE3C1BE" w14:textId="77777777" w:rsidR="00694C66" w:rsidRDefault="00694C66" w:rsidP="00694C66">
      <w:pPr>
        <w:spacing w:before="93"/>
        <w:ind w:left="142"/>
        <w:rPr>
          <w:b/>
          <w:sz w:val="20"/>
        </w:rPr>
      </w:pPr>
    </w:p>
    <w:p w14:paraId="4E8C624D" w14:textId="77777777" w:rsidR="004A31F5" w:rsidRDefault="007F51CD" w:rsidP="00694C66">
      <w:pPr>
        <w:spacing w:before="93"/>
        <w:ind w:left="142"/>
        <w:rPr>
          <w:b/>
          <w:sz w:val="20"/>
        </w:rPr>
      </w:pPr>
      <w:r>
        <w:rPr>
          <w:b/>
          <w:sz w:val="20"/>
        </w:rPr>
        <w:t>Généralités</w:t>
      </w:r>
    </w:p>
    <w:p w14:paraId="7AA3FA5D" w14:textId="77777777" w:rsidR="004A31F5" w:rsidRDefault="004A31F5" w:rsidP="00694C66">
      <w:pPr>
        <w:pStyle w:val="Corpsdetexte"/>
        <w:spacing w:before="1"/>
        <w:ind w:left="142"/>
        <w:rPr>
          <w:b/>
        </w:rPr>
      </w:pPr>
    </w:p>
    <w:p w14:paraId="7FC8AC2E" w14:textId="77777777" w:rsidR="004A31F5" w:rsidRDefault="007F51CD" w:rsidP="00694C66">
      <w:pPr>
        <w:pStyle w:val="Corpsdetexte"/>
        <w:ind w:left="142"/>
        <w:jc w:val="both"/>
      </w:pPr>
      <w:r w:rsidRPr="00440EDD">
        <w:t xml:space="preserve">L’article L.5121-12-1 </w:t>
      </w:r>
      <w:r w:rsidR="00D50DE0">
        <w:t xml:space="preserve">III </w:t>
      </w:r>
      <w:r w:rsidRPr="00440EDD">
        <w:t>du code de la santé publique permet à l’Agence nationale de sécurité du médicament et</w:t>
      </w:r>
      <w:r>
        <w:t xml:space="preserve"> des produits de santé (ANSM) d’élaborer </w:t>
      </w:r>
      <w:r w:rsidR="00675724">
        <w:t>un Cadre de Prescription Compassionnelle</w:t>
      </w:r>
      <w:r>
        <w:t xml:space="preserve"> (</w:t>
      </w:r>
      <w:r w:rsidR="005B4B4E">
        <w:t>CPC</w:t>
      </w:r>
      <w:r>
        <w:t>) autorisant la prescription d’une spécialité pharmaceutique disposant d’une Autorisation de Mise sur le Marché (AMM) en France, dans une indication non conforme à son AMM.</w:t>
      </w:r>
    </w:p>
    <w:p w14:paraId="50825E37" w14:textId="77777777" w:rsidR="004A31F5" w:rsidRDefault="004A31F5" w:rsidP="00694C66">
      <w:pPr>
        <w:pStyle w:val="Corpsdetexte"/>
        <w:ind w:left="142"/>
      </w:pPr>
    </w:p>
    <w:p w14:paraId="34654769" w14:textId="77777777" w:rsidR="004A31F5" w:rsidRDefault="007F51CD" w:rsidP="00694C66">
      <w:pPr>
        <w:pStyle w:val="Corpsdetexte"/>
        <w:ind w:left="142"/>
        <w:jc w:val="both"/>
      </w:pPr>
      <w:r>
        <w:t>Il s’agit d’une procédure dérogatoire exceptionnelle, d’une durée limitée à 3 ans, renou</w:t>
      </w:r>
      <w:r w:rsidR="00745D34">
        <w:t xml:space="preserve">velable. </w:t>
      </w:r>
    </w:p>
    <w:p w14:paraId="2C716269" w14:textId="77777777" w:rsidR="004A31F5" w:rsidRDefault="004A31F5" w:rsidP="00694C66">
      <w:pPr>
        <w:pStyle w:val="Corpsdetexte"/>
        <w:spacing w:before="2"/>
        <w:ind w:left="142"/>
      </w:pPr>
    </w:p>
    <w:p w14:paraId="14D912C4" w14:textId="77777777" w:rsidR="00D50DE0" w:rsidRDefault="00D50DE0" w:rsidP="00694C66">
      <w:pPr>
        <w:pStyle w:val="Corpsdetexte"/>
        <w:ind w:left="142"/>
        <w:jc w:val="both"/>
      </w:pPr>
      <w:r w:rsidRPr="000D0CDA">
        <w:t>Le CPC permet de répondre à un besoin thérapeutique dès lors que le rapport bénéfice/risque du médicament est présumé favorable. Précisément, une spécialité pharmaceutique peut faire l'objet d'une prescription</w:t>
      </w:r>
      <w:r>
        <w:t xml:space="preserve"> au titre d’un</w:t>
      </w:r>
      <w:r w:rsidRPr="000D0CDA">
        <w:t xml:space="preserve"> CPC en l'absence de spécialité de même principe actif, de même dosage et de même forme pharmaceutique disposant d'une AMM ou d'une </w:t>
      </w:r>
      <w:r>
        <w:t>a</w:t>
      </w:r>
      <w:r w:rsidRPr="000D0CDA">
        <w:t>utorisation 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r>
        <w:t>.</w:t>
      </w:r>
    </w:p>
    <w:p w14:paraId="66B19AA7" w14:textId="77777777" w:rsidR="004A31F5" w:rsidRPr="002028D6" w:rsidRDefault="004A31F5" w:rsidP="00694C66">
      <w:pPr>
        <w:pStyle w:val="Corpsdetexte"/>
        <w:spacing w:before="11"/>
        <w:ind w:left="142"/>
      </w:pPr>
    </w:p>
    <w:p w14:paraId="4686F460" w14:textId="77777777" w:rsidR="002028D6" w:rsidRPr="00587DA5" w:rsidRDefault="002028D6" w:rsidP="00694C66">
      <w:pPr>
        <w:pStyle w:val="Corpsdetexte"/>
        <w:ind w:left="142" w:right="4"/>
        <w:jc w:val="both"/>
      </w:pPr>
      <w:r w:rsidRPr="00587DA5">
        <w:t xml:space="preserve">Il </w:t>
      </w:r>
      <w:r>
        <w:t xml:space="preserve">peut </w:t>
      </w:r>
      <w:r w:rsidRPr="00587DA5">
        <w:t>s’accompagne</w:t>
      </w:r>
      <w:r>
        <w:t>r</w:t>
      </w:r>
      <w:r w:rsidRPr="00587DA5">
        <w:t xml:space="preserve"> </w:t>
      </w:r>
      <w:r>
        <w:t>le cas échéant</w:t>
      </w:r>
      <w:r w:rsidRPr="00587DA5">
        <w:t xml:space="preserve"> d’un suivi des patients traités dans l’indication considérée permettant de recueillir davantage d’informations sur l’efficacité, les effets indésirables, les conditions réelles d’utilisation ou les caractéristiques de la population de patients concernée.</w:t>
      </w:r>
    </w:p>
    <w:p w14:paraId="4259DC71" w14:textId="77777777" w:rsidR="004A31F5" w:rsidRDefault="004A31F5" w:rsidP="00694C66">
      <w:pPr>
        <w:pStyle w:val="Corpsdetexte"/>
        <w:ind w:left="142"/>
        <w:jc w:val="both"/>
      </w:pPr>
    </w:p>
    <w:p w14:paraId="0C6AC587" w14:textId="77777777" w:rsidR="004A31F5" w:rsidRDefault="007F51CD" w:rsidP="00694C66">
      <w:pPr>
        <w:pStyle w:val="Corpsdetexte"/>
        <w:spacing w:before="1"/>
        <w:ind w:left="142"/>
        <w:jc w:val="both"/>
      </w:pPr>
      <w:r>
        <w:t>L</w:t>
      </w:r>
      <w:r w:rsidR="00816E68">
        <w:t>e</w:t>
      </w:r>
      <w:r>
        <w:t xml:space="preserve"> </w:t>
      </w:r>
      <w:r w:rsidR="005B4B4E">
        <w:t>CPC</w:t>
      </w:r>
      <w:r w:rsidR="00816E68">
        <w:t xml:space="preserve"> peut être modifié</w:t>
      </w:r>
      <w:r>
        <w:t>, suspendu ou retiré si les conditions prévues ci-dessus ne sont plus remplies, ou pour des motifs de santé publique.</w:t>
      </w:r>
    </w:p>
    <w:p w14:paraId="772883C9" w14:textId="77777777" w:rsidR="00622CEF" w:rsidRPr="0002008A" w:rsidRDefault="00622CEF" w:rsidP="00694C66">
      <w:pPr>
        <w:pStyle w:val="Corpsdetexte"/>
        <w:spacing w:before="1"/>
        <w:ind w:left="142"/>
        <w:jc w:val="both"/>
      </w:pPr>
    </w:p>
    <w:p w14:paraId="6854BB9D" w14:textId="77777777" w:rsidR="004A31F5" w:rsidRDefault="007F51CD" w:rsidP="00694C66">
      <w:pPr>
        <w:pStyle w:val="Titre4"/>
        <w:numPr>
          <w:ilvl w:val="3"/>
          <w:numId w:val="8"/>
        </w:numPr>
        <w:ind w:left="142" w:firstLine="0"/>
      </w:pPr>
      <w:r>
        <w:t>Engagement des médecins</w:t>
      </w:r>
    </w:p>
    <w:p w14:paraId="15AE7125" w14:textId="77777777" w:rsidR="004A31F5" w:rsidRPr="0002008A" w:rsidRDefault="004A31F5" w:rsidP="00694C66">
      <w:pPr>
        <w:pStyle w:val="Corpsdetexte"/>
        <w:spacing w:before="8"/>
        <w:ind w:left="142"/>
        <w:jc w:val="both"/>
      </w:pPr>
    </w:p>
    <w:p w14:paraId="60375CA0" w14:textId="77777777" w:rsidR="00F237B1" w:rsidRPr="00006BD0" w:rsidRDefault="00F237B1" w:rsidP="00694C66">
      <w:pPr>
        <w:pStyle w:val="Corpsdetexte"/>
        <w:ind w:left="142" w:right="4"/>
        <w:jc w:val="both"/>
      </w:pPr>
      <w:r w:rsidRPr="00006BD0">
        <w:t>Les médecins qui décident de prescrire une spécialité dans les indications et les conditions faisant l’objet d</w:t>
      </w:r>
      <w:r>
        <w:t>’un CPC</w:t>
      </w:r>
      <w:r w:rsidRPr="00006BD0">
        <w:t xml:space="preserve"> s’engagent à respecter le protocole de suivi associé à </w:t>
      </w:r>
      <w:r>
        <w:t>ce CPC</w:t>
      </w:r>
      <w:r w:rsidRPr="00006BD0">
        <w:t xml:space="preserve"> et notamment :</w:t>
      </w:r>
    </w:p>
    <w:p w14:paraId="46E94B34" w14:textId="77777777" w:rsidR="009A7E95" w:rsidRDefault="00F237B1" w:rsidP="009A7E95">
      <w:pPr>
        <w:pStyle w:val="Paragraphedeliste"/>
        <w:numPr>
          <w:ilvl w:val="0"/>
          <w:numId w:val="3"/>
        </w:numPr>
        <w:tabs>
          <w:tab w:val="left" w:pos="725"/>
        </w:tabs>
        <w:spacing w:before="1" w:line="276" w:lineRule="auto"/>
        <w:ind w:right="4"/>
        <w:rPr>
          <w:sz w:val="20"/>
          <w:szCs w:val="20"/>
        </w:rPr>
      </w:pPr>
      <w:r w:rsidRPr="00006BD0">
        <w:rPr>
          <w:sz w:val="20"/>
          <w:szCs w:val="20"/>
        </w:rPr>
        <w:t xml:space="preserve">à informer le patient </w:t>
      </w:r>
      <w:r w:rsidR="001070E6">
        <w:rPr>
          <w:sz w:val="20"/>
          <w:szCs w:val="20"/>
        </w:rPr>
        <w:t>(ou son représentant légal)</w:t>
      </w:r>
      <w:r w:rsidR="001070E6" w:rsidRPr="00006BD0">
        <w:rPr>
          <w:sz w:val="20"/>
          <w:szCs w:val="20"/>
        </w:rPr>
        <w:t xml:space="preserve"> </w:t>
      </w:r>
      <w:r w:rsidRPr="00006BD0">
        <w:rPr>
          <w:sz w:val="20"/>
          <w:szCs w:val="20"/>
        </w:rPr>
        <w:t>de la non-conformité de la prescription par rapport à l’AMM, des risques encourus, des contraintes et des bénéfices</w:t>
      </w:r>
      <w:r w:rsidRPr="00006BD0">
        <w:rPr>
          <w:spacing w:val="-2"/>
          <w:sz w:val="20"/>
          <w:szCs w:val="20"/>
        </w:rPr>
        <w:t xml:space="preserve"> </w:t>
      </w:r>
      <w:r w:rsidRPr="00006BD0">
        <w:rPr>
          <w:sz w:val="20"/>
          <w:szCs w:val="20"/>
        </w:rPr>
        <w:t>potentiels</w:t>
      </w:r>
      <w:r w:rsidR="001070E6">
        <w:rPr>
          <w:sz w:val="20"/>
          <w:szCs w:val="20"/>
        </w:rPr>
        <w:t xml:space="preserve"> en s’assurant de la bonne compréhension de ces informations</w:t>
      </w:r>
      <w:r w:rsidRPr="00006BD0">
        <w:rPr>
          <w:sz w:val="20"/>
          <w:szCs w:val="20"/>
        </w:rPr>
        <w:t>,</w:t>
      </w:r>
    </w:p>
    <w:p w14:paraId="7EF6E500" w14:textId="77777777" w:rsidR="009A7E95" w:rsidRDefault="00F237B1" w:rsidP="009A7E95">
      <w:pPr>
        <w:pStyle w:val="Paragraphedeliste"/>
        <w:numPr>
          <w:ilvl w:val="0"/>
          <w:numId w:val="3"/>
        </w:numPr>
        <w:tabs>
          <w:tab w:val="left" w:pos="725"/>
        </w:tabs>
        <w:spacing w:before="1" w:line="276" w:lineRule="auto"/>
        <w:ind w:right="4"/>
        <w:rPr>
          <w:sz w:val="20"/>
          <w:szCs w:val="20"/>
        </w:rPr>
      </w:pPr>
      <w:r w:rsidRPr="009A7E95">
        <w:rPr>
          <w:sz w:val="20"/>
          <w:szCs w:val="20"/>
        </w:rPr>
        <w:t>à informer le patient des conditions de prise en charge du traitement par l’assurance maladie et à mentionner sur l’ordonnance « Prescription au titre d’un accès compassionnel en dehors du cadre d’une autorisation de mise sur le marché»,</w:t>
      </w:r>
    </w:p>
    <w:p w14:paraId="60BC2C68" w14:textId="77777777" w:rsidR="009A7E95" w:rsidRDefault="001070E6" w:rsidP="009A7E95">
      <w:pPr>
        <w:pStyle w:val="Paragraphedeliste"/>
        <w:numPr>
          <w:ilvl w:val="0"/>
          <w:numId w:val="3"/>
        </w:numPr>
        <w:tabs>
          <w:tab w:val="left" w:pos="725"/>
        </w:tabs>
        <w:spacing w:before="1" w:line="276" w:lineRule="auto"/>
        <w:ind w:right="4"/>
        <w:rPr>
          <w:sz w:val="20"/>
          <w:szCs w:val="20"/>
        </w:rPr>
      </w:pPr>
      <w:r w:rsidRPr="009A7E95">
        <w:rPr>
          <w:sz w:val="20"/>
          <w:szCs w:val="20"/>
        </w:rPr>
        <w:t xml:space="preserve">à déclarer toute survenue d’effet indésirable chez un patient dès que possible au Centre Régional de Pharmacovigilance dont il dépend géographiquement ou sur </w:t>
      </w:r>
      <w:hyperlink r:id="rId33" w:history="1">
        <w:r w:rsidR="009A7E95" w:rsidRPr="009A7E95">
          <w:rPr>
            <w:rStyle w:val="Lienhypertexte"/>
            <w:sz w:val="20"/>
            <w:szCs w:val="20"/>
          </w:rPr>
          <w:t>https://signalement.social-sante.gouv.fr/</w:t>
        </w:r>
      </w:hyperlink>
      <w:r w:rsidRPr="009A7E95">
        <w:rPr>
          <w:sz w:val="20"/>
          <w:szCs w:val="20"/>
        </w:rPr>
        <w:t>.</w:t>
      </w:r>
      <w:r w:rsidR="009A7E95">
        <w:rPr>
          <w:sz w:val="20"/>
          <w:szCs w:val="20"/>
        </w:rPr>
        <w:t xml:space="preserve"> </w:t>
      </w:r>
    </w:p>
    <w:p w14:paraId="2E0071EA" w14:textId="1FEF18AF" w:rsidR="001070E6" w:rsidRPr="009A7E95" w:rsidRDefault="00A87D45" w:rsidP="009A7E95">
      <w:pPr>
        <w:pStyle w:val="Paragraphedeliste"/>
        <w:numPr>
          <w:ilvl w:val="0"/>
          <w:numId w:val="3"/>
        </w:numPr>
        <w:tabs>
          <w:tab w:val="left" w:pos="725"/>
        </w:tabs>
        <w:spacing w:before="1" w:line="276" w:lineRule="auto"/>
        <w:ind w:right="4"/>
        <w:rPr>
          <w:sz w:val="20"/>
          <w:szCs w:val="20"/>
        </w:rPr>
      </w:pPr>
      <w:r w:rsidRPr="009A7E95">
        <w:rPr>
          <w:sz w:val="20"/>
          <w:szCs w:val="20"/>
        </w:rPr>
        <w:t>à</w:t>
      </w:r>
      <w:r w:rsidR="001070E6" w:rsidRPr="009A7E95">
        <w:rPr>
          <w:sz w:val="20"/>
          <w:szCs w:val="20"/>
        </w:rPr>
        <w:t xml:space="preserve"> remettre au patient (ou son représentant légal) la Note d’information destinée au patient</w:t>
      </w:r>
      <w:r w:rsidR="009A7E95" w:rsidRPr="009A7E95">
        <w:rPr>
          <w:sz w:val="20"/>
          <w:szCs w:val="20"/>
        </w:rPr>
        <w:t xml:space="preserve"> </w:t>
      </w:r>
      <w:r w:rsidRPr="009A7E95">
        <w:rPr>
          <w:sz w:val="20"/>
          <w:szCs w:val="20"/>
        </w:rPr>
        <w:t>(cf</w:t>
      </w:r>
      <w:r w:rsidR="00D305D5">
        <w:rPr>
          <w:sz w:val="20"/>
          <w:szCs w:val="20"/>
        </w:rPr>
        <w:t>.</w:t>
      </w:r>
      <w:r w:rsidRPr="009A7E95">
        <w:rPr>
          <w:sz w:val="20"/>
          <w:szCs w:val="20"/>
        </w:rPr>
        <w:t xml:space="preserve"> Annexe </w:t>
      </w:r>
      <w:r w:rsidR="0082493A">
        <w:rPr>
          <w:sz w:val="20"/>
          <w:szCs w:val="20"/>
        </w:rPr>
        <w:t>I</w:t>
      </w:r>
      <w:r w:rsidRPr="009A7E95">
        <w:rPr>
          <w:sz w:val="20"/>
          <w:szCs w:val="20"/>
        </w:rPr>
        <w:t>)</w:t>
      </w:r>
      <w:r w:rsidR="001070E6" w:rsidRPr="009A7E95">
        <w:rPr>
          <w:sz w:val="20"/>
          <w:szCs w:val="20"/>
        </w:rPr>
        <w:t>.</w:t>
      </w:r>
    </w:p>
    <w:p w14:paraId="621EF992" w14:textId="77777777" w:rsidR="004A31F5" w:rsidRDefault="004A31F5" w:rsidP="00694C66">
      <w:pPr>
        <w:pStyle w:val="Corpsdetexte"/>
        <w:spacing w:before="7"/>
        <w:ind w:left="142"/>
        <w:jc w:val="both"/>
        <w:rPr>
          <w:sz w:val="19"/>
        </w:rPr>
      </w:pPr>
    </w:p>
    <w:p w14:paraId="59592E87" w14:textId="77777777" w:rsidR="00F237B1" w:rsidRPr="00006BD0" w:rsidRDefault="00F237B1" w:rsidP="00694C66">
      <w:pPr>
        <w:pStyle w:val="Titre4"/>
        <w:numPr>
          <w:ilvl w:val="3"/>
          <w:numId w:val="9"/>
        </w:numPr>
        <w:ind w:left="142" w:firstLine="0"/>
      </w:pPr>
      <w:r w:rsidRPr="00006BD0">
        <w:t xml:space="preserve">Protocole </w:t>
      </w:r>
      <w:r>
        <w:t xml:space="preserve">d’utilisation thérapeutique et </w:t>
      </w:r>
      <w:r w:rsidRPr="00006BD0">
        <w:t>de suivi</w:t>
      </w:r>
      <w:r>
        <w:t xml:space="preserve"> des patients</w:t>
      </w:r>
    </w:p>
    <w:p w14:paraId="4D5ADEBD" w14:textId="77777777" w:rsidR="004A31F5" w:rsidRPr="0002008A" w:rsidRDefault="004A31F5" w:rsidP="00694C66">
      <w:pPr>
        <w:pStyle w:val="Corpsdetexte"/>
        <w:spacing w:before="3"/>
        <w:ind w:left="142"/>
      </w:pPr>
    </w:p>
    <w:p w14:paraId="321FCF81" w14:textId="77777777" w:rsidR="00F237B1" w:rsidRPr="00006BD0" w:rsidRDefault="00F237B1" w:rsidP="00694C66">
      <w:pPr>
        <w:pStyle w:val="Corpsdetexte"/>
        <w:ind w:left="142" w:right="4"/>
        <w:jc w:val="both"/>
      </w:pPr>
      <w:r w:rsidRPr="00006BD0">
        <w:t xml:space="preserve">Le protocole </w:t>
      </w:r>
      <w:r>
        <w:t xml:space="preserve">d’utilisation thérapeutique et </w:t>
      </w:r>
      <w:r w:rsidRPr="00006BD0">
        <w:t xml:space="preserve">de suivi </w:t>
      </w:r>
      <w:r>
        <w:t xml:space="preserve">des patients </w:t>
      </w:r>
      <w:r w:rsidRPr="00006BD0">
        <w:t>définit les critères de prescription, de dispensation et d’administration du médicament ainsi que les modalités de surveillance des patients traités.</w:t>
      </w:r>
    </w:p>
    <w:p w14:paraId="09684F59" w14:textId="77777777" w:rsidR="00F237B1" w:rsidRPr="00006BD0" w:rsidRDefault="00F237B1" w:rsidP="00694C66">
      <w:pPr>
        <w:pStyle w:val="Corpsdetexte"/>
        <w:spacing w:before="11"/>
        <w:ind w:left="142"/>
      </w:pPr>
    </w:p>
    <w:p w14:paraId="01B8C7C0" w14:textId="77777777" w:rsidR="00745D34" w:rsidRDefault="00F237B1" w:rsidP="00694C66">
      <w:pPr>
        <w:pStyle w:val="Corpsdetexte"/>
        <w:ind w:left="142"/>
      </w:pPr>
      <w:r w:rsidRPr="00006BD0">
        <w:t xml:space="preserve">Le protocole </w:t>
      </w:r>
      <w:r>
        <w:t xml:space="preserve">d’utilisation thérapeutique et </w:t>
      </w:r>
      <w:r w:rsidRPr="00006BD0">
        <w:t xml:space="preserve">de suivi </w:t>
      </w:r>
      <w:r>
        <w:t xml:space="preserve">des patients </w:t>
      </w:r>
      <w:r w:rsidRPr="00006BD0">
        <w:t>co</w:t>
      </w:r>
      <w:r w:rsidR="00D50DE0">
        <w:t xml:space="preserve">mporte les </w:t>
      </w:r>
      <w:r w:rsidR="00D305D5">
        <w:t>informations</w:t>
      </w:r>
      <w:r w:rsidR="00D50DE0">
        <w:t xml:space="preserve"> suivant</w:t>
      </w:r>
      <w:r w:rsidR="00D305D5">
        <w:t>e</w:t>
      </w:r>
      <w:r w:rsidR="00D50DE0">
        <w:t>s :</w:t>
      </w:r>
    </w:p>
    <w:p w14:paraId="28D3CFFE" w14:textId="77777777" w:rsidR="00816E68" w:rsidRPr="00745D34" w:rsidRDefault="00816E68" w:rsidP="00694C66">
      <w:pPr>
        <w:pStyle w:val="Corpsdetexte"/>
        <w:spacing w:before="10"/>
        <w:ind w:left="142"/>
      </w:pPr>
    </w:p>
    <w:p w14:paraId="60DF0270" w14:textId="77777777" w:rsidR="00F237B1" w:rsidRPr="00F85A04" w:rsidRDefault="00F237B1" w:rsidP="00694C66">
      <w:pPr>
        <w:pStyle w:val="Corpsdetexte"/>
        <w:spacing w:before="5"/>
        <w:ind w:left="142"/>
      </w:pPr>
    </w:p>
    <w:p w14:paraId="666D783F" w14:textId="77777777" w:rsidR="00D305D5" w:rsidRPr="00D305D5" w:rsidRDefault="00D305D5" w:rsidP="00D305D5">
      <w:pPr>
        <w:pStyle w:val="Paragraphedeliste"/>
        <w:numPr>
          <w:ilvl w:val="0"/>
          <w:numId w:val="16"/>
        </w:numPr>
        <w:tabs>
          <w:tab w:val="left" w:pos="984"/>
        </w:tabs>
        <w:spacing w:before="2"/>
        <w:ind w:left="709" w:right="4" w:hanging="283"/>
      </w:pPr>
      <w:r w:rsidRPr="00006BD0">
        <w:rPr>
          <w:sz w:val="20"/>
          <w:szCs w:val="20"/>
        </w:rPr>
        <w:t xml:space="preserve">Une information à destination des prescripteurs sur les conditions d’utilisation </w:t>
      </w:r>
      <w:r w:rsidRPr="008423EA">
        <w:rPr>
          <w:spacing w:val="4"/>
          <w:sz w:val="20"/>
          <w:szCs w:val="20"/>
        </w:rPr>
        <w:t xml:space="preserve">du </w:t>
      </w:r>
      <w:r w:rsidRPr="00006BD0">
        <w:rPr>
          <w:sz w:val="20"/>
          <w:szCs w:val="20"/>
        </w:rPr>
        <w:t xml:space="preserve">médicament dans le </w:t>
      </w:r>
      <w:r>
        <w:rPr>
          <w:sz w:val="20"/>
          <w:szCs w:val="20"/>
        </w:rPr>
        <w:t>CPC</w:t>
      </w:r>
      <w:r w:rsidRPr="00006BD0">
        <w:rPr>
          <w:sz w:val="20"/>
          <w:szCs w:val="20"/>
        </w:rPr>
        <w:t>. Les prescripteurs sont par ailleurs invités à consulter le Résumé des Caractéristiques du Produit (RCP) dans le cadre de son AMM consultable sur le site internet suivant</w:t>
      </w:r>
      <w:r>
        <w:rPr>
          <w:sz w:val="20"/>
          <w:szCs w:val="20"/>
        </w:rPr>
        <w:t xml:space="preserve"> </w:t>
      </w:r>
      <w:hyperlink r:id="rId34">
        <w:r w:rsidRPr="008423EA">
          <w:rPr>
            <w:color w:val="0000FF"/>
            <w:sz w:val="20"/>
            <w:szCs w:val="20"/>
            <w:u w:val="single" w:color="0000FF"/>
          </w:rPr>
          <w:t>http://base-donnees-publique.medicaments.gouv.fr/index.php.</w:t>
        </w:r>
      </w:hyperlink>
    </w:p>
    <w:p w14:paraId="10AB08DE" w14:textId="77777777" w:rsidR="00D305D5" w:rsidRPr="00D50DE0" w:rsidRDefault="00D305D5" w:rsidP="00D305D5">
      <w:pPr>
        <w:pStyle w:val="Paragraphedeliste"/>
        <w:tabs>
          <w:tab w:val="left" w:pos="984"/>
        </w:tabs>
        <w:spacing w:before="2"/>
        <w:ind w:left="709" w:right="4" w:firstLine="0"/>
      </w:pPr>
    </w:p>
    <w:p w14:paraId="0C7FE96B" w14:textId="3292BBC1" w:rsidR="00F237B1" w:rsidRPr="00006BD0" w:rsidRDefault="00F237B1" w:rsidP="0090562C">
      <w:pPr>
        <w:pStyle w:val="Paragraphedeliste"/>
        <w:numPr>
          <w:ilvl w:val="0"/>
          <w:numId w:val="16"/>
        </w:numPr>
        <w:ind w:left="709" w:right="4" w:hanging="283"/>
        <w:rPr>
          <w:sz w:val="20"/>
          <w:szCs w:val="20"/>
        </w:rPr>
      </w:pPr>
      <w:r w:rsidRPr="00006BD0">
        <w:rPr>
          <w:sz w:val="20"/>
          <w:szCs w:val="20"/>
        </w:rPr>
        <w:t xml:space="preserve">Une </w:t>
      </w:r>
      <w:r w:rsidR="00D50DE0">
        <w:rPr>
          <w:sz w:val="20"/>
          <w:szCs w:val="20"/>
        </w:rPr>
        <w:t>note d’</w:t>
      </w:r>
      <w:r w:rsidRPr="00006BD0">
        <w:rPr>
          <w:sz w:val="20"/>
          <w:szCs w:val="20"/>
        </w:rPr>
        <w:t xml:space="preserve">information à destination des patients sur les conditions d’utilisation </w:t>
      </w:r>
      <w:r w:rsidRPr="00006BD0">
        <w:rPr>
          <w:spacing w:val="4"/>
          <w:sz w:val="20"/>
          <w:szCs w:val="20"/>
        </w:rPr>
        <w:t xml:space="preserve">du </w:t>
      </w:r>
      <w:r w:rsidRPr="00006BD0">
        <w:rPr>
          <w:sz w:val="20"/>
          <w:szCs w:val="20"/>
        </w:rPr>
        <w:t xml:space="preserve">médicament dans le </w:t>
      </w:r>
      <w:r>
        <w:rPr>
          <w:sz w:val="20"/>
          <w:szCs w:val="20"/>
        </w:rPr>
        <w:t>CPC</w:t>
      </w:r>
      <w:r w:rsidRPr="00006BD0">
        <w:rPr>
          <w:sz w:val="20"/>
          <w:szCs w:val="20"/>
        </w:rPr>
        <w:t xml:space="preserve"> (cf. note d’information </w:t>
      </w:r>
      <w:r w:rsidRPr="00C01675">
        <w:rPr>
          <w:sz w:val="20"/>
          <w:szCs w:val="20"/>
        </w:rPr>
        <w:t>Annexe I</w:t>
      </w:r>
      <w:r w:rsidRPr="00006BD0">
        <w:rPr>
          <w:sz w:val="20"/>
          <w:szCs w:val="20"/>
        </w:rPr>
        <w:t>). Le patient peut consulter la notice du produit dans le cadre de son AMM présente dans les boites de médicament, et également consultable sur le site internet suivant</w:t>
      </w:r>
      <w:r w:rsidRPr="00006BD0">
        <w:rPr>
          <w:color w:val="0000FF"/>
          <w:sz w:val="20"/>
          <w:szCs w:val="20"/>
        </w:rPr>
        <w:t xml:space="preserve"> </w:t>
      </w:r>
      <w:hyperlink r:id="rId35" w:history="1">
        <w:r w:rsidRPr="00F379E3">
          <w:rPr>
            <w:rStyle w:val="Lienhypertexte"/>
            <w:sz w:val="20"/>
            <w:szCs w:val="20"/>
            <w:u w:color="0000FF"/>
          </w:rPr>
          <w:t>http://base-donnees-publique.medicaments.gouv.fr/index.php.</w:t>
        </w:r>
      </w:hyperlink>
    </w:p>
    <w:p w14:paraId="222A6D43" w14:textId="77777777" w:rsidR="00F237B1" w:rsidRPr="00006BD0" w:rsidRDefault="00F237B1" w:rsidP="0090562C">
      <w:pPr>
        <w:pStyle w:val="Corpsdetexte"/>
        <w:spacing w:before="6"/>
        <w:ind w:left="709" w:hanging="283"/>
      </w:pPr>
    </w:p>
    <w:p w14:paraId="50AE7071" w14:textId="6E8D1D59" w:rsidR="00F237B1" w:rsidRPr="00F85A04" w:rsidRDefault="00F237B1" w:rsidP="0090562C">
      <w:pPr>
        <w:pStyle w:val="Paragraphedeliste"/>
        <w:numPr>
          <w:ilvl w:val="0"/>
          <w:numId w:val="16"/>
        </w:numPr>
        <w:tabs>
          <w:tab w:val="left" w:pos="917"/>
        </w:tabs>
        <w:spacing w:before="37"/>
        <w:ind w:left="709" w:right="4" w:hanging="283"/>
        <w:rPr>
          <w:sz w:val="20"/>
          <w:szCs w:val="20"/>
        </w:rPr>
      </w:pPr>
      <w:r w:rsidRPr="00F85A04">
        <w:rPr>
          <w:sz w:val="20"/>
          <w:szCs w:val="20"/>
        </w:rPr>
        <w:t xml:space="preserve">Un argumentaire sur </w:t>
      </w:r>
      <w:r w:rsidR="00D50DE0" w:rsidRPr="00B544DA">
        <w:rPr>
          <w:sz w:val="20"/>
          <w:szCs w:val="20"/>
        </w:rPr>
        <w:t xml:space="preserve">les données relatives à l’efficacité et à la sécurité </w:t>
      </w:r>
      <w:r w:rsidR="00D50DE0">
        <w:rPr>
          <w:sz w:val="20"/>
          <w:szCs w:val="20"/>
        </w:rPr>
        <w:t xml:space="preserve">de </w:t>
      </w:r>
      <w:r w:rsidR="008B1D97">
        <w:rPr>
          <w:sz w:val="20"/>
          <w:szCs w:val="20"/>
        </w:rPr>
        <w:t>l’Itracona</w:t>
      </w:r>
      <w:r w:rsidR="00626A4F">
        <w:rPr>
          <w:sz w:val="20"/>
          <w:szCs w:val="20"/>
        </w:rPr>
        <w:t>zole</w:t>
      </w:r>
      <w:r w:rsidR="008B1D97">
        <w:rPr>
          <w:sz w:val="20"/>
          <w:szCs w:val="20"/>
        </w:rPr>
        <w:t xml:space="preserve"> 100 mg, gélule</w:t>
      </w:r>
      <w:r w:rsidR="00D50DE0">
        <w:rPr>
          <w:sz w:val="20"/>
          <w:szCs w:val="20"/>
        </w:rPr>
        <w:t xml:space="preserve"> </w:t>
      </w:r>
      <w:r w:rsidRPr="00F85A04">
        <w:rPr>
          <w:sz w:val="20"/>
          <w:szCs w:val="20"/>
        </w:rPr>
        <w:t>dans le CPC (</w:t>
      </w:r>
      <w:r w:rsidR="00440EDD" w:rsidRPr="00F85A04">
        <w:rPr>
          <w:sz w:val="20"/>
          <w:szCs w:val="20"/>
        </w:rPr>
        <w:t>cf.</w:t>
      </w:r>
      <w:r w:rsidR="008423EA">
        <w:rPr>
          <w:sz w:val="20"/>
          <w:szCs w:val="20"/>
        </w:rPr>
        <w:t xml:space="preserve"> Annexe I</w:t>
      </w:r>
      <w:r w:rsidR="003259B8">
        <w:rPr>
          <w:sz w:val="20"/>
          <w:szCs w:val="20"/>
        </w:rPr>
        <w:t>I</w:t>
      </w:r>
      <w:r w:rsidRPr="00F85A04">
        <w:rPr>
          <w:sz w:val="20"/>
          <w:szCs w:val="20"/>
        </w:rPr>
        <w:t>).</w:t>
      </w:r>
    </w:p>
    <w:p w14:paraId="4F1C755E" w14:textId="77777777" w:rsidR="00D50DE0" w:rsidRDefault="00D50DE0" w:rsidP="00D305D5"/>
    <w:p w14:paraId="11CF7A95" w14:textId="39DD11F4" w:rsidR="00D50DE0" w:rsidRPr="008D3002" w:rsidRDefault="00D50DE0" w:rsidP="0090562C">
      <w:pPr>
        <w:pStyle w:val="Paragraphedeliste"/>
        <w:numPr>
          <w:ilvl w:val="0"/>
          <w:numId w:val="16"/>
        </w:numPr>
        <w:tabs>
          <w:tab w:val="left" w:pos="984"/>
        </w:tabs>
        <w:spacing w:before="2"/>
        <w:ind w:left="709" w:right="4" w:hanging="283"/>
      </w:pPr>
      <w:r w:rsidRPr="00B544DA">
        <w:rPr>
          <w:sz w:val="20"/>
          <w:szCs w:val="20"/>
        </w:rPr>
        <w:t>Un</w:t>
      </w:r>
      <w:r w:rsidRPr="00B544DA">
        <w:rPr>
          <w:spacing w:val="-1"/>
          <w:sz w:val="20"/>
          <w:szCs w:val="20"/>
        </w:rPr>
        <w:t xml:space="preserve"> </w:t>
      </w:r>
      <w:r w:rsidRPr="00B544DA">
        <w:rPr>
          <w:sz w:val="20"/>
          <w:szCs w:val="20"/>
        </w:rPr>
        <w:t>rappel</w:t>
      </w:r>
      <w:r w:rsidRPr="00B544DA">
        <w:rPr>
          <w:spacing w:val="-1"/>
          <w:sz w:val="20"/>
          <w:szCs w:val="20"/>
        </w:rPr>
        <w:t xml:space="preserve"> </w:t>
      </w:r>
      <w:r w:rsidRPr="00B544DA">
        <w:rPr>
          <w:sz w:val="20"/>
          <w:szCs w:val="20"/>
        </w:rPr>
        <w:t>des</w:t>
      </w:r>
      <w:r w:rsidRPr="00B544DA">
        <w:rPr>
          <w:spacing w:val="-1"/>
          <w:sz w:val="20"/>
          <w:szCs w:val="20"/>
        </w:rPr>
        <w:t xml:space="preserve"> </w:t>
      </w:r>
      <w:r w:rsidRPr="00B544DA">
        <w:rPr>
          <w:sz w:val="20"/>
          <w:szCs w:val="20"/>
        </w:rPr>
        <w:t>modalités</w:t>
      </w:r>
      <w:r w:rsidRPr="00B544DA">
        <w:rPr>
          <w:spacing w:val="-1"/>
          <w:sz w:val="20"/>
          <w:szCs w:val="20"/>
        </w:rPr>
        <w:t xml:space="preserve"> </w:t>
      </w:r>
      <w:r w:rsidRPr="00B544DA">
        <w:rPr>
          <w:sz w:val="20"/>
          <w:szCs w:val="20"/>
        </w:rPr>
        <w:t>de</w:t>
      </w:r>
      <w:r w:rsidRPr="00B544DA">
        <w:rPr>
          <w:spacing w:val="-2"/>
          <w:sz w:val="20"/>
          <w:szCs w:val="20"/>
        </w:rPr>
        <w:t xml:space="preserve"> </w:t>
      </w:r>
      <w:r w:rsidRPr="00B544DA">
        <w:rPr>
          <w:sz w:val="20"/>
          <w:szCs w:val="20"/>
        </w:rPr>
        <w:t>déclaration</w:t>
      </w:r>
      <w:r w:rsidRPr="00B544DA">
        <w:rPr>
          <w:spacing w:val="-1"/>
          <w:sz w:val="20"/>
          <w:szCs w:val="20"/>
        </w:rPr>
        <w:t xml:space="preserve"> </w:t>
      </w:r>
      <w:r w:rsidRPr="00B544DA">
        <w:rPr>
          <w:sz w:val="20"/>
          <w:szCs w:val="20"/>
        </w:rPr>
        <w:t>des</w:t>
      </w:r>
      <w:r w:rsidRPr="00B544DA">
        <w:rPr>
          <w:spacing w:val="-1"/>
          <w:sz w:val="20"/>
          <w:szCs w:val="20"/>
        </w:rPr>
        <w:t xml:space="preserve"> </w:t>
      </w:r>
      <w:r w:rsidRPr="00B544DA">
        <w:rPr>
          <w:sz w:val="20"/>
          <w:szCs w:val="20"/>
        </w:rPr>
        <w:t>effets indésirables</w:t>
      </w:r>
      <w:r>
        <w:rPr>
          <w:sz w:val="20"/>
          <w:szCs w:val="20"/>
        </w:rPr>
        <w:t xml:space="preserve"> (cf. Annexe I</w:t>
      </w:r>
      <w:r w:rsidR="00A8011D">
        <w:rPr>
          <w:sz w:val="20"/>
          <w:szCs w:val="20"/>
        </w:rPr>
        <w:t>II</w:t>
      </w:r>
      <w:r>
        <w:rPr>
          <w:sz w:val="20"/>
          <w:szCs w:val="20"/>
        </w:rPr>
        <w:t>).</w:t>
      </w:r>
    </w:p>
    <w:p w14:paraId="5F9E5B07" w14:textId="77777777" w:rsidR="008D3002" w:rsidRDefault="008D3002" w:rsidP="0090562C">
      <w:pPr>
        <w:pStyle w:val="Paragraphedeliste"/>
        <w:ind w:left="709" w:hanging="283"/>
      </w:pPr>
    </w:p>
    <w:p w14:paraId="5916FE86" w14:textId="77FEB7B4" w:rsidR="008D3002" w:rsidRPr="008D3002" w:rsidRDefault="008D3002" w:rsidP="0090562C">
      <w:pPr>
        <w:pStyle w:val="Paragraphedeliste"/>
        <w:numPr>
          <w:ilvl w:val="0"/>
          <w:numId w:val="16"/>
        </w:numPr>
        <w:tabs>
          <w:tab w:val="left" w:pos="984"/>
        </w:tabs>
        <w:spacing w:before="2"/>
        <w:ind w:left="709" w:right="4" w:hanging="283"/>
        <w:rPr>
          <w:sz w:val="20"/>
          <w:szCs w:val="20"/>
        </w:rPr>
      </w:pPr>
      <w:r w:rsidRPr="008D3002">
        <w:rPr>
          <w:sz w:val="20"/>
          <w:szCs w:val="20"/>
        </w:rPr>
        <w:t xml:space="preserve">Un rappel des </w:t>
      </w:r>
      <w:r>
        <w:rPr>
          <w:sz w:val="20"/>
          <w:szCs w:val="20"/>
        </w:rPr>
        <w:t>d</w:t>
      </w:r>
      <w:r w:rsidRPr="008D3002">
        <w:rPr>
          <w:sz w:val="20"/>
          <w:szCs w:val="20"/>
        </w:rPr>
        <w:t>ispositions législatives et réglementaires relatives au Cadre de Prescription Com</w:t>
      </w:r>
      <w:r w:rsidR="0082493A">
        <w:rPr>
          <w:sz w:val="20"/>
          <w:szCs w:val="20"/>
        </w:rPr>
        <w:t xml:space="preserve">passionnelle (CPC) (cf. Annexe </w:t>
      </w:r>
      <w:r w:rsidR="00A8011D">
        <w:rPr>
          <w:sz w:val="20"/>
          <w:szCs w:val="20"/>
        </w:rPr>
        <w:t>I</w:t>
      </w:r>
      <w:r w:rsidRPr="008D3002">
        <w:rPr>
          <w:sz w:val="20"/>
          <w:szCs w:val="20"/>
        </w:rPr>
        <w:t>V).</w:t>
      </w:r>
    </w:p>
    <w:p w14:paraId="622F327E" w14:textId="77777777" w:rsidR="00F237B1" w:rsidRPr="00006BD0" w:rsidRDefault="00F237B1" w:rsidP="00694C66">
      <w:pPr>
        <w:pStyle w:val="Corpsdetexte"/>
        <w:spacing w:before="10"/>
        <w:ind w:left="142"/>
      </w:pPr>
    </w:p>
    <w:p w14:paraId="47B1077B" w14:textId="77777777" w:rsidR="00F237B1" w:rsidRPr="00006BD0" w:rsidRDefault="00F237B1" w:rsidP="00694C66">
      <w:pPr>
        <w:pStyle w:val="Corpsdetexte"/>
        <w:spacing w:before="1"/>
        <w:ind w:left="142" w:right="4"/>
        <w:jc w:val="both"/>
      </w:pPr>
      <w:r w:rsidRPr="00006BD0">
        <w:t xml:space="preserve">Un exemplaire du protocole </w:t>
      </w:r>
      <w:r>
        <w:t xml:space="preserve">d’utilisation thérapeutique et </w:t>
      </w:r>
      <w:r w:rsidRPr="00006BD0">
        <w:t xml:space="preserve">de suivi </w:t>
      </w:r>
      <w:r>
        <w:t xml:space="preserve">des patients </w:t>
      </w:r>
      <w:r w:rsidRPr="00006BD0">
        <w:t xml:space="preserve">et ses annexes sont disponibles sur le site Internet de </w:t>
      </w:r>
      <w:r w:rsidRPr="00D16D36">
        <w:t>l’ANSM (</w:t>
      </w:r>
      <w:hyperlink r:id="rId36">
        <w:r w:rsidRPr="00D16D36">
          <w:rPr>
            <w:color w:val="0000FF"/>
          </w:rPr>
          <w:t xml:space="preserve">www.ansm.sante.fr </w:t>
        </w:r>
      </w:hyperlink>
      <w:r w:rsidRPr="00D16D36">
        <w:t xml:space="preserve">– </w:t>
      </w:r>
      <w:bookmarkStart w:id="2" w:name="_Hlk80970203"/>
      <w:bookmarkStart w:id="3" w:name="_Hlk80970411"/>
      <w:r w:rsidRPr="00D16D36">
        <w:t xml:space="preserve">Documents de référence, Accès compassionnel/accès précoce, </w:t>
      </w:r>
      <w:r w:rsidR="00D50DE0">
        <w:t>Référentiel des spécialités en accès dérogatoire,</w:t>
      </w:r>
      <w:r w:rsidR="00D50DE0" w:rsidRPr="00D16D36">
        <w:t xml:space="preserve"> </w:t>
      </w:r>
      <w:r w:rsidRPr="00D16D36">
        <w:t>CPC en cours</w:t>
      </w:r>
      <w:bookmarkEnd w:id="2"/>
      <w:r w:rsidRPr="00D16D36">
        <w:t>)</w:t>
      </w:r>
      <w:r w:rsidRPr="00006BD0">
        <w:t xml:space="preserve"> </w:t>
      </w:r>
      <w:bookmarkEnd w:id="3"/>
      <w:r w:rsidRPr="00006BD0">
        <w:t>qui mentionne également la date d’entrée en vigueur d</w:t>
      </w:r>
      <w:r>
        <w:t>u CPC</w:t>
      </w:r>
      <w:r w:rsidRPr="00006BD0">
        <w:t xml:space="preserve">. Il est également mis à la disposition des professionnels de santé concernés </w:t>
      </w:r>
      <w:r w:rsidR="00C92AF4">
        <w:t xml:space="preserve">sur demande </w:t>
      </w:r>
      <w:r w:rsidRPr="00006BD0">
        <w:t>par le laboratoire.</w:t>
      </w:r>
    </w:p>
    <w:p w14:paraId="6D78CF40" w14:textId="77777777" w:rsidR="00F237B1" w:rsidRPr="00006BD0" w:rsidRDefault="00F237B1" w:rsidP="00F237B1">
      <w:pPr>
        <w:pStyle w:val="Corpsdetexte"/>
        <w:spacing w:before="8"/>
        <w:rPr>
          <w:u w:val="single"/>
        </w:rPr>
      </w:pPr>
    </w:p>
    <w:p w14:paraId="5F28FB64" w14:textId="04A53E63" w:rsidR="001F50E8" w:rsidRDefault="001F50E8" w:rsidP="00F237B1">
      <w:pPr>
        <w:tabs>
          <w:tab w:val="left" w:pos="840"/>
        </w:tabs>
      </w:pPr>
    </w:p>
    <w:p w14:paraId="2B4EDCE8" w14:textId="77777777" w:rsidR="001F50E8" w:rsidRPr="001F50E8" w:rsidRDefault="001F50E8" w:rsidP="001F50E8"/>
    <w:sectPr w:rsidR="001F50E8" w:rsidRPr="001F50E8" w:rsidSect="008E3CE9">
      <w:pgSz w:w="11910" w:h="16840"/>
      <w:pgMar w:top="1417" w:right="1417" w:bottom="1417" w:left="1417" w:header="0" w:footer="119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C8B" w16cex:dateUtc="2021-12-17T14:34:00Z"/>
  <w16cex:commentExtensible w16cex:durableId="26376E93" w16cex:dateUtc="2022-05-24T12:47:00Z"/>
  <w16cex:commentExtensible w16cex:durableId="2567284E" w16cex:dateUtc="2021-12-17T14:16:00Z"/>
  <w16cex:commentExtensible w16cex:durableId="26376EF2" w16cex:dateUtc="2022-05-24T12:48:00Z"/>
  <w16cex:commentExtensible w16cex:durableId="25672876" w16cex:dateUtc="2021-12-17T14:17:00Z"/>
  <w16cex:commentExtensible w16cex:durableId="26376EF3" w16cex:dateUtc="2022-05-24T12:48:00Z"/>
  <w16cex:commentExtensible w16cex:durableId="25672916" w16cex:dateUtc="2021-12-17T14:19:00Z"/>
  <w16cex:commentExtensible w16cex:durableId="26376EF4" w16cex:dateUtc="2022-05-24T12:48:00Z"/>
  <w16cex:commentExtensible w16cex:durableId="25672A08" w16cex:dateUtc="2021-12-17T14:23:00Z"/>
  <w16cex:commentExtensible w16cex:durableId="26376EFF" w16cex:dateUtc="2022-05-24T12:49:00Z"/>
  <w16cex:commentExtensible w16cex:durableId="2567310C" w16cex:dateUtc="2021-12-17T14:53:00Z"/>
  <w16cex:commentExtensible w16cex:durableId="26376F76" w16cex:dateUtc="2022-05-24T12:51:00Z"/>
  <w16cex:commentExtensible w16cex:durableId="25672A62" w16cex:dateUtc="2021-12-17T14:25:00Z"/>
  <w16cex:commentExtensible w16cex:durableId="26376FC2" w16cex:dateUtc="2022-05-24T12:52:00Z"/>
  <w16cex:commentExtensible w16cex:durableId="2638BB18" w16cex:dateUtc="2022-05-25T12:26:00Z"/>
  <w16cex:commentExtensible w16cex:durableId="265B122C" w16cex:dateUtc="2022-06-20T13:35:00Z"/>
  <w16cex:commentExtensible w16cex:durableId="256730C2" w16cex:dateUtc="2021-12-17T14:52:00Z"/>
  <w16cex:commentExtensible w16cex:durableId="26377108" w16cex:dateUtc="2022-05-24T12:58:00Z"/>
  <w16cex:commentExtensible w16cex:durableId="25673192" w16cex:dateUtc="2021-12-17T14:56:00Z"/>
  <w16cex:commentExtensible w16cex:durableId="2638BFB3" w16cex:dateUtc="2022-05-25T12:46:00Z"/>
  <w16cex:commentExtensible w16cex:durableId="256731A1" w16cex:dateUtc="2021-12-17T14:56:00Z"/>
  <w16cex:commentExtensible w16cex:durableId="2638BFBC" w16cex:dateUtc="2022-05-25T12:46:00Z"/>
  <w16cex:commentExtensible w16cex:durableId="265B0F29" w16cex:dateUtc="2022-06-20T13:22:00Z"/>
  <w16cex:commentExtensible w16cex:durableId="2638BFE3" w16cex:dateUtc="2022-05-25T12:46:00Z"/>
  <w16cex:commentExtensible w16cex:durableId="256731B6" w16cex:dateUtc="2021-12-17T14:56:00Z"/>
  <w16cex:commentExtensible w16cex:durableId="2638C065" w16cex:dateUtc="2022-05-25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D1B74" w16cid:durableId="25672C8B"/>
  <w16cid:commentId w16cid:paraId="5106E848" w16cid:durableId="26376E6C"/>
  <w16cid:commentId w16cid:paraId="2DB90639" w16cid:durableId="26376E93"/>
  <w16cid:commentId w16cid:paraId="53D82F60" w16cid:durableId="2567284E"/>
  <w16cid:commentId w16cid:paraId="4B37877E" w16cid:durableId="26376E6E"/>
  <w16cid:commentId w16cid:paraId="0DA24CB0" w16cid:durableId="26376EF2"/>
  <w16cid:commentId w16cid:paraId="00752262" w16cid:durableId="25672876"/>
  <w16cid:commentId w16cid:paraId="47006766" w16cid:durableId="26376E70"/>
  <w16cid:commentId w16cid:paraId="5612A130" w16cid:durableId="26376EF3"/>
  <w16cid:commentId w16cid:paraId="4FD6DEFB" w16cid:durableId="25672916"/>
  <w16cid:commentId w16cid:paraId="1A9003F9" w16cid:durableId="26376E72"/>
  <w16cid:commentId w16cid:paraId="595D933A" w16cid:durableId="26376EF4"/>
  <w16cid:commentId w16cid:paraId="5A308012" w16cid:durableId="25672A08"/>
  <w16cid:commentId w16cid:paraId="70F6FE8C" w16cid:durableId="26376E74"/>
  <w16cid:commentId w16cid:paraId="2355ECC4" w16cid:durableId="26376EFF"/>
  <w16cid:commentId w16cid:paraId="5C7FFCD0" w16cid:durableId="2567310C"/>
  <w16cid:commentId w16cid:paraId="5EA8E2AB" w16cid:durableId="26376E76"/>
  <w16cid:commentId w16cid:paraId="2D3CB85F" w16cid:durableId="26376F76"/>
  <w16cid:commentId w16cid:paraId="1368ACAE" w16cid:durableId="25672A62"/>
  <w16cid:commentId w16cid:paraId="62CB29F8" w16cid:durableId="26376E78"/>
  <w16cid:commentId w16cid:paraId="73618EFB" w16cid:durableId="26376FC2"/>
  <w16cid:commentId w16cid:paraId="08AB7333" w16cid:durableId="2638BB18"/>
  <w16cid:commentId w16cid:paraId="5D7B4796" w16cid:durableId="265B122C"/>
  <w16cid:commentId w16cid:paraId="28891AE9" w16cid:durableId="256730C2"/>
  <w16cid:commentId w16cid:paraId="2DF38005" w16cid:durableId="26376E7A"/>
  <w16cid:commentId w16cid:paraId="457B60E1" w16cid:durableId="26377108"/>
  <w16cid:commentId w16cid:paraId="6FE870E0" w16cid:durableId="25673192"/>
  <w16cid:commentId w16cid:paraId="7F18A175" w16cid:durableId="26376E7C"/>
  <w16cid:commentId w16cid:paraId="4FDC64D1" w16cid:durableId="2638BFB3"/>
  <w16cid:commentId w16cid:paraId="44D98EFE" w16cid:durableId="256731A1"/>
  <w16cid:commentId w16cid:paraId="374AD67D" w16cid:durableId="26376E7E"/>
  <w16cid:commentId w16cid:paraId="7E028F49" w16cid:durableId="2638BFBC"/>
  <w16cid:commentId w16cid:paraId="5534F1BE" w16cid:durableId="265B0F29"/>
  <w16cid:commentId w16cid:paraId="3EE57286" w16cid:durableId="2638BFE3"/>
  <w16cid:commentId w16cid:paraId="4ACE7BEF" w16cid:durableId="256731B6"/>
  <w16cid:commentId w16cid:paraId="1EC6E650" w16cid:durableId="26376E80"/>
  <w16cid:commentId w16cid:paraId="603C66AC" w16cid:durableId="2638C0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0DAD" w14:textId="77777777" w:rsidR="00F31A69" w:rsidRDefault="00F31A69">
      <w:r>
        <w:separator/>
      </w:r>
    </w:p>
  </w:endnote>
  <w:endnote w:type="continuationSeparator" w:id="0">
    <w:p w14:paraId="084AC791" w14:textId="77777777" w:rsidR="00F31A69" w:rsidRDefault="00F31A69">
      <w:r>
        <w:continuationSeparator/>
      </w:r>
    </w:p>
  </w:endnote>
  <w:endnote w:type="continuationNotice" w:id="1">
    <w:p w14:paraId="4555CA26" w14:textId="77777777" w:rsidR="00F31A69" w:rsidRDefault="00F31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Cond">
    <w:altName w:val="Arial"/>
    <w:charset w:val="00"/>
    <w:family w:val="swiss"/>
    <w:pitch w:val="variable"/>
    <w:sig w:usb0="00000001" w:usb1="00000002" w:usb2="00000000" w:usb3="00000000" w:csb0="0000019F" w:csb1="00000000"/>
  </w:font>
  <w:font w:name="Imago">
    <w:altName w:val="Times New Roman"/>
    <w:charset w:val="00"/>
    <w:family w:val="auto"/>
    <w:pitch w:val="variable"/>
    <w:sig w:usb0="A00002AF" w:usb1="5000205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D3E3" w14:textId="5D917FE6" w:rsidR="00F31A69" w:rsidRDefault="00F31A69">
    <w:pPr>
      <w:pStyle w:val="Corpsdetexte"/>
      <w:spacing w:line="14" w:lineRule="auto"/>
    </w:pPr>
    <w:r>
      <w:rPr>
        <w:noProof/>
        <w:lang w:eastAsia="fr-FR"/>
      </w:rPr>
      <mc:AlternateContent>
        <mc:Choice Requires="wps">
          <w:drawing>
            <wp:anchor distT="0" distB="0" distL="114300" distR="114300" simplePos="0" relativeHeight="251658240" behindDoc="1" locked="0" layoutInCell="1" allowOverlap="1" wp14:anchorId="277D8F94" wp14:editId="583D2A93">
              <wp:simplePos x="0" y="0"/>
              <wp:positionH relativeFrom="page">
                <wp:posOffset>3229471</wp:posOffset>
              </wp:positionH>
              <wp:positionV relativeFrom="page">
                <wp:posOffset>10227538</wp:posOffset>
              </wp:positionV>
              <wp:extent cx="1569808" cy="214630"/>
              <wp:effectExtent l="0" t="0" r="1143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808"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A516" w14:textId="48B883F7" w:rsidR="00F31A69" w:rsidRPr="001A2FC9" w:rsidRDefault="00BB7C5B">
                          <w:pPr>
                            <w:spacing w:before="14"/>
                            <w:ind w:left="20"/>
                            <w:rPr>
                              <w:sz w:val="16"/>
                            </w:rPr>
                          </w:pPr>
                          <w:r>
                            <w:rPr>
                              <w:sz w:val="16"/>
                            </w:rPr>
                            <w:t>Mai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77D8F94" id="_x0000_t202" coordsize="21600,21600" o:spt="202" path="m,l,21600r21600,l21600,xe">
              <v:stroke joinstyle="miter"/>
              <v:path gradientshapeok="t" o:connecttype="rect"/>
            </v:shapetype>
            <v:shape id="Text Box 10" o:spid="_x0000_s1027" type="#_x0000_t202" style="position:absolute;margin-left:254.3pt;margin-top:805.3pt;width:123.6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FjrwIAAKs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" filled="f" stroked="f">
              <v:textbox inset="0,0,0,0">
                <w:txbxContent>
                  <w:p w14:paraId="7C52A516" w14:textId="48B883F7" w:rsidR="00F31A69" w:rsidRPr="001A2FC9" w:rsidRDefault="00BB7C5B">
                    <w:pPr>
                      <w:spacing w:before="14"/>
                      <w:ind w:left="20"/>
                      <w:rPr>
                        <w:sz w:val="16"/>
                      </w:rPr>
                    </w:pPr>
                    <w:r>
                      <w:rPr>
                        <w:sz w:val="16"/>
                      </w:rPr>
                      <w:t>Mai 2025</w:t>
                    </w:r>
                  </w:p>
                </w:txbxContent>
              </v:textbox>
              <w10:wrap anchorx="page" anchory="page"/>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BEF9D47" wp14:editId="31E47718">
              <wp:simplePos x="0" y="0"/>
              <wp:positionH relativeFrom="margin">
                <wp:posOffset>-490220</wp:posOffset>
              </wp:positionH>
              <wp:positionV relativeFrom="paragraph">
                <wp:posOffset>265430</wp:posOffset>
              </wp:positionV>
              <wp:extent cx="6586855" cy="16510"/>
              <wp:effectExtent l="0" t="0" r="23495" b="21590"/>
              <wp:wrapNone/>
              <wp:docPr id="7" name="Connecteur droit 7"/>
              <wp:cNvGraphicFramePr/>
              <a:graphic xmlns:a="http://schemas.openxmlformats.org/drawingml/2006/main">
                <a:graphicData uri="http://schemas.microsoft.com/office/word/2010/wordprocessingShape">
                  <wps:wsp>
                    <wps:cNvCnPr/>
                    <wps:spPr>
                      <a:xfrm flipV="1">
                        <a:off x="0" y="0"/>
                        <a:ext cx="6586855"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CED0B81" id="Connecteur droit 7"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38.6pt,20.9pt" to="480.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" strokecolor="black [3040]">
              <w10:wrap anchorx="margin"/>
            </v:line>
          </w:pict>
        </mc:Fallback>
      </mc:AlternateContent>
    </w:r>
    <w:r>
      <w:rPr>
        <w:noProof/>
        <w:lang w:eastAsia="fr-FR"/>
      </w:rPr>
      <mc:AlternateContent>
        <mc:Choice Requires="wps">
          <w:drawing>
            <wp:anchor distT="0" distB="0" distL="114300" distR="114300" simplePos="0" relativeHeight="251656192" behindDoc="1" locked="0" layoutInCell="1" allowOverlap="1" wp14:anchorId="0C3B7E93" wp14:editId="61738320">
              <wp:simplePos x="0" y="0"/>
              <wp:positionH relativeFrom="page">
                <wp:posOffset>1857375</wp:posOffset>
              </wp:positionH>
              <wp:positionV relativeFrom="page">
                <wp:posOffset>9978580</wp:posOffset>
              </wp:positionV>
              <wp:extent cx="3822700" cy="174625"/>
              <wp:effectExtent l="0" t="0" r="635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A377" w14:textId="77777777" w:rsidR="00F31A69" w:rsidRPr="000D33D7" w:rsidRDefault="00F31A69" w:rsidP="001A2FC9">
                          <w:pPr>
                            <w:spacing w:before="14"/>
                            <w:ind w:left="20"/>
                            <w:rPr>
                              <w:sz w:val="16"/>
                            </w:rPr>
                          </w:pPr>
                          <w:r w:rsidRPr="000D33D7">
                            <w:rPr>
                              <w:sz w:val="16"/>
                            </w:rPr>
                            <w:t xml:space="preserve">Protocole </w:t>
                          </w:r>
                          <w:r>
                            <w:rPr>
                              <w:sz w:val="16"/>
                            </w:rPr>
                            <w:t xml:space="preserve">d’utilisation thérapeutique et </w:t>
                          </w:r>
                          <w:r w:rsidRPr="000D33D7">
                            <w:rPr>
                              <w:sz w:val="16"/>
                            </w:rPr>
                            <w:t xml:space="preserve">de suivi </w:t>
                          </w:r>
                          <w:r>
                            <w:rPr>
                              <w:sz w:val="16"/>
                            </w:rPr>
                            <w:t>ITRACONAZOLE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3B7E93" id="Text Box 12" o:spid="_x0000_s1028" type="#_x0000_t202" style="position:absolute;margin-left:146.25pt;margin-top:785.7pt;width:301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gT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" filled="f" stroked="f">
              <v:textbox inset="0,0,0,0">
                <w:txbxContent>
                  <w:p w14:paraId="1613A377" w14:textId="77777777" w:rsidR="00F31A69" w:rsidRPr="000D33D7" w:rsidRDefault="00F31A69" w:rsidP="001A2FC9">
                    <w:pPr>
                      <w:spacing w:before="14"/>
                      <w:ind w:left="20"/>
                      <w:rPr>
                        <w:sz w:val="16"/>
                      </w:rPr>
                    </w:pPr>
                    <w:r w:rsidRPr="000D33D7">
                      <w:rPr>
                        <w:sz w:val="16"/>
                      </w:rPr>
                      <w:t xml:space="preserve">Protocole </w:t>
                    </w:r>
                    <w:r>
                      <w:rPr>
                        <w:sz w:val="16"/>
                      </w:rPr>
                      <w:t xml:space="preserve">d’utilisation thérapeutique et </w:t>
                    </w:r>
                    <w:r w:rsidRPr="000D33D7">
                      <w:rPr>
                        <w:sz w:val="16"/>
                      </w:rPr>
                      <w:t xml:space="preserve">de suivi </w:t>
                    </w:r>
                    <w:r>
                      <w:rPr>
                        <w:sz w:val="16"/>
                      </w:rPr>
                      <w:t>ITRACONAZOLE</w:t>
                    </w:r>
                  </w:p>
                </w:txbxContent>
              </v:textbox>
              <w10:wrap anchorx="page" anchory="page"/>
            </v:shape>
          </w:pict>
        </mc:Fallback>
      </mc:AlternateContent>
    </w:r>
    <w:r>
      <w:rPr>
        <w:noProof/>
        <w:lang w:eastAsia="fr-FR"/>
      </w:rPr>
      <mc:AlternateContent>
        <mc:Choice Requires="wps">
          <w:drawing>
            <wp:anchor distT="0" distB="0" distL="114300" distR="114300" simplePos="0" relativeHeight="251657216" behindDoc="1" locked="0" layoutInCell="1" allowOverlap="1" wp14:anchorId="277A4588" wp14:editId="18CA4342">
              <wp:simplePos x="0" y="0"/>
              <wp:positionH relativeFrom="margin">
                <wp:align>right</wp:align>
              </wp:positionH>
              <wp:positionV relativeFrom="page">
                <wp:posOffset>9951522</wp:posOffset>
              </wp:positionV>
              <wp:extent cx="380011" cy="213756"/>
              <wp:effectExtent l="0" t="0" r="127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11" cy="213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F0EE" w14:textId="4275AA4F" w:rsidR="00F31A69" w:rsidRPr="00D021FE" w:rsidRDefault="00F31A69">
                          <w:pPr>
                            <w:spacing w:before="14"/>
                            <w:ind w:left="60"/>
                            <w:rPr>
                              <w:sz w:val="16"/>
                            </w:rPr>
                          </w:pPr>
                          <w:r w:rsidRPr="00D021FE">
                            <w:fldChar w:fldCharType="begin"/>
                          </w:r>
                          <w:r w:rsidRPr="00D021FE">
                            <w:rPr>
                              <w:sz w:val="16"/>
                            </w:rPr>
                            <w:instrText xml:space="preserve"> PAGE </w:instrText>
                          </w:r>
                          <w:r w:rsidRPr="00D021FE">
                            <w:fldChar w:fldCharType="separate"/>
                          </w:r>
                          <w:r w:rsidR="005F15B2">
                            <w:rPr>
                              <w:noProof/>
                              <w:sz w:val="16"/>
                            </w:rPr>
                            <w:t>1</w:t>
                          </w:r>
                          <w:r w:rsidRPr="00D021FE">
                            <w:fldChar w:fldCharType="end"/>
                          </w:r>
                          <w:r>
                            <w:rPr>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A4588" id="_x0000_t202" coordsize="21600,21600" o:spt="202" path="m,l,21600r21600,l21600,xe">
              <v:stroke joinstyle="miter"/>
              <v:path gradientshapeok="t" o:connecttype="rect"/>
            </v:shapetype>
            <v:shape id="Text Box 11" o:spid="_x0000_s1029" type="#_x0000_t202" style="position:absolute;margin-left:-21.3pt;margin-top:783.6pt;width:29.9pt;height:1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emsAIAALE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" filled="f" stroked="f">
              <v:textbox inset="0,0,0,0">
                <w:txbxContent>
                  <w:p w14:paraId="6F7EF0EE" w14:textId="4275AA4F" w:rsidR="00F31A69" w:rsidRPr="00D021FE" w:rsidRDefault="00F31A69">
                    <w:pPr>
                      <w:spacing w:before="14"/>
                      <w:ind w:left="60"/>
                      <w:rPr>
                        <w:sz w:val="16"/>
                      </w:rPr>
                    </w:pPr>
                    <w:r w:rsidRPr="00D021FE">
                      <w:fldChar w:fldCharType="begin"/>
                    </w:r>
                    <w:r w:rsidRPr="00D021FE">
                      <w:rPr>
                        <w:sz w:val="16"/>
                      </w:rPr>
                      <w:instrText xml:space="preserve"> PAGE </w:instrText>
                    </w:r>
                    <w:r w:rsidRPr="00D021FE">
                      <w:fldChar w:fldCharType="separate"/>
                    </w:r>
                    <w:r w:rsidR="005F15B2">
                      <w:rPr>
                        <w:noProof/>
                        <w:sz w:val="16"/>
                      </w:rPr>
                      <w:t>1</w:t>
                    </w:r>
                    <w:r w:rsidRPr="00D021FE">
                      <w:fldChar w:fldCharType="end"/>
                    </w:r>
                    <w:r>
                      <w:rPr>
                        <w:sz w:val="16"/>
                      </w:rPr>
                      <w:t>/16</w:t>
                    </w:r>
                  </w:p>
                </w:txbxContent>
              </v:textbox>
              <w10:wrap anchorx="margin" anchory="page"/>
            </v:shape>
          </w:pict>
        </mc:Fallback>
      </mc:AlternateContent>
    </w:r>
    <w:r>
      <w:rPr>
        <w:noProof/>
        <w:lang w:eastAsia="fr-FR"/>
      </w:rPr>
      <mc:AlternateContent>
        <mc:Choice Requires="wps">
          <w:drawing>
            <wp:anchor distT="0" distB="0" distL="114300" distR="114300" simplePos="0" relativeHeight="251655168" behindDoc="1" locked="0" layoutInCell="1" allowOverlap="1" wp14:anchorId="2282EE14" wp14:editId="13F44A76">
              <wp:simplePos x="0" y="0"/>
              <wp:positionH relativeFrom="leftMargin">
                <wp:align>right</wp:align>
              </wp:positionH>
              <wp:positionV relativeFrom="page">
                <wp:posOffset>9951522</wp:posOffset>
              </wp:positionV>
              <wp:extent cx="451262" cy="154379"/>
              <wp:effectExtent l="0" t="0" r="635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62" cy="15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D79D" w14:textId="77777777" w:rsidR="00F31A69" w:rsidRPr="00D021FE" w:rsidRDefault="00F31A69">
                          <w:pPr>
                            <w:spacing w:before="14"/>
                            <w:ind w:left="20"/>
                            <w:rPr>
                              <w:sz w:val="16"/>
                            </w:rPr>
                          </w:pPr>
                          <w:r w:rsidRPr="00D021FE">
                            <w:rPr>
                              <w:sz w:val="16"/>
                            </w:rPr>
                            <w:t>ANSM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82EE14" id="Text Box 13" o:spid="_x0000_s1030" type="#_x0000_t202" style="position:absolute;margin-left:-15.65pt;margin-top:783.6pt;width:35.55pt;height:12.1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zxrwIAALE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" filled="f" stroked="f">
              <v:textbox inset="0,0,0,0">
                <w:txbxContent>
                  <w:p w14:paraId="076BD79D" w14:textId="77777777" w:rsidR="00F31A69" w:rsidRPr="00D021FE" w:rsidRDefault="00F31A69">
                    <w:pPr>
                      <w:spacing w:before="14"/>
                      <w:ind w:left="20"/>
                      <w:rPr>
                        <w:sz w:val="16"/>
                      </w:rPr>
                    </w:pPr>
                    <w:r w:rsidRPr="00D021FE">
                      <w:rPr>
                        <w:sz w:val="16"/>
                      </w:rPr>
                      <w:t>ANSM</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1832" w14:textId="77777777" w:rsidR="00F31A69" w:rsidRDefault="00F31A69">
      <w:r>
        <w:separator/>
      </w:r>
    </w:p>
  </w:footnote>
  <w:footnote w:type="continuationSeparator" w:id="0">
    <w:p w14:paraId="45BBCD35" w14:textId="77777777" w:rsidR="00F31A69" w:rsidRDefault="00F31A69">
      <w:r>
        <w:continuationSeparator/>
      </w:r>
    </w:p>
  </w:footnote>
  <w:footnote w:type="continuationNotice" w:id="1">
    <w:p w14:paraId="6330CB82" w14:textId="77777777" w:rsidR="00F31A69" w:rsidRDefault="00F31A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B77E" w14:textId="2BB7B427" w:rsidR="00F31A69" w:rsidRDefault="005F15B2">
    <w:pPr>
      <w:pStyle w:val="En-tte"/>
    </w:pPr>
    <w:r>
      <w:rPr>
        <w:noProof/>
      </w:rPr>
      <w:pict w14:anchorId="2C944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7.6pt;height:142.15pt;rotation:315;z-index:-25165619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5430" w14:textId="4186F6D6" w:rsidR="00CF5D7F" w:rsidRDefault="00CF5D7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DF82" w14:textId="16FE0FFA" w:rsidR="00CF5D7F" w:rsidRDefault="00CF5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00A"/>
    <w:multiLevelType w:val="multilevel"/>
    <w:tmpl w:val="7E2CE8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570219"/>
    <w:multiLevelType w:val="hybridMultilevel"/>
    <w:tmpl w:val="EA322F7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3D356FB"/>
    <w:multiLevelType w:val="hybridMultilevel"/>
    <w:tmpl w:val="F91E7FDE"/>
    <w:lvl w:ilvl="0" w:tplc="7214FAE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103B3"/>
    <w:multiLevelType w:val="hybridMultilevel"/>
    <w:tmpl w:val="4846060C"/>
    <w:lvl w:ilvl="0" w:tplc="040C0005">
      <w:start w:val="1"/>
      <w:numFmt w:val="bullet"/>
      <w:lvlText w:val=""/>
      <w:lvlJc w:val="left"/>
      <w:pPr>
        <w:ind w:left="1364" w:hanging="360"/>
      </w:pPr>
      <w:rPr>
        <w:rFonts w:ascii="Wingdings" w:hAnsi="Wingdings" w:hint="default"/>
      </w:rPr>
    </w:lvl>
    <w:lvl w:ilvl="1" w:tplc="040C0003">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15:restartNumberingAfterBreak="0">
    <w:nsid w:val="1BB650EA"/>
    <w:multiLevelType w:val="hybridMultilevel"/>
    <w:tmpl w:val="F9304D62"/>
    <w:lvl w:ilvl="0" w:tplc="F8AED490">
      <w:start w:val="1"/>
      <w:numFmt w:val="decimal"/>
      <w:lvlText w:val="%1."/>
      <w:lvlJc w:val="left"/>
      <w:pPr>
        <w:ind w:left="916" w:hanging="360"/>
      </w:pPr>
      <w:rPr>
        <w:rFonts w:ascii="Arial" w:hAnsi="Arial" w:cs="Arial" w:hint="default"/>
        <w:w w:val="100"/>
        <w:sz w:val="20"/>
        <w:szCs w:val="20"/>
        <w:lang w:val="fr-FR" w:eastAsia="en-US" w:bidi="ar-SA"/>
      </w:rPr>
    </w:lvl>
    <w:lvl w:ilvl="1" w:tplc="EEC6B332">
      <w:numFmt w:val="bullet"/>
      <w:lvlText w:val="•"/>
      <w:lvlJc w:val="left"/>
      <w:pPr>
        <w:ind w:left="1846" w:hanging="360"/>
      </w:pPr>
      <w:rPr>
        <w:rFonts w:hint="default"/>
        <w:lang w:val="fr-FR" w:eastAsia="en-US" w:bidi="ar-SA"/>
      </w:rPr>
    </w:lvl>
    <w:lvl w:ilvl="2" w:tplc="331E77A8">
      <w:numFmt w:val="bullet"/>
      <w:lvlText w:val="•"/>
      <w:lvlJc w:val="left"/>
      <w:pPr>
        <w:ind w:left="2773" w:hanging="360"/>
      </w:pPr>
      <w:rPr>
        <w:rFonts w:hint="default"/>
        <w:lang w:val="fr-FR" w:eastAsia="en-US" w:bidi="ar-SA"/>
      </w:rPr>
    </w:lvl>
    <w:lvl w:ilvl="3" w:tplc="D9B6AD12">
      <w:numFmt w:val="bullet"/>
      <w:lvlText w:val="•"/>
      <w:lvlJc w:val="left"/>
      <w:pPr>
        <w:ind w:left="3699" w:hanging="360"/>
      </w:pPr>
      <w:rPr>
        <w:rFonts w:hint="default"/>
        <w:lang w:val="fr-FR" w:eastAsia="en-US" w:bidi="ar-SA"/>
      </w:rPr>
    </w:lvl>
    <w:lvl w:ilvl="4" w:tplc="03542F0C">
      <w:numFmt w:val="bullet"/>
      <w:lvlText w:val="•"/>
      <w:lvlJc w:val="left"/>
      <w:pPr>
        <w:ind w:left="4626" w:hanging="360"/>
      </w:pPr>
      <w:rPr>
        <w:rFonts w:hint="default"/>
        <w:lang w:val="fr-FR" w:eastAsia="en-US" w:bidi="ar-SA"/>
      </w:rPr>
    </w:lvl>
    <w:lvl w:ilvl="5" w:tplc="2870C62A">
      <w:numFmt w:val="bullet"/>
      <w:lvlText w:val="•"/>
      <w:lvlJc w:val="left"/>
      <w:pPr>
        <w:ind w:left="5553" w:hanging="360"/>
      </w:pPr>
      <w:rPr>
        <w:rFonts w:hint="default"/>
        <w:lang w:val="fr-FR" w:eastAsia="en-US" w:bidi="ar-SA"/>
      </w:rPr>
    </w:lvl>
    <w:lvl w:ilvl="6" w:tplc="C28CF52C">
      <w:numFmt w:val="bullet"/>
      <w:lvlText w:val="•"/>
      <w:lvlJc w:val="left"/>
      <w:pPr>
        <w:ind w:left="6479" w:hanging="360"/>
      </w:pPr>
      <w:rPr>
        <w:rFonts w:hint="default"/>
        <w:lang w:val="fr-FR" w:eastAsia="en-US" w:bidi="ar-SA"/>
      </w:rPr>
    </w:lvl>
    <w:lvl w:ilvl="7" w:tplc="4F38870C">
      <w:numFmt w:val="bullet"/>
      <w:lvlText w:val="•"/>
      <w:lvlJc w:val="left"/>
      <w:pPr>
        <w:ind w:left="7406" w:hanging="360"/>
      </w:pPr>
      <w:rPr>
        <w:rFonts w:hint="default"/>
        <w:lang w:val="fr-FR" w:eastAsia="en-US" w:bidi="ar-SA"/>
      </w:rPr>
    </w:lvl>
    <w:lvl w:ilvl="8" w:tplc="652242BE">
      <w:numFmt w:val="bullet"/>
      <w:lvlText w:val="•"/>
      <w:lvlJc w:val="left"/>
      <w:pPr>
        <w:ind w:left="8333" w:hanging="360"/>
      </w:pPr>
      <w:rPr>
        <w:rFonts w:hint="default"/>
        <w:lang w:val="fr-FR" w:eastAsia="en-US" w:bidi="ar-SA"/>
      </w:rPr>
    </w:lvl>
  </w:abstractNum>
  <w:abstractNum w:abstractNumId="5" w15:restartNumberingAfterBreak="0">
    <w:nsid w:val="241860AA"/>
    <w:multiLevelType w:val="hybridMultilevel"/>
    <w:tmpl w:val="2CE83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F48EB"/>
    <w:multiLevelType w:val="hybridMultilevel"/>
    <w:tmpl w:val="9A981DCC"/>
    <w:lvl w:ilvl="0" w:tplc="6452063E">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8417D0"/>
    <w:multiLevelType w:val="hybridMultilevel"/>
    <w:tmpl w:val="675EFF0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F142F4A"/>
    <w:multiLevelType w:val="hybridMultilevel"/>
    <w:tmpl w:val="A75ACA74"/>
    <w:lvl w:ilvl="0" w:tplc="6E40FBC2">
      <w:numFmt w:val="bullet"/>
      <w:lvlText w:val=""/>
      <w:lvlJc w:val="left"/>
      <w:pPr>
        <w:ind w:left="993" w:hanging="360"/>
      </w:pPr>
      <w:rPr>
        <w:rFonts w:ascii="Symbol" w:eastAsia="Symbol" w:hAnsi="Symbol" w:cs="Symbol" w:hint="default"/>
        <w:w w:val="99"/>
        <w:sz w:val="20"/>
        <w:szCs w:val="20"/>
        <w:lang w:val="fr-FR" w:eastAsia="en-US" w:bidi="ar-SA"/>
      </w:rPr>
    </w:lvl>
    <w:lvl w:ilvl="1" w:tplc="C7500506">
      <w:numFmt w:val="bullet"/>
      <w:lvlText w:val="•"/>
      <w:lvlJc w:val="left"/>
      <w:pPr>
        <w:ind w:left="1918" w:hanging="360"/>
      </w:pPr>
      <w:rPr>
        <w:rFonts w:hint="default"/>
        <w:lang w:val="fr-FR" w:eastAsia="en-US" w:bidi="ar-SA"/>
      </w:rPr>
    </w:lvl>
    <w:lvl w:ilvl="2" w:tplc="2C481462">
      <w:numFmt w:val="bullet"/>
      <w:lvlText w:val="•"/>
      <w:lvlJc w:val="left"/>
      <w:pPr>
        <w:ind w:left="2837" w:hanging="360"/>
      </w:pPr>
      <w:rPr>
        <w:rFonts w:hint="default"/>
        <w:lang w:val="fr-FR" w:eastAsia="en-US" w:bidi="ar-SA"/>
      </w:rPr>
    </w:lvl>
    <w:lvl w:ilvl="3" w:tplc="518265F4">
      <w:numFmt w:val="bullet"/>
      <w:lvlText w:val="•"/>
      <w:lvlJc w:val="left"/>
      <w:pPr>
        <w:ind w:left="3755" w:hanging="360"/>
      </w:pPr>
      <w:rPr>
        <w:rFonts w:hint="default"/>
        <w:lang w:val="fr-FR" w:eastAsia="en-US" w:bidi="ar-SA"/>
      </w:rPr>
    </w:lvl>
    <w:lvl w:ilvl="4" w:tplc="DBE207B4">
      <w:numFmt w:val="bullet"/>
      <w:lvlText w:val="•"/>
      <w:lvlJc w:val="left"/>
      <w:pPr>
        <w:ind w:left="4674" w:hanging="360"/>
      </w:pPr>
      <w:rPr>
        <w:rFonts w:hint="default"/>
        <w:lang w:val="fr-FR" w:eastAsia="en-US" w:bidi="ar-SA"/>
      </w:rPr>
    </w:lvl>
    <w:lvl w:ilvl="5" w:tplc="E43A0F3C">
      <w:numFmt w:val="bullet"/>
      <w:lvlText w:val="•"/>
      <w:lvlJc w:val="left"/>
      <w:pPr>
        <w:ind w:left="5593" w:hanging="360"/>
      </w:pPr>
      <w:rPr>
        <w:rFonts w:hint="default"/>
        <w:lang w:val="fr-FR" w:eastAsia="en-US" w:bidi="ar-SA"/>
      </w:rPr>
    </w:lvl>
    <w:lvl w:ilvl="6" w:tplc="F0243522">
      <w:numFmt w:val="bullet"/>
      <w:lvlText w:val="•"/>
      <w:lvlJc w:val="left"/>
      <w:pPr>
        <w:ind w:left="6511" w:hanging="360"/>
      </w:pPr>
      <w:rPr>
        <w:rFonts w:hint="default"/>
        <w:lang w:val="fr-FR" w:eastAsia="en-US" w:bidi="ar-SA"/>
      </w:rPr>
    </w:lvl>
    <w:lvl w:ilvl="7" w:tplc="DDF237F2">
      <w:numFmt w:val="bullet"/>
      <w:lvlText w:val="•"/>
      <w:lvlJc w:val="left"/>
      <w:pPr>
        <w:ind w:left="7430" w:hanging="360"/>
      </w:pPr>
      <w:rPr>
        <w:rFonts w:hint="default"/>
        <w:lang w:val="fr-FR" w:eastAsia="en-US" w:bidi="ar-SA"/>
      </w:rPr>
    </w:lvl>
    <w:lvl w:ilvl="8" w:tplc="9446C91A">
      <w:numFmt w:val="bullet"/>
      <w:lvlText w:val="•"/>
      <w:lvlJc w:val="left"/>
      <w:pPr>
        <w:ind w:left="8349" w:hanging="360"/>
      </w:pPr>
      <w:rPr>
        <w:rFonts w:hint="default"/>
        <w:lang w:val="fr-FR" w:eastAsia="en-US" w:bidi="ar-SA"/>
      </w:rPr>
    </w:lvl>
  </w:abstractNum>
  <w:abstractNum w:abstractNumId="9" w15:restartNumberingAfterBreak="0">
    <w:nsid w:val="49730668"/>
    <w:multiLevelType w:val="hybridMultilevel"/>
    <w:tmpl w:val="D7BCE616"/>
    <w:lvl w:ilvl="0" w:tplc="954C300A">
      <w:start w:val="1"/>
      <w:numFmt w:val="decimal"/>
      <w:lvlText w:val="%1)"/>
      <w:lvlJc w:val="left"/>
      <w:pPr>
        <w:ind w:left="786" w:hanging="360"/>
      </w:pPr>
      <w:rPr>
        <w:rFonts w:ascii="Arial" w:eastAsia="Arial" w:hAnsi="Arial" w:cs="Arial" w:hint="default"/>
        <w:b/>
        <w:bCs/>
        <w:spacing w:val="-1"/>
        <w:w w:val="99"/>
        <w:sz w:val="20"/>
        <w:szCs w:val="20"/>
        <w:lang w:val="fr-FR" w:eastAsia="en-US" w:bidi="ar-SA"/>
      </w:rPr>
    </w:lvl>
    <w:lvl w:ilvl="1" w:tplc="4C5E34AA">
      <w:numFmt w:val="bullet"/>
      <w:lvlText w:val="•"/>
      <w:lvlJc w:val="left"/>
      <w:pPr>
        <w:ind w:left="1846" w:hanging="360"/>
      </w:pPr>
      <w:rPr>
        <w:rFonts w:hint="default"/>
        <w:lang w:val="fr-FR" w:eastAsia="en-US" w:bidi="ar-SA"/>
      </w:rPr>
    </w:lvl>
    <w:lvl w:ilvl="2" w:tplc="CB3EAB8A">
      <w:numFmt w:val="bullet"/>
      <w:lvlText w:val="•"/>
      <w:lvlJc w:val="left"/>
      <w:pPr>
        <w:ind w:left="2773" w:hanging="360"/>
      </w:pPr>
      <w:rPr>
        <w:rFonts w:hint="default"/>
        <w:lang w:val="fr-FR" w:eastAsia="en-US" w:bidi="ar-SA"/>
      </w:rPr>
    </w:lvl>
    <w:lvl w:ilvl="3" w:tplc="618CBFE2">
      <w:numFmt w:val="bullet"/>
      <w:lvlText w:val="•"/>
      <w:lvlJc w:val="left"/>
      <w:pPr>
        <w:ind w:left="3699" w:hanging="360"/>
      </w:pPr>
      <w:rPr>
        <w:rFonts w:hint="default"/>
        <w:lang w:val="fr-FR" w:eastAsia="en-US" w:bidi="ar-SA"/>
      </w:rPr>
    </w:lvl>
    <w:lvl w:ilvl="4" w:tplc="BE80EEB4">
      <w:numFmt w:val="bullet"/>
      <w:lvlText w:val="•"/>
      <w:lvlJc w:val="left"/>
      <w:pPr>
        <w:ind w:left="4626" w:hanging="360"/>
      </w:pPr>
      <w:rPr>
        <w:rFonts w:hint="default"/>
        <w:lang w:val="fr-FR" w:eastAsia="en-US" w:bidi="ar-SA"/>
      </w:rPr>
    </w:lvl>
    <w:lvl w:ilvl="5" w:tplc="0BBEE46C">
      <w:numFmt w:val="bullet"/>
      <w:lvlText w:val="•"/>
      <w:lvlJc w:val="left"/>
      <w:pPr>
        <w:ind w:left="5553" w:hanging="360"/>
      </w:pPr>
      <w:rPr>
        <w:rFonts w:hint="default"/>
        <w:lang w:val="fr-FR" w:eastAsia="en-US" w:bidi="ar-SA"/>
      </w:rPr>
    </w:lvl>
    <w:lvl w:ilvl="6" w:tplc="A7C6FD1C">
      <w:numFmt w:val="bullet"/>
      <w:lvlText w:val="•"/>
      <w:lvlJc w:val="left"/>
      <w:pPr>
        <w:ind w:left="6479" w:hanging="360"/>
      </w:pPr>
      <w:rPr>
        <w:rFonts w:hint="default"/>
        <w:lang w:val="fr-FR" w:eastAsia="en-US" w:bidi="ar-SA"/>
      </w:rPr>
    </w:lvl>
    <w:lvl w:ilvl="7" w:tplc="A19EBAC2">
      <w:numFmt w:val="bullet"/>
      <w:lvlText w:val="•"/>
      <w:lvlJc w:val="left"/>
      <w:pPr>
        <w:ind w:left="7406" w:hanging="360"/>
      </w:pPr>
      <w:rPr>
        <w:rFonts w:hint="default"/>
        <w:lang w:val="fr-FR" w:eastAsia="en-US" w:bidi="ar-SA"/>
      </w:rPr>
    </w:lvl>
    <w:lvl w:ilvl="8" w:tplc="5330B308">
      <w:numFmt w:val="bullet"/>
      <w:lvlText w:val="•"/>
      <w:lvlJc w:val="left"/>
      <w:pPr>
        <w:ind w:left="8333" w:hanging="360"/>
      </w:pPr>
      <w:rPr>
        <w:rFonts w:hint="default"/>
        <w:lang w:val="fr-FR" w:eastAsia="en-US" w:bidi="ar-SA"/>
      </w:rPr>
    </w:lvl>
  </w:abstractNum>
  <w:abstractNum w:abstractNumId="10" w15:restartNumberingAfterBreak="0">
    <w:nsid w:val="4DD4749C"/>
    <w:multiLevelType w:val="hybridMultilevel"/>
    <w:tmpl w:val="9ADA1B4E"/>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1" w15:restartNumberingAfterBreak="0">
    <w:nsid w:val="518C2B8F"/>
    <w:multiLevelType w:val="multilevel"/>
    <w:tmpl w:val="766200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4E3B7F"/>
    <w:multiLevelType w:val="hybridMultilevel"/>
    <w:tmpl w:val="FA46ED6C"/>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3" w15:restartNumberingAfterBreak="0">
    <w:nsid w:val="580C7A2D"/>
    <w:multiLevelType w:val="hybridMultilevel"/>
    <w:tmpl w:val="99BC59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A3E35D9"/>
    <w:multiLevelType w:val="multilevel"/>
    <w:tmpl w:val="C5FCC94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953B66"/>
    <w:multiLevelType w:val="hybridMultilevel"/>
    <w:tmpl w:val="F0D02578"/>
    <w:lvl w:ilvl="0" w:tplc="DCE28C22">
      <w:numFmt w:val="bullet"/>
      <w:lvlText w:val="-"/>
      <w:lvlJc w:val="left"/>
      <w:pPr>
        <w:ind w:left="556" w:hanging="360"/>
      </w:pPr>
      <w:rPr>
        <w:rFonts w:ascii="Arial" w:eastAsia="Arial" w:hAnsi="Arial" w:cs="Arial" w:hint="default"/>
        <w:w w:val="99"/>
        <w:sz w:val="20"/>
        <w:szCs w:val="20"/>
        <w:lang w:val="fr-FR" w:eastAsia="en-US" w:bidi="ar-SA"/>
      </w:rPr>
    </w:lvl>
    <w:lvl w:ilvl="1" w:tplc="6422F9CE">
      <w:numFmt w:val="bullet"/>
      <w:lvlText w:val="•"/>
      <w:lvlJc w:val="left"/>
      <w:pPr>
        <w:ind w:left="1522" w:hanging="360"/>
      </w:pPr>
      <w:rPr>
        <w:rFonts w:hint="default"/>
        <w:lang w:val="fr-FR" w:eastAsia="en-US" w:bidi="ar-SA"/>
      </w:rPr>
    </w:lvl>
    <w:lvl w:ilvl="2" w:tplc="068EB1E4">
      <w:numFmt w:val="bullet"/>
      <w:lvlText w:val="•"/>
      <w:lvlJc w:val="left"/>
      <w:pPr>
        <w:ind w:left="2485" w:hanging="360"/>
      </w:pPr>
      <w:rPr>
        <w:rFonts w:hint="default"/>
        <w:lang w:val="fr-FR" w:eastAsia="en-US" w:bidi="ar-SA"/>
      </w:rPr>
    </w:lvl>
    <w:lvl w:ilvl="3" w:tplc="F0D60AF0">
      <w:numFmt w:val="bullet"/>
      <w:lvlText w:val="•"/>
      <w:lvlJc w:val="left"/>
      <w:pPr>
        <w:ind w:left="3447" w:hanging="360"/>
      </w:pPr>
      <w:rPr>
        <w:rFonts w:hint="default"/>
        <w:lang w:val="fr-FR" w:eastAsia="en-US" w:bidi="ar-SA"/>
      </w:rPr>
    </w:lvl>
    <w:lvl w:ilvl="4" w:tplc="101A245C">
      <w:numFmt w:val="bullet"/>
      <w:lvlText w:val="•"/>
      <w:lvlJc w:val="left"/>
      <w:pPr>
        <w:ind w:left="4410" w:hanging="360"/>
      </w:pPr>
      <w:rPr>
        <w:rFonts w:hint="default"/>
        <w:lang w:val="fr-FR" w:eastAsia="en-US" w:bidi="ar-SA"/>
      </w:rPr>
    </w:lvl>
    <w:lvl w:ilvl="5" w:tplc="5E869FC8">
      <w:numFmt w:val="bullet"/>
      <w:lvlText w:val="•"/>
      <w:lvlJc w:val="left"/>
      <w:pPr>
        <w:ind w:left="5373" w:hanging="360"/>
      </w:pPr>
      <w:rPr>
        <w:rFonts w:hint="default"/>
        <w:lang w:val="fr-FR" w:eastAsia="en-US" w:bidi="ar-SA"/>
      </w:rPr>
    </w:lvl>
    <w:lvl w:ilvl="6" w:tplc="51B03BF6">
      <w:numFmt w:val="bullet"/>
      <w:lvlText w:val="•"/>
      <w:lvlJc w:val="left"/>
      <w:pPr>
        <w:ind w:left="6335" w:hanging="360"/>
      </w:pPr>
      <w:rPr>
        <w:rFonts w:hint="default"/>
        <w:lang w:val="fr-FR" w:eastAsia="en-US" w:bidi="ar-SA"/>
      </w:rPr>
    </w:lvl>
    <w:lvl w:ilvl="7" w:tplc="C2968628">
      <w:numFmt w:val="bullet"/>
      <w:lvlText w:val="•"/>
      <w:lvlJc w:val="left"/>
      <w:pPr>
        <w:ind w:left="7298" w:hanging="360"/>
      </w:pPr>
      <w:rPr>
        <w:rFonts w:hint="default"/>
        <w:lang w:val="fr-FR" w:eastAsia="en-US" w:bidi="ar-SA"/>
      </w:rPr>
    </w:lvl>
    <w:lvl w:ilvl="8" w:tplc="33EAF406">
      <w:numFmt w:val="bullet"/>
      <w:lvlText w:val="•"/>
      <w:lvlJc w:val="left"/>
      <w:pPr>
        <w:ind w:left="8261" w:hanging="360"/>
      </w:pPr>
      <w:rPr>
        <w:rFonts w:hint="default"/>
        <w:lang w:val="fr-FR" w:eastAsia="en-US" w:bidi="ar-SA"/>
      </w:rPr>
    </w:lvl>
  </w:abstractNum>
  <w:abstractNum w:abstractNumId="17" w15:restartNumberingAfterBreak="0">
    <w:nsid w:val="74581B4A"/>
    <w:multiLevelType w:val="hybridMultilevel"/>
    <w:tmpl w:val="27F67D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E30666"/>
    <w:multiLevelType w:val="hybridMultilevel"/>
    <w:tmpl w:val="AFE09B7A"/>
    <w:lvl w:ilvl="0" w:tplc="2FE48408">
      <w:start w:val="1"/>
      <w:numFmt w:val="bullet"/>
      <w:lvlText w:val="-"/>
      <w:lvlJc w:val="left"/>
      <w:pPr>
        <w:ind w:left="632" w:hanging="360"/>
      </w:pPr>
      <w:rPr>
        <w:rFonts w:ascii="Arial" w:eastAsia="Arial" w:hAnsi="Arial" w:cs="Arial" w:hint="default"/>
      </w:rPr>
    </w:lvl>
    <w:lvl w:ilvl="1" w:tplc="040C0003">
      <w:start w:val="1"/>
      <w:numFmt w:val="bullet"/>
      <w:lvlText w:val="o"/>
      <w:lvlJc w:val="left"/>
      <w:pPr>
        <w:ind w:left="1352" w:hanging="360"/>
      </w:pPr>
      <w:rPr>
        <w:rFonts w:ascii="Courier New" w:hAnsi="Courier New" w:cs="Courier New" w:hint="default"/>
      </w:rPr>
    </w:lvl>
    <w:lvl w:ilvl="2" w:tplc="040C0005" w:tentative="1">
      <w:start w:val="1"/>
      <w:numFmt w:val="bullet"/>
      <w:lvlText w:val=""/>
      <w:lvlJc w:val="left"/>
      <w:pPr>
        <w:ind w:left="2072" w:hanging="360"/>
      </w:pPr>
      <w:rPr>
        <w:rFonts w:ascii="Wingdings" w:hAnsi="Wingdings" w:hint="default"/>
      </w:rPr>
    </w:lvl>
    <w:lvl w:ilvl="3" w:tplc="040C0001" w:tentative="1">
      <w:start w:val="1"/>
      <w:numFmt w:val="bullet"/>
      <w:lvlText w:val=""/>
      <w:lvlJc w:val="left"/>
      <w:pPr>
        <w:ind w:left="2792" w:hanging="360"/>
      </w:pPr>
      <w:rPr>
        <w:rFonts w:ascii="Symbol" w:hAnsi="Symbol" w:hint="default"/>
      </w:rPr>
    </w:lvl>
    <w:lvl w:ilvl="4" w:tplc="040C0003" w:tentative="1">
      <w:start w:val="1"/>
      <w:numFmt w:val="bullet"/>
      <w:lvlText w:val="o"/>
      <w:lvlJc w:val="left"/>
      <w:pPr>
        <w:ind w:left="3512" w:hanging="360"/>
      </w:pPr>
      <w:rPr>
        <w:rFonts w:ascii="Courier New" w:hAnsi="Courier New" w:cs="Courier New" w:hint="default"/>
      </w:rPr>
    </w:lvl>
    <w:lvl w:ilvl="5" w:tplc="040C0005" w:tentative="1">
      <w:start w:val="1"/>
      <w:numFmt w:val="bullet"/>
      <w:lvlText w:val=""/>
      <w:lvlJc w:val="left"/>
      <w:pPr>
        <w:ind w:left="4232" w:hanging="360"/>
      </w:pPr>
      <w:rPr>
        <w:rFonts w:ascii="Wingdings" w:hAnsi="Wingdings" w:hint="default"/>
      </w:rPr>
    </w:lvl>
    <w:lvl w:ilvl="6" w:tplc="040C0001" w:tentative="1">
      <w:start w:val="1"/>
      <w:numFmt w:val="bullet"/>
      <w:lvlText w:val=""/>
      <w:lvlJc w:val="left"/>
      <w:pPr>
        <w:ind w:left="4952" w:hanging="360"/>
      </w:pPr>
      <w:rPr>
        <w:rFonts w:ascii="Symbol" w:hAnsi="Symbol" w:hint="default"/>
      </w:rPr>
    </w:lvl>
    <w:lvl w:ilvl="7" w:tplc="040C0003" w:tentative="1">
      <w:start w:val="1"/>
      <w:numFmt w:val="bullet"/>
      <w:lvlText w:val="o"/>
      <w:lvlJc w:val="left"/>
      <w:pPr>
        <w:ind w:left="5672" w:hanging="360"/>
      </w:pPr>
      <w:rPr>
        <w:rFonts w:ascii="Courier New" w:hAnsi="Courier New" w:cs="Courier New" w:hint="default"/>
      </w:rPr>
    </w:lvl>
    <w:lvl w:ilvl="8" w:tplc="040C0005" w:tentative="1">
      <w:start w:val="1"/>
      <w:numFmt w:val="bullet"/>
      <w:lvlText w:val=""/>
      <w:lvlJc w:val="left"/>
      <w:pPr>
        <w:ind w:left="6392" w:hanging="360"/>
      </w:pPr>
      <w:rPr>
        <w:rFonts w:ascii="Wingdings" w:hAnsi="Wingdings" w:hint="default"/>
      </w:rPr>
    </w:lvl>
  </w:abstractNum>
  <w:abstractNum w:abstractNumId="19" w15:restartNumberingAfterBreak="0">
    <w:nsid w:val="78D31214"/>
    <w:multiLevelType w:val="hybridMultilevel"/>
    <w:tmpl w:val="9162D3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16"/>
  </w:num>
  <w:num w:numId="4">
    <w:abstractNumId w:val="8"/>
  </w:num>
  <w:num w:numId="5">
    <w:abstractNumId w:val="5"/>
  </w:num>
  <w:num w:numId="6">
    <w:abstractNumId w:val="14"/>
  </w:num>
  <w:num w:numId="7">
    <w:abstractNumId w:val="13"/>
  </w:num>
  <w:num w:numId="8">
    <w:abstractNumId w:val="11"/>
  </w:num>
  <w:num w:numId="9">
    <w:abstractNumId w:val="0"/>
  </w:num>
  <w:num w:numId="10">
    <w:abstractNumId w:val="6"/>
  </w:num>
  <w:num w:numId="11">
    <w:abstractNumId w:val="18"/>
  </w:num>
  <w:num w:numId="12">
    <w:abstractNumId w:val="17"/>
  </w:num>
  <w:num w:numId="13">
    <w:abstractNumId w:val="6"/>
    <w:lvlOverride w:ilvl="0">
      <w:startOverride w:val="1"/>
    </w:lvlOverride>
  </w:num>
  <w:num w:numId="14">
    <w:abstractNumId w:val="19"/>
  </w:num>
  <w:num w:numId="15">
    <w:abstractNumId w:val="3"/>
  </w:num>
  <w:num w:numId="16">
    <w:abstractNumId w:val="1"/>
  </w:num>
  <w:num w:numId="17">
    <w:abstractNumId w:val="6"/>
    <w:lvlOverride w:ilvl="0">
      <w:startOverride w:val="1"/>
    </w:lvlOverride>
  </w:num>
  <w:num w:numId="18">
    <w:abstractNumId w:val="15"/>
  </w:num>
  <w:num w:numId="19">
    <w:abstractNumId w:val="14"/>
  </w:num>
  <w:num w:numId="20">
    <w:abstractNumId w:val="14"/>
  </w:num>
  <w:num w:numId="21">
    <w:abstractNumId w:val="2"/>
  </w:num>
  <w:num w:numId="22">
    <w:abstractNumId w:val="10"/>
  </w:num>
  <w:num w:numId="23">
    <w:abstractNumId w:val="12"/>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F5"/>
    <w:rsid w:val="00002AD3"/>
    <w:rsid w:val="00002E2F"/>
    <w:rsid w:val="000031B7"/>
    <w:rsid w:val="00003C4F"/>
    <w:rsid w:val="00010403"/>
    <w:rsid w:val="000107C3"/>
    <w:rsid w:val="0001131C"/>
    <w:rsid w:val="000137FF"/>
    <w:rsid w:val="00017592"/>
    <w:rsid w:val="0002008A"/>
    <w:rsid w:val="00023B84"/>
    <w:rsid w:val="00025404"/>
    <w:rsid w:val="000255CC"/>
    <w:rsid w:val="00032448"/>
    <w:rsid w:val="00036830"/>
    <w:rsid w:val="000373AD"/>
    <w:rsid w:val="0003779F"/>
    <w:rsid w:val="00037EEE"/>
    <w:rsid w:val="000463C8"/>
    <w:rsid w:val="00047ED7"/>
    <w:rsid w:val="00052765"/>
    <w:rsid w:val="000558A5"/>
    <w:rsid w:val="00057679"/>
    <w:rsid w:val="000627DE"/>
    <w:rsid w:val="000755CD"/>
    <w:rsid w:val="000768E0"/>
    <w:rsid w:val="00086B95"/>
    <w:rsid w:val="00087045"/>
    <w:rsid w:val="00095819"/>
    <w:rsid w:val="00095A14"/>
    <w:rsid w:val="0009757F"/>
    <w:rsid w:val="000A6EBA"/>
    <w:rsid w:val="000A7EBC"/>
    <w:rsid w:val="000B1389"/>
    <w:rsid w:val="000B4E46"/>
    <w:rsid w:val="000C04FA"/>
    <w:rsid w:val="000C0BA8"/>
    <w:rsid w:val="000C7EFC"/>
    <w:rsid w:val="000D5027"/>
    <w:rsid w:val="000D5EDD"/>
    <w:rsid w:val="000D76D5"/>
    <w:rsid w:val="000E18F1"/>
    <w:rsid w:val="000E7EC0"/>
    <w:rsid w:val="000F213E"/>
    <w:rsid w:val="000F4A7D"/>
    <w:rsid w:val="000F6E5D"/>
    <w:rsid w:val="0010063D"/>
    <w:rsid w:val="001070E6"/>
    <w:rsid w:val="00107917"/>
    <w:rsid w:val="00112DD4"/>
    <w:rsid w:val="001147E1"/>
    <w:rsid w:val="0012178E"/>
    <w:rsid w:val="0013254B"/>
    <w:rsid w:val="001374F8"/>
    <w:rsid w:val="001409D7"/>
    <w:rsid w:val="00143DA5"/>
    <w:rsid w:val="00145694"/>
    <w:rsid w:val="001601A0"/>
    <w:rsid w:val="00160D4A"/>
    <w:rsid w:val="00162F43"/>
    <w:rsid w:val="00170D4F"/>
    <w:rsid w:val="00173C4B"/>
    <w:rsid w:val="0017490B"/>
    <w:rsid w:val="00181806"/>
    <w:rsid w:val="00182B16"/>
    <w:rsid w:val="0018324F"/>
    <w:rsid w:val="00183D0B"/>
    <w:rsid w:val="00183D46"/>
    <w:rsid w:val="001850E4"/>
    <w:rsid w:val="0019164E"/>
    <w:rsid w:val="001921D8"/>
    <w:rsid w:val="001A10D7"/>
    <w:rsid w:val="001A2FC9"/>
    <w:rsid w:val="001A3086"/>
    <w:rsid w:val="001B0282"/>
    <w:rsid w:val="001B0711"/>
    <w:rsid w:val="001B5452"/>
    <w:rsid w:val="001B5E2B"/>
    <w:rsid w:val="001B79C5"/>
    <w:rsid w:val="001C4385"/>
    <w:rsid w:val="001C688B"/>
    <w:rsid w:val="001C7AB0"/>
    <w:rsid w:val="001D35E4"/>
    <w:rsid w:val="001D5F7F"/>
    <w:rsid w:val="001E4259"/>
    <w:rsid w:val="001E495B"/>
    <w:rsid w:val="001F0087"/>
    <w:rsid w:val="001F1F3C"/>
    <w:rsid w:val="001F50E8"/>
    <w:rsid w:val="00200060"/>
    <w:rsid w:val="00200767"/>
    <w:rsid w:val="002028D6"/>
    <w:rsid w:val="00204AE6"/>
    <w:rsid w:val="0020548A"/>
    <w:rsid w:val="002066D8"/>
    <w:rsid w:val="002108C0"/>
    <w:rsid w:val="00211CCB"/>
    <w:rsid w:val="00212B7B"/>
    <w:rsid w:val="002176C3"/>
    <w:rsid w:val="0022267A"/>
    <w:rsid w:val="00222B2E"/>
    <w:rsid w:val="002232CF"/>
    <w:rsid w:val="002255C7"/>
    <w:rsid w:val="00225A9B"/>
    <w:rsid w:val="00235ABD"/>
    <w:rsid w:val="00235DC3"/>
    <w:rsid w:val="0023623D"/>
    <w:rsid w:val="0024101C"/>
    <w:rsid w:val="002430C6"/>
    <w:rsid w:val="0024445F"/>
    <w:rsid w:val="00251E97"/>
    <w:rsid w:val="002521F8"/>
    <w:rsid w:val="002553DE"/>
    <w:rsid w:val="00257D39"/>
    <w:rsid w:val="00262A59"/>
    <w:rsid w:val="00265194"/>
    <w:rsid w:val="00265718"/>
    <w:rsid w:val="00266167"/>
    <w:rsid w:val="002664FA"/>
    <w:rsid w:val="002724DE"/>
    <w:rsid w:val="0027291D"/>
    <w:rsid w:val="00272CBC"/>
    <w:rsid w:val="00275846"/>
    <w:rsid w:val="00276436"/>
    <w:rsid w:val="00291893"/>
    <w:rsid w:val="002932A6"/>
    <w:rsid w:val="00294B41"/>
    <w:rsid w:val="00295485"/>
    <w:rsid w:val="002966F3"/>
    <w:rsid w:val="00297586"/>
    <w:rsid w:val="002A2A4F"/>
    <w:rsid w:val="002B1D48"/>
    <w:rsid w:val="002B4292"/>
    <w:rsid w:val="002B5124"/>
    <w:rsid w:val="002C0097"/>
    <w:rsid w:val="002C1394"/>
    <w:rsid w:val="002D434B"/>
    <w:rsid w:val="002E0F6F"/>
    <w:rsid w:val="002E5AAF"/>
    <w:rsid w:val="002E77C5"/>
    <w:rsid w:val="002F0A91"/>
    <w:rsid w:val="002F371B"/>
    <w:rsid w:val="00303C1B"/>
    <w:rsid w:val="00304669"/>
    <w:rsid w:val="00311F99"/>
    <w:rsid w:val="00314858"/>
    <w:rsid w:val="003157C3"/>
    <w:rsid w:val="00316AB9"/>
    <w:rsid w:val="0032186B"/>
    <w:rsid w:val="003243D5"/>
    <w:rsid w:val="003259B8"/>
    <w:rsid w:val="00327102"/>
    <w:rsid w:val="0033440E"/>
    <w:rsid w:val="00335971"/>
    <w:rsid w:val="00342FC3"/>
    <w:rsid w:val="00344E93"/>
    <w:rsid w:val="00344EB8"/>
    <w:rsid w:val="003709B5"/>
    <w:rsid w:val="003774F5"/>
    <w:rsid w:val="00377608"/>
    <w:rsid w:val="0037793E"/>
    <w:rsid w:val="00382BDC"/>
    <w:rsid w:val="00391DA1"/>
    <w:rsid w:val="00392A37"/>
    <w:rsid w:val="00395ABE"/>
    <w:rsid w:val="00397EBC"/>
    <w:rsid w:val="003A2E64"/>
    <w:rsid w:val="003A3239"/>
    <w:rsid w:val="003A7827"/>
    <w:rsid w:val="003B0F59"/>
    <w:rsid w:val="003B2047"/>
    <w:rsid w:val="003B633D"/>
    <w:rsid w:val="003B7057"/>
    <w:rsid w:val="003B7EBF"/>
    <w:rsid w:val="003C19D8"/>
    <w:rsid w:val="003C2653"/>
    <w:rsid w:val="003C2F41"/>
    <w:rsid w:val="003C3214"/>
    <w:rsid w:val="003C34D5"/>
    <w:rsid w:val="003C7185"/>
    <w:rsid w:val="003D213B"/>
    <w:rsid w:val="003D2AFD"/>
    <w:rsid w:val="003D2C9E"/>
    <w:rsid w:val="003D6E74"/>
    <w:rsid w:val="003E0601"/>
    <w:rsid w:val="003E43B0"/>
    <w:rsid w:val="003E47D5"/>
    <w:rsid w:val="003F1C6F"/>
    <w:rsid w:val="003F2361"/>
    <w:rsid w:val="003F6CA1"/>
    <w:rsid w:val="0040140A"/>
    <w:rsid w:val="00406980"/>
    <w:rsid w:val="004151F2"/>
    <w:rsid w:val="00415EF4"/>
    <w:rsid w:val="00416D87"/>
    <w:rsid w:val="004177F6"/>
    <w:rsid w:val="0042175E"/>
    <w:rsid w:val="004219F9"/>
    <w:rsid w:val="004226E3"/>
    <w:rsid w:val="00423D1D"/>
    <w:rsid w:val="004355B3"/>
    <w:rsid w:val="00440EDD"/>
    <w:rsid w:val="004415C5"/>
    <w:rsid w:val="00445582"/>
    <w:rsid w:val="00451DBF"/>
    <w:rsid w:val="00453509"/>
    <w:rsid w:val="00456FD8"/>
    <w:rsid w:val="00457BCD"/>
    <w:rsid w:val="00460B4C"/>
    <w:rsid w:val="00467EA4"/>
    <w:rsid w:val="004720DF"/>
    <w:rsid w:val="00472DCD"/>
    <w:rsid w:val="00474074"/>
    <w:rsid w:val="00475376"/>
    <w:rsid w:val="00482663"/>
    <w:rsid w:val="00487EB4"/>
    <w:rsid w:val="00490532"/>
    <w:rsid w:val="00494F8A"/>
    <w:rsid w:val="004A0683"/>
    <w:rsid w:val="004A1A0F"/>
    <w:rsid w:val="004A1F89"/>
    <w:rsid w:val="004A31F5"/>
    <w:rsid w:val="004A4096"/>
    <w:rsid w:val="004A42F7"/>
    <w:rsid w:val="004A76A1"/>
    <w:rsid w:val="004B0838"/>
    <w:rsid w:val="004B2A75"/>
    <w:rsid w:val="004B4339"/>
    <w:rsid w:val="004B57AC"/>
    <w:rsid w:val="004B6A6D"/>
    <w:rsid w:val="004C5C7B"/>
    <w:rsid w:val="004D2B77"/>
    <w:rsid w:val="004D341E"/>
    <w:rsid w:val="004D5312"/>
    <w:rsid w:val="004D5763"/>
    <w:rsid w:val="004D6CF5"/>
    <w:rsid w:val="004D7C5F"/>
    <w:rsid w:val="004E1220"/>
    <w:rsid w:val="004E1E98"/>
    <w:rsid w:val="004E21CE"/>
    <w:rsid w:val="004E2D02"/>
    <w:rsid w:val="004F48E1"/>
    <w:rsid w:val="004F5088"/>
    <w:rsid w:val="004F5851"/>
    <w:rsid w:val="004F6A3E"/>
    <w:rsid w:val="004F7A0F"/>
    <w:rsid w:val="00502F30"/>
    <w:rsid w:val="0052329D"/>
    <w:rsid w:val="00523DF0"/>
    <w:rsid w:val="00524D76"/>
    <w:rsid w:val="00525826"/>
    <w:rsid w:val="005273E0"/>
    <w:rsid w:val="00533A84"/>
    <w:rsid w:val="00534BCE"/>
    <w:rsid w:val="00537018"/>
    <w:rsid w:val="0053751F"/>
    <w:rsid w:val="00541467"/>
    <w:rsid w:val="0054295D"/>
    <w:rsid w:val="00545E68"/>
    <w:rsid w:val="00547403"/>
    <w:rsid w:val="0056355B"/>
    <w:rsid w:val="00570EFD"/>
    <w:rsid w:val="005727F5"/>
    <w:rsid w:val="00573315"/>
    <w:rsid w:val="0057552C"/>
    <w:rsid w:val="005756ED"/>
    <w:rsid w:val="00581599"/>
    <w:rsid w:val="005836A4"/>
    <w:rsid w:val="0058684B"/>
    <w:rsid w:val="00592DE4"/>
    <w:rsid w:val="00594E9A"/>
    <w:rsid w:val="00595539"/>
    <w:rsid w:val="005A7355"/>
    <w:rsid w:val="005B4774"/>
    <w:rsid w:val="005B4B4E"/>
    <w:rsid w:val="005B5198"/>
    <w:rsid w:val="005C2FAD"/>
    <w:rsid w:val="005C6A88"/>
    <w:rsid w:val="005C6CF1"/>
    <w:rsid w:val="005D1587"/>
    <w:rsid w:val="005D30C5"/>
    <w:rsid w:val="005D575B"/>
    <w:rsid w:val="005D5765"/>
    <w:rsid w:val="005D6E94"/>
    <w:rsid w:val="005E16FB"/>
    <w:rsid w:val="005E6E6C"/>
    <w:rsid w:val="005F014E"/>
    <w:rsid w:val="005F15B2"/>
    <w:rsid w:val="005F21A1"/>
    <w:rsid w:val="006001A2"/>
    <w:rsid w:val="00603549"/>
    <w:rsid w:val="00607288"/>
    <w:rsid w:val="00607993"/>
    <w:rsid w:val="00607DF5"/>
    <w:rsid w:val="00612034"/>
    <w:rsid w:val="00612D5E"/>
    <w:rsid w:val="0061528C"/>
    <w:rsid w:val="006179C7"/>
    <w:rsid w:val="00622CEF"/>
    <w:rsid w:val="00624045"/>
    <w:rsid w:val="00626A4F"/>
    <w:rsid w:val="0062750C"/>
    <w:rsid w:val="00632109"/>
    <w:rsid w:val="006336B7"/>
    <w:rsid w:val="0063402A"/>
    <w:rsid w:val="0063787A"/>
    <w:rsid w:val="0064055B"/>
    <w:rsid w:val="00641727"/>
    <w:rsid w:val="006417F2"/>
    <w:rsid w:val="006420D5"/>
    <w:rsid w:val="006431D1"/>
    <w:rsid w:val="006535D0"/>
    <w:rsid w:val="00656A8D"/>
    <w:rsid w:val="006604D7"/>
    <w:rsid w:val="00662160"/>
    <w:rsid w:val="006645D0"/>
    <w:rsid w:val="00670383"/>
    <w:rsid w:val="00671E62"/>
    <w:rsid w:val="006738DF"/>
    <w:rsid w:val="00675724"/>
    <w:rsid w:val="006769F4"/>
    <w:rsid w:val="006803C0"/>
    <w:rsid w:val="006821B6"/>
    <w:rsid w:val="00682F90"/>
    <w:rsid w:val="00685499"/>
    <w:rsid w:val="00692159"/>
    <w:rsid w:val="00693F2D"/>
    <w:rsid w:val="00694C66"/>
    <w:rsid w:val="006958B3"/>
    <w:rsid w:val="006A3BAF"/>
    <w:rsid w:val="006A3BCC"/>
    <w:rsid w:val="006B1E3A"/>
    <w:rsid w:val="006B696C"/>
    <w:rsid w:val="006B6EE0"/>
    <w:rsid w:val="006C1C76"/>
    <w:rsid w:val="006C2906"/>
    <w:rsid w:val="006D1538"/>
    <w:rsid w:val="006D386E"/>
    <w:rsid w:val="006D3FA5"/>
    <w:rsid w:val="006D4B7C"/>
    <w:rsid w:val="006D5E0E"/>
    <w:rsid w:val="006E18A1"/>
    <w:rsid w:val="006F5604"/>
    <w:rsid w:val="006F7706"/>
    <w:rsid w:val="0070056A"/>
    <w:rsid w:val="00702589"/>
    <w:rsid w:val="00702B9E"/>
    <w:rsid w:val="007102E7"/>
    <w:rsid w:val="00710C0B"/>
    <w:rsid w:val="00713E3A"/>
    <w:rsid w:val="0071597C"/>
    <w:rsid w:val="007200A4"/>
    <w:rsid w:val="007219AD"/>
    <w:rsid w:val="00721B40"/>
    <w:rsid w:val="007277ED"/>
    <w:rsid w:val="007323C7"/>
    <w:rsid w:val="00733F74"/>
    <w:rsid w:val="00735DCF"/>
    <w:rsid w:val="00736CB3"/>
    <w:rsid w:val="00741F03"/>
    <w:rsid w:val="00745D34"/>
    <w:rsid w:val="007519DA"/>
    <w:rsid w:val="00751BF6"/>
    <w:rsid w:val="00752123"/>
    <w:rsid w:val="007667AE"/>
    <w:rsid w:val="007747A3"/>
    <w:rsid w:val="00776100"/>
    <w:rsid w:val="00776ADF"/>
    <w:rsid w:val="007820AC"/>
    <w:rsid w:val="00784B1C"/>
    <w:rsid w:val="00784B7D"/>
    <w:rsid w:val="00784DB0"/>
    <w:rsid w:val="0079178B"/>
    <w:rsid w:val="007928C1"/>
    <w:rsid w:val="00792FD7"/>
    <w:rsid w:val="00793394"/>
    <w:rsid w:val="00794C73"/>
    <w:rsid w:val="007A311D"/>
    <w:rsid w:val="007A4940"/>
    <w:rsid w:val="007A6CAF"/>
    <w:rsid w:val="007A6D7C"/>
    <w:rsid w:val="007B0051"/>
    <w:rsid w:val="007B0F75"/>
    <w:rsid w:val="007B6893"/>
    <w:rsid w:val="007C4D5C"/>
    <w:rsid w:val="007C4E9B"/>
    <w:rsid w:val="007D0AB6"/>
    <w:rsid w:val="007D279F"/>
    <w:rsid w:val="007D3A47"/>
    <w:rsid w:val="007D3B45"/>
    <w:rsid w:val="007D673C"/>
    <w:rsid w:val="007D7479"/>
    <w:rsid w:val="007E26C6"/>
    <w:rsid w:val="007F3434"/>
    <w:rsid w:val="007F51CD"/>
    <w:rsid w:val="007F6FFB"/>
    <w:rsid w:val="008038C8"/>
    <w:rsid w:val="00816E68"/>
    <w:rsid w:val="00816FE6"/>
    <w:rsid w:val="008220A2"/>
    <w:rsid w:val="0082493A"/>
    <w:rsid w:val="00825B67"/>
    <w:rsid w:val="0083069E"/>
    <w:rsid w:val="00831F90"/>
    <w:rsid w:val="00833BD8"/>
    <w:rsid w:val="008371F8"/>
    <w:rsid w:val="008375AE"/>
    <w:rsid w:val="00837D15"/>
    <w:rsid w:val="008423EA"/>
    <w:rsid w:val="00843FD0"/>
    <w:rsid w:val="008448F1"/>
    <w:rsid w:val="00853557"/>
    <w:rsid w:val="00856DA2"/>
    <w:rsid w:val="00860392"/>
    <w:rsid w:val="008612E3"/>
    <w:rsid w:val="008619DE"/>
    <w:rsid w:val="00863AFF"/>
    <w:rsid w:val="0086454C"/>
    <w:rsid w:val="008675A2"/>
    <w:rsid w:val="00867C42"/>
    <w:rsid w:val="00872F68"/>
    <w:rsid w:val="00873F2A"/>
    <w:rsid w:val="0087509B"/>
    <w:rsid w:val="008774EF"/>
    <w:rsid w:val="00877D7C"/>
    <w:rsid w:val="008800AF"/>
    <w:rsid w:val="00880477"/>
    <w:rsid w:val="00882677"/>
    <w:rsid w:val="00882F99"/>
    <w:rsid w:val="00887AFD"/>
    <w:rsid w:val="00891CE8"/>
    <w:rsid w:val="00893D6A"/>
    <w:rsid w:val="00896D4F"/>
    <w:rsid w:val="008A1E1F"/>
    <w:rsid w:val="008B1D97"/>
    <w:rsid w:val="008C093F"/>
    <w:rsid w:val="008C46EE"/>
    <w:rsid w:val="008C490C"/>
    <w:rsid w:val="008C70F5"/>
    <w:rsid w:val="008C71A3"/>
    <w:rsid w:val="008D3002"/>
    <w:rsid w:val="008D32D9"/>
    <w:rsid w:val="008E049B"/>
    <w:rsid w:val="008E3CE9"/>
    <w:rsid w:val="008E54B1"/>
    <w:rsid w:val="008E590C"/>
    <w:rsid w:val="008F147E"/>
    <w:rsid w:val="008F1A19"/>
    <w:rsid w:val="008F22C0"/>
    <w:rsid w:val="008F3999"/>
    <w:rsid w:val="008F66F7"/>
    <w:rsid w:val="008F6D98"/>
    <w:rsid w:val="00901E7E"/>
    <w:rsid w:val="00904FB6"/>
    <w:rsid w:val="0090562C"/>
    <w:rsid w:val="00907B83"/>
    <w:rsid w:val="00911158"/>
    <w:rsid w:val="00922181"/>
    <w:rsid w:val="009222C7"/>
    <w:rsid w:val="00925416"/>
    <w:rsid w:val="009266D5"/>
    <w:rsid w:val="0094036C"/>
    <w:rsid w:val="0094276D"/>
    <w:rsid w:val="00945E38"/>
    <w:rsid w:val="0095292D"/>
    <w:rsid w:val="00966BD7"/>
    <w:rsid w:val="0096711B"/>
    <w:rsid w:val="00971900"/>
    <w:rsid w:val="00975CDE"/>
    <w:rsid w:val="00975D6C"/>
    <w:rsid w:val="00976B96"/>
    <w:rsid w:val="00976CAC"/>
    <w:rsid w:val="009807BF"/>
    <w:rsid w:val="00983AD0"/>
    <w:rsid w:val="009850A8"/>
    <w:rsid w:val="00985536"/>
    <w:rsid w:val="00985F13"/>
    <w:rsid w:val="00990AFA"/>
    <w:rsid w:val="00996097"/>
    <w:rsid w:val="00996476"/>
    <w:rsid w:val="0099796F"/>
    <w:rsid w:val="00997BE0"/>
    <w:rsid w:val="009A1008"/>
    <w:rsid w:val="009A162F"/>
    <w:rsid w:val="009A1779"/>
    <w:rsid w:val="009A1FFC"/>
    <w:rsid w:val="009A7E95"/>
    <w:rsid w:val="009B37B8"/>
    <w:rsid w:val="009B3D3B"/>
    <w:rsid w:val="009B6241"/>
    <w:rsid w:val="009B796C"/>
    <w:rsid w:val="009C0890"/>
    <w:rsid w:val="009C1310"/>
    <w:rsid w:val="009C2DB8"/>
    <w:rsid w:val="009C2EFD"/>
    <w:rsid w:val="009C7F98"/>
    <w:rsid w:val="009D0467"/>
    <w:rsid w:val="009D54FE"/>
    <w:rsid w:val="009D5F38"/>
    <w:rsid w:val="009E1E28"/>
    <w:rsid w:val="009E50A2"/>
    <w:rsid w:val="009E511A"/>
    <w:rsid w:val="009F512D"/>
    <w:rsid w:val="00A0489F"/>
    <w:rsid w:val="00A07D2C"/>
    <w:rsid w:val="00A1184B"/>
    <w:rsid w:val="00A15CF3"/>
    <w:rsid w:val="00A20493"/>
    <w:rsid w:val="00A206B2"/>
    <w:rsid w:val="00A24423"/>
    <w:rsid w:val="00A32FF0"/>
    <w:rsid w:val="00A351F0"/>
    <w:rsid w:val="00A35CE5"/>
    <w:rsid w:val="00A37E12"/>
    <w:rsid w:val="00A40EB9"/>
    <w:rsid w:val="00A45FC3"/>
    <w:rsid w:val="00A460D4"/>
    <w:rsid w:val="00A50A71"/>
    <w:rsid w:val="00A51376"/>
    <w:rsid w:val="00A55DED"/>
    <w:rsid w:val="00A62A39"/>
    <w:rsid w:val="00A63C24"/>
    <w:rsid w:val="00A65272"/>
    <w:rsid w:val="00A658E0"/>
    <w:rsid w:val="00A7162C"/>
    <w:rsid w:val="00A767E2"/>
    <w:rsid w:val="00A8011D"/>
    <w:rsid w:val="00A81378"/>
    <w:rsid w:val="00A81DBE"/>
    <w:rsid w:val="00A82327"/>
    <w:rsid w:val="00A83EF7"/>
    <w:rsid w:val="00A85A6B"/>
    <w:rsid w:val="00A86306"/>
    <w:rsid w:val="00A86489"/>
    <w:rsid w:val="00A86868"/>
    <w:rsid w:val="00A87D45"/>
    <w:rsid w:val="00AA0B42"/>
    <w:rsid w:val="00AA4A81"/>
    <w:rsid w:val="00AB1EE5"/>
    <w:rsid w:val="00AB2C96"/>
    <w:rsid w:val="00AB7D0F"/>
    <w:rsid w:val="00AC16F6"/>
    <w:rsid w:val="00AC2D08"/>
    <w:rsid w:val="00AC3CD7"/>
    <w:rsid w:val="00AC4762"/>
    <w:rsid w:val="00AC6C20"/>
    <w:rsid w:val="00AC7D3F"/>
    <w:rsid w:val="00AC7EAB"/>
    <w:rsid w:val="00AD0182"/>
    <w:rsid w:val="00AD1912"/>
    <w:rsid w:val="00AD47F4"/>
    <w:rsid w:val="00AE4C82"/>
    <w:rsid w:val="00B014D1"/>
    <w:rsid w:val="00B01756"/>
    <w:rsid w:val="00B041AB"/>
    <w:rsid w:val="00B04F1E"/>
    <w:rsid w:val="00B064FF"/>
    <w:rsid w:val="00B12AA7"/>
    <w:rsid w:val="00B1305E"/>
    <w:rsid w:val="00B14B8F"/>
    <w:rsid w:val="00B15ACC"/>
    <w:rsid w:val="00B15EE1"/>
    <w:rsid w:val="00B21657"/>
    <w:rsid w:val="00B31545"/>
    <w:rsid w:val="00B33E4F"/>
    <w:rsid w:val="00B34C09"/>
    <w:rsid w:val="00B34C44"/>
    <w:rsid w:val="00B3576F"/>
    <w:rsid w:val="00B43C55"/>
    <w:rsid w:val="00B45C43"/>
    <w:rsid w:val="00B55D0F"/>
    <w:rsid w:val="00B65852"/>
    <w:rsid w:val="00B674F0"/>
    <w:rsid w:val="00B74444"/>
    <w:rsid w:val="00B74BD6"/>
    <w:rsid w:val="00B80F5F"/>
    <w:rsid w:val="00B83A26"/>
    <w:rsid w:val="00B84D45"/>
    <w:rsid w:val="00B87BB0"/>
    <w:rsid w:val="00B914D4"/>
    <w:rsid w:val="00B91FB6"/>
    <w:rsid w:val="00BA3DCC"/>
    <w:rsid w:val="00BB1DDB"/>
    <w:rsid w:val="00BB3554"/>
    <w:rsid w:val="00BB3ACF"/>
    <w:rsid w:val="00BB5E2D"/>
    <w:rsid w:val="00BB633B"/>
    <w:rsid w:val="00BB7C5B"/>
    <w:rsid w:val="00BC4452"/>
    <w:rsid w:val="00BC5F83"/>
    <w:rsid w:val="00BD42E3"/>
    <w:rsid w:val="00BD53A0"/>
    <w:rsid w:val="00BE2593"/>
    <w:rsid w:val="00BE2F18"/>
    <w:rsid w:val="00BE34A5"/>
    <w:rsid w:val="00BF0118"/>
    <w:rsid w:val="00BF3749"/>
    <w:rsid w:val="00BF4A8B"/>
    <w:rsid w:val="00BF6318"/>
    <w:rsid w:val="00C01BE8"/>
    <w:rsid w:val="00C02A81"/>
    <w:rsid w:val="00C041D8"/>
    <w:rsid w:val="00C07889"/>
    <w:rsid w:val="00C131D0"/>
    <w:rsid w:val="00C16059"/>
    <w:rsid w:val="00C20D08"/>
    <w:rsid w:val="00C232E5"/>
    <w:rsid w:val="00C23B25"/>
    <w:rsid w:val="00C242FC"/>
    <w:rsid w:val="00C25827"/>
    <w:rsid w:val="00C2766E"/>
    <w:rsid w:val="00C30221"/>
    <w:rsid w:val="00C31A8A"/>
    <w:rsid w:val="00C33D5B"/>
    <w:rsid w:val="00C33DDC"/>
    <w:rsid w:val="00C34432"/>
    <w:rsid w:val="00C3548F"/>
    <w:rsid w:val="00C357A4"/>
    <w:rsid w:val="00C403F8"/>
    <w:rsid w:val="00C43D6A"/>
    <w:rsid w:val="00C4512A"/>
    <w:rsid w:val="00C453E5"/>
    <w:rsid w:val="00C51BC8"/>
    <w:rsid w:val="00C53354"/>
    <w:rsid w:val="00C55F7B"/>
    <w:rsid w:val="00C7142B"/>
    <w:rsid w:val="00C723ED"/>
    <w:rsid w:val="00C75E1D"/>
    <w:rsid w:val="00C75E79"/>
    <w:rsid w:val="00C8171F"/>
    <w:rsid w:val="00C83EB2"/>
    <w:rsid w:val="00C90CC7"/>
    <w:rsid w:val="00C91FFD"/>
    <w:rsid w:val="00C92AF4"/>
    <w:rsid w:val="00C93A52"/>
    <w:rsid w:val="00C94393"/>
    <w:rsid w:val="00C9516B"/>
    <w:rsid w:val="00CA0E99"/>
    <w:rsid w:val="00CA1183"/>
    <w:rsid w:val="00CA4ADC"/>
    <w:rsid w:val="00CA6F9B"/>
    <w:rsid w:val="00CA7173"/>
    <w:rsid w:val="00CB1413"/>
    <w:rsid w:val="00CB290B"/>
    <w:rsid w:val="00CB3CA9"/>
    <w:rsid w:val="00CB5921"/>
    <w:rsid w:val="00CB7D02"/>
    <w:rsid w:val="00CC28D6"/>
    <w:rsid w:val="00CC5899"/>
    <w:rsid w:val="00CD2302"/>
    <w:rsid w:val="00CD4CDC"/>
    <w:rsid w:val="00CE0095"/>
    <w:rsid w:val="00CE7874"/>
    <w:rsid w:val="00CE7991"/>
    <w:rsid w:val="00CE7CC6"/>
    <w:rsid w:val="00CF3C25"/>
    <w:rsid w:val="00CF5437"/>
    <w:rsid w:val="00CF5D7F"/>
    <w:rsid w:val="00CF6CA8"/>
    <w:rsid w:val="00CF6FCE"/>
    <w:rsid w:val="00CF7DE5"/>
    <w:rsid w:val="00D015AF"/>
    <w:rsid w:val="00D021FE"/>
    <w:rsid w:val="00D040C4"/>
    <w:rsid w:val="00D0755B"/>
    <w:rsid w:val="00D1488E"/>
    <w:rsid w:val="00D20396"/>
    <w:rsid w:val="00D21D56"/>
    <w:rsid w:val="00D24544"/>
    <w:rsid w:val="00D305D5"/>
    <w:rsid w:val="00D305FA"/>
    <w:rsid w:val="00D44F71"/>
    <w:rsid w:val="00D469A5"/>
    <w:rsid w:val="00D47385"/>
    <w:rsid w:val="00D50DE0"/>
    <w:rsid w:val="00D5275D"/>
    <w:rsid w:val="00D655F4"/>
    <w:rsid w:val="00D66823"/>
    <w:rsid w:val="00D74E55"/>
    <w:rsid w:val="00D76271"/>
    <w:rsid w:val="00D845AC"/>
    <w:rsid w:val="00D85B6B"/>
    <w:rsid w:val="00D87351"/>
    <w:rsid w:val="00D94F81"/>
    <w:rsid w:val="00DA2B22"/>
    <w:rsid w:val="00DA3524"/>
    <w:rsid w:val="00DB0FA7"/>
    <w:rsid w:val="00DB1133"/>
    <w:rsid w:val="00DB1BA9"/>
    <w:rsid w:val="00DB28B2"/>
    <w:rsid w:val="00DB2B69"/>
    <w:rsid w:val="00DB45A3"/>
    <w:rsid w:val="00DB51B4"/>
    <w:rsid w:val="00DC07A3"/>
    <w:rsid w:val="00DC4889"/>
    <w:rsid w:val="00DC6F6D"/>
    <w:rsid w:val="00DC7807"/>
    <w:rsid w:val="00DD3428"/>
    <w:rsid w:val="00DD6E81"/>
    <w:rsid w:val="00DE0327"/>
    <w:rsid w:val="00DE1354"/>
    <w:rsid w:val="00DE2019"/>
    <w:rsid w:val="00DE3148"/>
    <w:rsid w:val="00DF2678"/>
    <w:rsid w:val="00DF3DF1"/>
    <w:rsid w:val="00DF6945"/>
    <w:rsid w:val="00DF72E9"/>
    <w:rsid w:val="00E158D1"/>
    <w:rsid w:val="00E16D83"/>
    <w:rsid w:val="00E20B3B"/>
    <w:rsid w:val="00E213EB"/>
    <w:rsid w:val="00E26505"/>
    <w:rsid w:val="00E26C33"/>
    <w:rsid w:val="00E52B4B"/>
    <w:rsid w:val="00E55DC1"/>
    <w:rsid w:val="00E60C66"/>
    <w:rsid w:val="00E629AE"/>
    <w:rsid w:val="00E62D7D"/>
    <w:rsid w:val="00E636C5"/>
    <w:rsid w:val="00E65F60"/>
    <w:rsid w:val="00E728C1"/>
    <w:rsid w:val="00E7479E"/>
    <w:rsid w:val="00E81D48"/>
    <w:rsid w:val="00E81E8F"/>
    <w:rsid w:val="00E83F75"/>
    <w:rsid w:val="00E84041"/>
    <w:rsid w:val="00E84644"/>
    <w:rsid w:val="00E8798A"/>
    <w:rsid w:val="00E904C4"/>
    <w:rsid w:val="00E96152"/>
    <w:rsid w:val="00EA2ECF"/>
    <w:rsid w:val="00EA358D"/>
    <w:rsid w:val="00EB0AF5"/>
    <w:rsid w:val="00EB0B20"/>
    <w:rsid w:val="00EB16E6"/>
    <w:rsid w:val="00EB25F3"/>
    <w:rsid w:val="00EB6366"/>
    <w:rsid w:val="00EC0F4C"/>
    <w:rsid w:val="00EC4ABA"/>
    <w:rsid w:val="00EC4B25"/>
    <w:rsid w:val="00ED1176"/>
    <w:rsid w:val="00ED1543"/>
    <w:rsid w:val="00ED5015"/>
    <w:rsid w:val="00ED548C"/>
    <w:rsid w:val="00ED6FCD"/>
    <w:rsid w:val="00ED7BF9"/>
    <w:rsid w:val="00EE07EA"/>
    <w:rsid w:val="00EE3232"/>
    <w:rsid w:val="00EE43A6"/>
    <w:rsid w:val="00EE4E92"/>
    <w:rsid w:val="00EE4FC1"/>
    <w:rsid w:val="00EF45A5"/>
    <w:rsid w:val="00EF651D"/>
    <w:rsid w:val="00EF7807"/>
    <w:rsid w:val="00F02350"/>
    <w:rsid w:val="00F0271F"/>
    <w:rsid w:val="00F1691E"/>
    <w:rsid w:val="00F237B1"/>
    <w:rsid w:val="00F23C31"/>
    <w:rsid w:val="00F30AAD"/>
    <w:rsid w:val="00F31A69"/>
    <w:rsid w:val="00F40CDE"/>
    <w:rsid w:val="00F44142"/>
    <w:rsid w:val="00F4747B"/>
    <w:rsid w:val="00F4763A"/>
    <w:rsid w:val="00F5400B"/>
    <w:rsid w:val="00F55837"/>
    <w:rsid w:val="00F57B37"/>
    <w:rsid w:val="00F61B12"/>
    <w:rsid w:val="00F70809"/>
    <w:rsid w:val="00F73538"/>
    <w:rsid w:val="00F75986"/>
    <w:rsid w:val="00F828BF"/>
    <w:rsid w:val="00F851D6"/>
    <w:rsid w:val="00F85637"/>
    <w:rsid w:val="00F85A04"/>
    <w:rsid w:val="00F8663C"/>
    <w:rsid w:val="00F87EC3"/>
    <w:rsid w:val="00F90651"/>
    <w:rsid w:val="00F92EBF"/>
    <w:rsid w:val="00F96644"/>
    <w:rsid w:val="00F97D35"/>
    <w:rsid w:val="00FA3225"/>
    <w:rsid w:val="00FA4AEB"/>
    <w:rsid w:val="00FB0460"/>
    <w:rsid w:val="00FB10BA"/>
    <w:rsid w:val="00FB243D"/>
    <w:rsid w:val="00FB317D"/>
    <w:rsid w:val="00FB3741"/>
    <w:rsid w:val="00FB4B4A"/>
    <w:rsid w:val="00FC72DB"/>
    <w:rsid w:val="00FD06C7"/>
    <w:rsid w:val="00FD0C78"/>
    <w:rsid w:val="00FD11CB"/>
    <w:rsid w:val="00FD521F"/>
    <w:rsid w:val="00FD6C7F"/>
    <w:rsid w:val="00FD7E4C"/>
    <w:rsid w:val="00FE033F"/>
    <w:rsid w:val="00FE14C5"/>
    <w:rsid w:val="00FE2518"/>
    <w:rsid w:val="00FE288F"/>
    <w:rsid w:val="00FE4C9E"/>
    <w:rsid w:val="00FF3B5C"/>
    <w:rsid w:val="00FF3CFE"/>
    <w:rsid w:val="00FF76E0"/>
    <w:rsid w:val="1B14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F64F61"/>
  <w15:docId w15:val="{F2D0D260-7B64-4647-ABD6-F632F0E7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C7"/>
    <w:rPr>
      <w:rFonts w:ascii="Arial" w:eastAsia="Arial" w:hAnsi="Arial" w:cs="Arial"/>
      <w:lang w:val="fr-FR"/>
    </w:rPr>
  </w:style>
  <w:style w:type="paragraph" w:styleId="Titre1">
    <w:name w:val="heading 1"/>
    <w:basedOn w:val="Normal"/>
    <w:link w:val="Titre1Car"/>
    <w:uiPriority w:val="9"/>
    <w:qFormat/>
    <w:pPr>
      <w:numPr>
        <w:numId w:val="6"/>
      </w:numPr>
      <w:spacing w:before="69"/>
      <w:ind w:right="2155"/>
      <w:jc w:val="center"/>
      <w:outlineLvl w:val="0"/>
    </w:pPr>
    <w:rPr>
      <w:b/>
      <w:bCs/>
      <w:sz w:val="32"/>
      <w:szCs w:val="32"/>
    </w:rPr>
  </w:style>
  <w:style w:type="paragraph" w:styleId="Titre2">
    <w:name w:val="heading 2"/>
    <w:basedOn w:val="Normal"/>
    <w:uiPriority w:val="9"/>
    <w:unhideWhenUsed/>
    <w:qFormat/>
    <w:pPr>
      <w:numPr>
        <w:ilvl w:val="1"/>
        <w:numId w:val="6"/>
      </w:numPr>
      <w:outlineLvl w:val="1"/>
    </w:pPr>
    <w:rPr>
      <w:rFonts w:ascii="Calibri Light" w:eastAsia="Calibri Light" w:hAnsi="Calibri Light" w:cs="Calibri Light"/>
      <w:sz w:val="32"/>
      <w:szCs w:val="32"/>
      <w:u w:val="single" w:color="000000"/>
    </w:rPr>
  </w:style>
  <w:style w:type="paragraph" w:styleId="Titre3">
    <w:name w:val="heading 3"/>
    <w:basedOn w:val="Normal"/>
    <w:uiPriority w:val="9"/>
    <w:unhideWhenUsed/>
    <w:qFormat/>
    <w:pPr>
      <w:numPr>
        <w:ilvl w:val="2"/>
        <w:numId w:val="6"/>
      </w:numPr>
      <w:spacing w:before="1"/>
      <w:jc w:val="both"/>
      <w:outlineLvl w:val="2"/>
    </w:pPr>
    <w:rPr>
      <w:rFonts w:ascii="Calibri Light" w:eastAsia="Calibri Light" w:hAnsi="Calibri Light" w:cs="Calibri Light"/>
      <w:sz w:val="24"/>
      <w:szCs w:val="24"/>
    </w:rPr>
  </w:style>
  <w:style w:type="paragraph" w:styleId="Titre4">
    <w:name w:val="heading 4"/>
    <w:basedOn w:val="Normal"/>
    <w:link w:val="Titre4Car"/>
    <w:uiPriority w:val="9"/>
    <w:unhideWhenUsed/>
    <w:qFormat/>
    <w:pPr>
      <w:numPr>
        <w:ilvl w:val="3"/>
        <w:numId w:val="6"/>
      </w:numPr>
      <w:outlineLvl w:val="3"/>
    </w:pPr>
    <w:rPr>
      <w:b/>
      <w:bCs/>
      <w:sz w:val="20"/>
      <w:szCs w:val="20"/>
    </w:rPr>
  </w:style>
  <w:style w:type="paragraph" w:styleId="Titre5">
    <w:name w:val="heading 5"/>
    <w:basedOn w:val="Normal"/>
    <w:next w:val="Normal"/>
    <w:link w:val="Titre5Car"/>
    <w:uiPriority w:val="9"/>
    <w:semiHidden/>
    <w:unhideWhenUsed/>
    <w:qFormat/>
    <w:rsid w:val="008C71A3"/>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C71A3"/>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C71A3"/>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C71A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C71A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pPr>
      <w:ind w:left="993" w:hanging="360"/>
      <w:jc w:val="both"/>
    </w:pPr>
  </w:style>
  <w:style w:type="paragraph" w:customStyle="1" w:styleId="TableParagraph">
    <w:name w:val="Table Paragraph"/>
    <w:basedOn w:val="Normal"/>
    <w:uiPriority w:val="1"/>
    <w:qFormat/>
  </w:style>
  <w:style w:type="table" w:styleId="Grilledutableau">
    <w:name w:val="Table Grid"/>
    <w:basedOn w:val="TableauNormal"/>
    <w:uiPriority w:val="39"/>
    <w:rsid w:val="007F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7F51CD"/>
    <w:rPr>
      <w:sz w:val="16"/>
      <w:szCs w:val="16"/>
    </w:rPr>
  </w:style>
  <w:style w:type="paragraph" w:styleId="Commentaire">
    <w:name w:val="annotation text"/>
    <w:basedOn w:val="Normal"/>
    <w:link w:val="CommentaireCar"/>
    <w:uiPriority w:val="99"/>
    <w:unhideWhenUsed/>
    <w:rsid w:val="007F51CD"/>
    <w:rPr>
      <w:sz w:val="20"/>
      <w:szCs w:val="20"/>
    </w:rPr>
  </w:style>
  <w:style w:type="character" w:customStyle="1" w:styleId="CommentaireCar">
    <w:name w:val="Commentaire Car"/>
    <w:basedOn w:val="Policepardfaut"/>
    <w:link w:val="Commentaire"/>
    <w:uiPriority w:val="99"/>
    <w:rsid w:val="007F51C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7F51CD"/>
    <w:rPr>
      <w:b/>
      <w:bCs/>
    </w:rPr>
  </w:style>
  <w:style w:type="character" w:customStyle="1" w:styleId="ObjetducommentaireCar">
    <w:name w:val="Objet du commentaire Car"/>
    <w:basedOn w:val="CommentaireCar"/>
    <w:link w:val="Objetducommentaire"/>
    <w:uiPriority w:val="99"/>
    <w:semiHidden/>
    <w:rsid w:val="007F51CD"/>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7F51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1CD"/>
    <w:rPr>
      <w:rFonts w:ascii="Segoe UI" w:eastAsia="Arial" w:hAnsi="Segoe UI" w:cs="Segoe UI"/>
      <w:sz w:val="18"/>
      <w:szCs w:val="18"/>
      <w:lang w:val="fr-FR"/>
    </w:rPr>
  </w:style>
  <w:style w:type="character" w:styleId="Lienhypertexte">
    <w:name w:val="Hyperlink"/>
    <w:basedOn w:val="Policepardfaut"/>
    <w:uiPriority w:val="99"/>
    <w:unhideWhenUsed/>
    <w:rsid w:val="00AC4762"/>
    <w:rPr>
      <w:color w:val="0000FF" w:themeColor="hyperlink"/>
      <w:u w:val="single"/>
    </w:rPr>
  </w:style>
  <w:style w:type="paragraph" w:styleId="En-tte">
    <w:name w:val="header"/>
    <w:aliases w:val="Header title"/>
    <w:basedOn w:val="Normal"/>
    <w:link w:val="En-tteCar"/>
    <w:uiPriority w:val="99"/>
    <w:unhideWhenUsed/>
    <w:rsid w:val="00E16D83"/>
    <w:pPr>
      <w:tabs>
        <w:tab w:val="center" w:pos="4536"/>
        <w:tab w:val="right" w:pos="9072"/>
      </w:tabs>
    </w:pPr>
  </w:style>
  <w:style w:type="character" w:customStyle="1" w:styleId="En-tteCar">
    <w:name w:val="En-tête Car"/>
    <w:aliases w:val="Header title Car"/>
    <w:basedOn w:val="Policepardfaut"/>
    <w:link w:val="En-tte"/>
    <w:uiPriority w:val="99"/>
    <w:rsid w:val="00E16D83"/>
    <w:rPr>
      <w:rFonts w:ascii="Arial" w:eastAsia="Arial" w:hAnsi="Arial" w:cs="Arial"/>
      <w:lang w:val="fr-FR"/>
    </w:rPr>
  </w:style>
  <w:style w:type="paragraph" w:styleId="Pieddepage">
    <w:name w:val="footer"/>
    <w:basedOn w:val="Normal"/>
    <w:link w:val="PieddepageCar"/>
    <w:uiPriority w:val="99"/>
    <w:unhideWhenUsed/>
    <w:rsid w:val="00E16D83"/>
    <w:pPr>
      <w:tabs>
        <w:tab w:val="center" w:pos="4536"/>
        <w:tab w:val="right" w:pos="9072"/>
      </w:tabs>
    </w:pPr>
  </w:style>
  <w:style w:type="character" w:customStyle="1" w:styleId="PieddepageCar">
    <w:name w:val="Pied de page Car"/>
    <w:basedOn w:val="Policepardfaut"/>
    <w:link w:val="Pieddepage"/>
    <w:uiPriority w:val="99"/>
    <w:rsid w:val="00E16D83"/>
    <w:rPr>
      <w:rFonts w:ascii="Arial" w:eastAsia="Arial" w:hAnsi="Arial" w:cs="Arial"/>
      <w:lang w:val="fr-FR"/>
    </w:rPr>
  </w:style>
  <w:style w:type="paragraph" w:styleId="Sansinterligne">
    <w:name w:val="No Spacing"/>
    <w:uiPriority w:val="1"/>
    <w:qFormat/>
    <w:rsid w:val="00451DBF"/>
    <w:pPr>
      <w:autoSpaceDE/>
      <w:autoSpaceDN/>
    </w:pPr>
  </w:style>
  <w:style w:type="paragraph" w:styleId="Rvision">
    <w:name w:val="Revision"/>
    <w:hidden/>
    <w:uiPriority w:val="99"/>
    <w:semiHidden/>
    <w:rsid w:val="00235DC3"/>
    <w:pPr>
      <w:widowControl/>
      <w:autoSpaceDE/>
      <w:autoSpaceDN/>
    </w:pPr>
    <w:rPr>
      <w:rFonts w:ascii="Arial" w:eastAsia="Arial" w:hAnsi="Arial" w:cs="Arial"/>
      <w:lang w:val="fr-FR"/>
    </w:rPr>
  </w:style>
  <w:style w:type="character" w:customStyle="1" w:styleId="Titre1Car">
    <w:name w:val="Titre 1 Car"/>
    <w:basedOn w:val="Policepardfaut"/>
    <w:link w:val="Titre1"/>
    <w:uiPriority w:val="9"/>
    <w:rsid w:val="00C90CC7"/>
    <w:rPr>
      <w:rFonts w:ascii="Arial" w:eastAsia="Arial" w:hAnsi="Arial" w:cs="Arial"/>
      <w:b/>
      <w:bCs/>
      <w:sz w:val="32"/>
      <w:szCs w:val="32"/>
      <w:lang w:val="fr-FR"/>
    </w:rPr>
  </w:style>
  <w:style w:type="character" w:styleId="lev">
    <w:name w:val="Strong"/>
    <w:aliases w:val="Gras"/>
    <w:basedOn w:val="Policepardfaut"/>
    <w:qFormat/>
    <w:rsid w:val="002028D6"/>
    <w:rPr>
      <w:b/>
      <w:bCs/>
    </w:rPr>
  </w:style>
  <w:style w:type="paragraph" w:customStyle="1" w:styleId="Intertitre">
    <w:name w:val="¶ Intertitre"/>
    <w:basedOn w:val="Normal"/>
    <w:next w:val="Normal"/>
    <w:link w:val="IntertitreCar"/>
    <w:uiPriority w:val="11"/>
    <w:qFormat/>
    <w:rsid w:val="002028D6"/>
    <w:pPr>
      <w:keepNext/>
      <w:widowControl/>
      <w:adjustRightInd w:val="0"/>
      <w:spacing w:before="120" w:after="60" w:line="288" w:lineRule="auto"/>
    </w:pPr>
    <w:rPr>
      <w:rFonts w:ascii="Arial Narrow" w:eastAsiaTheme="minorEastAsia" w:hAnsi="Arial Narrow"/>
      <w:b/>
      <w:bCs/>
      <w:color w:val="000000" w:themeColor="text1"/>
      <w:sz w:val="26"/>
      <w:lang w:eastAsia="fr-FR"/>
    </w:rPr>
  </w:style>
  <w:style w:type="character" w:customStyle="1" w:styleId="IntertitreCar">
    <w:name w:val="¶ Intertitre Car"/>
    <w:basedOn w:val="Policepardfaut"/>
    <w:link w:val="Intertitre"/>
    <w:uiPriority w:val="11"/>
    <w:rsid w:val="002028D6"/>
    <w:rPr>
      <w:rFonts w:ascii="Arial Narrow" w:eastAsiaTheme="minorEastAsia" w:hAnsi="Arial Narrow" w:cs="Arial"/>
      <w:b/>
      <w:bCs/>
      <w:color w:val="000000" w:themeColor="text1"/>
      <w:sz w:val="26"/>
      <w:lang w:val="fr-FR" w:eastAsia="fr-FR"/>
    </w:rPr>
  </w:style>
  <w:style w:type="character" w:styleId="Accentuation">
    <w:name w:val="Emphasis"/>
    <w:aliases w:val="Italique"/>
    <w:basedOn w:val="Policepardfaut"/>
    <w:uiPriority w:val="20"/>
    <w:qFormat/>
    <w:rsid w:val="002028D6"/>
    <w:rPr>
      <w:i/>
      <w:iCs/>
    </w:rPr>
  </w:style>
  <w:style w:type="character" w:customStyle="1" w:styleId="Condens">
    <w:name w:val="Condensé"/>
    <w:basedOn w:val="Policepardfaut"/>
    <w:uiPriority w:val="4"/>
    <w:qFormat/>
    <w:rsid w:val="002028D6"/>
    <w:rPr>
      <w:spacing w:val="-2"/>
    </w:rPr>
  </w:style>
  <w:style w:type="character" w:customStyle="1" w:styleId="Mention1">
    <w:name w:val="Mention1"/>
    <w:aliases w:val="Texte d'aide"/>
    <w:uiPriority w:val="99"/>
    <w:unhideWhenUsed/>
    <w:rsid w:val="002028D6"/>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2028D6"/>
    <w:pPr>
      <w:widowControl/>
      <w:pBdr>
        <w:left w:val="dotted" w:sz="12" w:space="4" w:color="E36C0A" w:themeColor="accent6" w:themeShade="BF"/>
      </w:pBdr>
      <w:autoSpaceDE/>
      <w:autoSpaceDN/>
      <w:spacing w:after="40"/>
      <w:ind w:left="851"/>
      <w:jc w:val="both"/>
    </w:pPr>
    <w:rPr>
      <w:rFonts w:ascii="Arial Nova Cond" w:eastAsiaTheme="minorEastAsia" w:hAnsi="Arial Nova Cond" w:cstheme="minorBidi"/>
      <w:color w:val="E36C0A" w:themeColor="accent6" w:themeShade="BF"/>
      <w:lang w:eastAsia="fr-FR"/>
    </w:rPr>
  </w:style>
  <w:style w:type="character" w:styleId="Textedelespacerserv">
    <w:name w:val="Placeholder Text"/>
    <w:basedOn w:val="Policepardfaut"/>
    <w:uiPriority w:val="99"/>
    <w:semiHidden/>
    <w:rsid w:val="002028D6"/>
    <w:rPr>
      <w:color w:val="808080"/>
    </w:rPr>
  </w:style>
  <w:style w:type="paragraph" w:customStyle="1" w:styleId="Paragraphedexplications">
    <w:name w:val="Paragraphe d'explications"/>
    <w:basedOn w:val="Normal"/>
    <w:uiPriority w:val="7"/>
    <w:qFormat/>
    <w:rsid w:val="002028D6"/>
    <w:pPr>
      <w:widowControl/>
      <w:pBdr>
        <w:left w:val="single" w:sz="4" w:space="4" w:color="808080" w:themeColor="background1" w:themeShade="80"/>
      </w:pBdr>
      <w:autoSpaceDE/>
      <w:autoSpaceDN/>
      <w:spacing w:after="40"/>
      <w:ind w:left="851"/>
      <w:jc w:val="both"/>
    </w:pPr>
    <w:rPr>
      <w:rFonts w:ascii="Arial Nova Cond" w:eastAsiaTheme="minorEastAsia" w:hAnsi="Arial Nova Cond" w:cstheme="minorBidi"/>
      <w:color w:val="808080" w:themeColor="background1" w:themeShade="80"/>
      <w:lang w:eastAsia="fr-FR"/>
    </w:rPr>
  </w:style>
  <w:style w:type="character" w:customStyle="1" w:styleId="Grasitalique">
    <w:name w:val="Gras + italique"/>
    <w:basedOn w:val="lev"/>
    <w:uiPriority w:val="21"/>
    <w:qFormat/>
    <w:rsid w:val="002028D6"/>
    <w:rPr>
      <w:b/>
      <w:bCs/>
      <w:i/>
    </w:rPr>
  </w:style>
  <w:style w:type="paragraph" w:customStyle="1" w:styleId="Petit">
    <w:name w:val="Petit."/>
    <w:basedOn w:val="Normal"/>
    <w:uiPriority w:val="22"/>
    <w:qFormat/>
    <w:rsid w:val="002028D6"/>
    <w:pPr>
      <w:widowControl/>
      <w:autoSpaceDE/>
      <w:autoSpaceDN/>
      <w:spacing w:before="100" w:after="40" w:line="288" w:lineRule="auto"/>
    </w:pPr>
    <w:rPr>
      <w:rFonts w:eastAsiaTheme="minorEastAsia" w:cstheme="minorBidi"/>
      <w:color w:val="404040" w:themeColor="text1" w:themeTint="BF"/>
      <w:sz w:val="18"/>
      <w:lang w:eastAsia="fr-FR"/>
    </w:rPr>
  </w:style>
  <w:style w:type="paragraph" w:styleId="Titredenote">
    <w:name w:val="Note Heading"/>
    <w:aliases w:val="Titre de fiche"/>
    <w:basedOn w:val="Intertitre"/>
    <w:next w:val="Normal"/>
    <w:link w:val="TitredenoteCar"/>
    <w:unhideWhenUsed/>
    <w:rsid w:val="002028D6"/>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2028D6"/>
    <w:rPr>
      <w:rFonts w:ascii="Arial Narrow" w:eastAsiaTheme="minorEastAsia" w:hAnsi="Arial Narrow" w:cs="Arial"/>
      <w:color w:val="000000" w:themeColor="text1"/>
      <w:sz w:val="36"/>
      <w:szCs w:val="36"/>
      <w:lang w:val="fr-FR" w:eastAsia="fr-FR"/>
    </w:rPr>
  </w:style>
  <w:style w:type="paragraph" w:customStyle="1" w:styleId="paragraph">
    <w:name w:val="paragraph"/>
    <w:basedOn w:val="Normal"/>
    <w:rsid w:val="002028D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contentcontrolboundarysink">
    <w:name w:val="contentcontrolboundarysink"/>
    <w:basedOn w:val="Policepardfaut"/>
    <w:rsid w:val="002028D6"/>
  </w:style>
  <w:style w:type="character" w:customStyle="1" w:styleId="normaltextrun">
    <w:name w:val="normaltextrun"/>
    <w:basedOn w:val="Policepardfaut"/>
    <w:rsid w:val="002028D6"/>
  </w:style>
  <w:style w:type="character" w:customStyle="1" w:styleId="eop">
    <w:name w:val="eop"/>
    <w:basedOn w:val="Policepardfaut"/>
    <w:rsid w:val="002028D6"/>
  </w:style>
  <w:style w:type="character" w:customStyle="1" w:styleId="Titre5Car">
    <w:name w:val="Titre 5 Car"/>
    <w:basedOn w:val="Policepardfaut"/>
    <w:link w:val="Titre5"/>
    <w:uiPriority w:val="9"/>
    <w:semiHidden/>
    <w:rsid w:val="008C71A3"/>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8C71A3"/>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8C71A3"/>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8C71A3"/>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C71A3"/>
    <w:rPr>
      <w:rFonts w:asciiTheme="majorHAnsi" w:eastAsiaTheme="majorEastAsia" w:hAnsiTheme="majorHAnsi" w:cstheme="majorBidi"/>
      <w:i/>
      <w:iCs/>
      <w:color w:val="272727" w:themeColor="text1" w:themeTint="D8"/>
      <w:sz w:val="21"/>
      <w:szCs w:val="21"/>
      <w:lang w:val="fr-FR"/>
    </w:rPr>
  </w:style>
  <w:style w:type="character" w:customStyle="1" w:styleId="UnresolvedMention">
    <w:name w:val="Unresolved Mention"/>
    <w:basedOn w:val="Policepardfaut"/>
    <w:uiPriority w:val="99"/>
    <w:semiHidden/>
    <w:unhideWhenUsed/>
    <w:rsid w:val="007B0F75"/>
    <w:rPr>
      <w:color w:val="605E5C"/>
      <w:shd w:val="clear" w:color="auto" w:fill="E1DFDD"/>
    </w:rPr>
  </w:style>
  <w:style w:type="paragraph" w:customStyle="1" w:styleId="Default">
    <w:name w:val="Default"/>
    <w:link w:val="DefaultCar"/>
    <w:rsid w:val="00502F30"/>
    <w:pPr>
      <w:widowControl/>
      <w:adjustRightInd w:val="0"/>
    </w:pPr>
    <w:rPr>
      <w:rFonts w:ascii="Times New Roman" w:eastAsia="Times New Roman" w:hAnsi="Times New Roman" w:cs="Times New Roman"/>
      <w:color w:val="000000"/>
      <w:szCs w:val="20"/>
      <w:lang w:val="fr-FR" w:eastAsia="fr-FR"/>
    </w:rPr>
  </w:style>
  <w:style w:type="character" w:customStyle="1" w:styleId="DefaultCar">
    <w:name w:val="Default Car"/>
    <w:link w:val="Default"/>
    <w:locked/>
    <w:rsid w:val="00502F30"/>
    <w:rPr>
      <w:rFonts w:ascii="Times New Roman" w:eastAsia="Times New Roman" w:hAnsi="Times New Roman" w:cs="Times New Roman"/>
      <w:color w:val="000000"/>
      <w:szCs w:val="20"/>
      <w:lang w:val="fr-FR" w:eastAsia="fr-FR"/>
    </w:rPr>
  </w:style>
  <w:style w:type="paragraph" w:styleId="Notedebasdepage">
    <w:name w:val="footnote text"/>
    <w:basedOn w:val="Normal"/>
    <w:link w:val="NotedebasdepageCar"/>
    <w:uiPriority w:val="99"/>
    <w:semiHidden/>
    <w:unhideWhenUsed/>
    <w:rsid w:val="000F213E"/>
    <w:rPr>
      <w:sz w:val="20"/>
      <w:szCs w:val="20"/>
    </w:rPr>
  </w:style>
  <w:style w:type="character" w:customStyle="1" w:styleId="NotedebasdepageCar">
    <w:name w:val="Note de bas de page Car"/>
    <w:basedOn w:val="Policepardfaut"/>
    <w:link w:val="Notedebasdepage"/>
    <w:uiPriority w:val="99"/>
    <w:semiHidden/>
    <w:rsid w:val="000F213E"/>
    <w:rPr>
      <w:rFonts w:ascii="Arial" w:eastAsia="Arial" w:hAnsi="Arial" w:cs="Arial"/>
      <w:sz w:val="20"/>
      <w:szCs w:val="20"/>
      <w:lang w:val="fr-FR"/>
    </w:rPr>
  </w:style>
  <w:style w:type="character" w:styleId="Appelnotedebasdep">
    <w:name w:val="footnote reference"/>
    <w:basedOn w:val="Policepardfaut"/>
    <w:uiPriority w:val="99"/>
    <w:semiHidden/>
    <w:unhideWhenUsed/>
    <w:rsid w:val="000F213E"/>
    <w:rPr>
      <w:vertAlign w:val="superscript"/>
    </w:rPr>
  </w:style>
  <w:style w:type="paragraph" w:customStyle="1" w:styleId="Text">
    <w:name w:val="Text"/>
    <w:basedOn w:val="Normal"/>
    <w:link w:val="TextChar3"/>
    <w:rsid w:val="00B3576F"/>
    <w:pPr>
      <w:keepLines/>
      <w:widowControl/>
      <w:autoSpaceDE/>
      <w:autoSpaceDN/>
      <w:spacing w:before="120"/>
      <w:jc w:val="both"/>
    </w:pPr>
    <w:rPr>
      <w:rFonts w:ascii="Imago" w:eastAsia="Times New Roman" w:hAnsi="Imago" w:cs="Times New Roman"/>
      <w:sz w:val="24"/>
      <w:szCs w:val="20"/>
      <w:lang w:val="en-US"/>
    </w:rPr>
  </w:style>
  <w:style w:type="character" w:customStyle="1" w:styleId="TextChar3">
    <w:name w:val="Text Char3"/>
    <w:link w:val="Text"/>
    <w:locked/>
    <w:rsid w:val="00B3576F"/>
    <w:rPr>
      <w:rFonts w:ascii="Imago" w:eastAsia="Times New Roman" w:hAnsi="Imago" w:cs="Times New Roman"/>
      <w:sz w:val="24"/>
      <w:szCs w:val="20"/>
    </w:rPr>
  </w:style>
  <w:style w:type="character" w:customStyle="1" w:styleId="Titre4Car">
    <w:name w:val="Titre 4 Car"/>
    <w:basedOn w:val="Policepardfaut"/>
    <w:link w:val="Titre4"/>
    <w:uiPriority w:val="9"/>
    <w:rsid w:val="00877D7C"/>
    <w:rPr>
      <w:rFonts w:ascii="Arial" w:eastAsia="Arial" w:hAnsi="Arial" w:cs="Arial"/>
      <w:b/>
      <w:bCs/>
      <w:sz w:val="20"/>
      <w:szCs w:val="20"/>
      <w:lang w:val="fr-FR"/>
    </w:rPr>
  </w:style>
  <w:style w:type="paragraph" w:customStyle="1" w:styleId="Style1">
    <w:name w:val="Style1"/>
    <w:basedOn w:val="Titre1"/>
    <w:link w:val="Style1Car"/>
    <w:qFormat/>
    <w:rsid w:val="00816FE6"/>
    <w:pPr>
      <w:numPr>
        <w:numId w:val="10"/>
      </w:numPr>
      <w:spacing w:before="8"/>
      <w:ind w:right="709"/>
      <w:jc w:val="both"/>
    </w:pPr>
    <w:rPr>
      <w:sz w:val="22"/>
    </w:rPr>
  </w:style>
  <w:style w:type="character" w:styleId="Lienhypertextesuivivisit">
    <w:name w:val="FollowedHyperlink"/>
    <w:basedOn w:val="Policepardfaut"/>
    <w:uiPriority w:val="99"/>
    <w:semiHidden/>
    <w:unhideWhenUsed/>
    <w:rsid w:val="007D279F"/>
    <w:rPr>
      <w:color w:val="800080" w:themeColor="followedHyperlink"/>
      <w:u w:val="single"/>
    </w:rPr>
  </w:style>
  <w:style w:type="character" w:customStyle="1" w:styleId="Style1Car">
    <w:name w:val="Style1 Car"/>
    <w:basedOn w:val="Titre1Car"/>
    <w:link w:val="Style1"/>
    <w:rsid w:val="00816FE6"/>
    <w:rPr>
      <w:rFonts w:ascii="Arial" w:eastAsia="Arial" w:hAnsi="Arial" w:cs="Arial"/>
      <w:b/>
      <w:bCs/>
      <w:sz w:val="32"/>
      <w:szCs w:val="32"/>
      <w:lang w:val="fr-FR"/>
    </w:rPr>
  </w:style>
  <w:style w:type="paragraph" w:styleId="NormalWeb">
    <w:name w:val="Normal (Web)"/>
    <w:basedOn w:val="Normal"/>
    <w:uiPriority w:val="99"/>
    <w:semiHidden/>
    <w:unhideWhenUsed/>
    <w:rsid w:val="000768E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7D7479"/>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link w:val="Paragraphedeliste"/>
    <w:uiPriority w:val="34"/>
    <w:rsid w:val="000A6EBA"/>
    <w:rPr>
      <w:rFonts w:ascii="Arial" w:eastAsia="Arial" w:hAnsi="Arial" w:cs="Arial"/>
      <w:lang w:val="fr-FR"/>
    </w:rPr>
  </w:style>
  <w:style w:type="paragraph" w:customStyle="1" w:styleId="AmmTitulaireNom">
    <w:name w:val="AmmTitulaireNom"/>
    <w:basedOn w:val="Normal"/>
    <w:next w:val="Normal"/>
    <w:rsid w:val="00BB633B"/>
    <w:pPr>
      <w:widowControl/>
      <w:autoSpaceDE/>
      <w:autoSpaceDN/>
    </w:pPr>
    <w:rPr>
      <w:rFonts w:eastAsia="Times New Roman" w:cs="Times New Roman"/>
      <w:b/>
      <w:caps/>
      <w:sz w:val="20"/>
      <w:szCs w:val="20"/>
      <w:lang w:eastAsia="fr-FR"/>
    </w:rPr>
  </w:style>
  <w:style w:type="paragraph" w:customStyle="1" w:styleId="2">
    <w:name w:val="2"/>
    <w:basedOn w:val="Normal"/>
    <w:rsid w:val="00BB633B"/>
    <w:pPr>
      <w:widowControl/>
      <w:adjustRightInd w:val="0"/>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9294">
      <w:bodyDiv w:val="1"/>
      <w:marLeft w:val="0"/>
      <w:marRight w:val="0"/>
      <w:marTop w:val="0"/>
      <w:marBottom w:val="0"/>
      <w:divBdr>
        <w:top w:val="none" w:sz="0" w:space="0" w:color="auto"/>
        <w:left w:val="none" w:sz="0" w:space="0" w:color="auto"/>
        <w:bottom w:val="none" w:sz="0" w:space="0" w:color="auto"/>
        <w:right w:val="none" w:sz="0" w:space="0" w:color="auto"/>
      </w:divBdr>
      <w:divsChild>
        <w:div w:id="1723869307">
          <w:marLeft w:val="0"/>
          <w:marRight w:val="0"/>
          <w:marTop w:val="0"/>
          <w:marBottom w:val="0"/>
          <w:divBdr>
            <w:top w:val="none" w:sz="0" w:space="0" w:color="auto"/>
            <w:left w:val="none" w:sz="0" w:space="0" w:color="auto"/>
            <w:bottom w:val="none" w:sz="0" w:space="0" w:color="auto"/>
            <w:right w:val="none" w:sz="0" w:space="0" w:color="auto"/>
          </w:divBdr>
        </w:div>
      </w:divsChild>
    </w:div>
    <w:div w:id="178393771">
      <w:bodyDiv w:val="1"/>
      <w:marLeft w:val="0"/>
      <w:marRight w:val="0"/>
      <w:marTop w:val="0"/>
      <w:marBottom w:val="0"/>
      <w:divBdr>
        <w:top w:val="none" w:sz="0" w:space="0" w:color="auto"/>
        <w:left w:val="none" w:sz="0" w:space="0" w:color="auto"/>
        <w:bottom w:val="none" w:sz="0" w:space="0" w:color="auto"/>
        <w:right w:val="none" w:sz="0" w:space="0" w:color="auto"/>
      </w:divBdr>
    </w:div>
    <w:div w:id="725303535">
      <w:bodyDiv w:val="1"/>
      <w:marLeft w:val="0"/>
      <w:marRight w:val="0"/>
      <w:marTop w:val="0"/>
      <w:marBottom w:val="0"/>
      <w:divBdr>
        <w:top w:val="none" w:sz="0" w:space="0" w:color="auto"/>
        <w:left w:val="none" w:sz="0" w:space="0" w:color="auto"/>
        <w:bottom w:val="none" w:sz="0" w:space="0" w:color="auto"/>
        <w:right w:val="none" w:sz="0" w:space="0" w:color="auto"/>
      </w:divBdr>
    </w:div>
    <w:div w:id="840316302">
      <w:bodyDiv w:val="1"/>
      <w:marLeft w:val="0"/>
      <w:marRight w:val="0"/>
      <w:marTop w:val="0"/>
      <w:marBottom w:val="0"/>
      <w:divBdr>
        <w:top w:val="none" w:sz="0" w:space="0" w:color="auto"/>
        <w:left w:val="none" w:sz="0" w:space="0" w:color="auto"/>
        <w:bottom w:val="none" w:sz="0" w:space="0" w:color="auto"/>
        <w:right w:val="none" w:sz="0" w:space="0" w:color="auto"/>
      </w:divBdr>
    </w:div>
    <w:div w:id="892498790">
      <w:bodyDiv w:val="1"/>
      <w:marLeft w:val="0"/>
      <w:marRight w:val="0"/>
      <w:marTop w:val="0"/>
      <w:marBottom w:val="0"/>
      <w:divBdr>
        <w:top w:val="none" w:sz="0" w:space="0" w:color="auto"/>
        <w:left w:val="none" w:sz="0" w:space="0" w:color="auto"/>
        <w:bottom w:val="none" w:sz="0" w:space="0" w:color="auto"/>
        <w:right w:val="none" w:sz="0" w:space="0" w:color="auto"/>
      </w:divBdr>
    </w:div>
    <w:div w:id="953558780">
      <w:bodyDiv w:val="1"/>
      <w:marLeft w:val="0"/>
      <w:marRight w:val="0"/>
      <w:marTop w:val="0"/>
      <w:marBottom w:val="0"/>
      <w:divBdr>
        <w:top w:val="none" w:sz="0" w:space="0" w:color="auto"/>
        <w:left w:val="none" w:sz="0" w:space="0" w:color="auto"/>
        <w:bottom w:val="none" w:sz="0" w:space="0" w:color="auto"/>
        <w:right w:val="none" w:sz="0" w:space="0" w:color="auto"/>
      </w:divBdr>
    </w:div>
    <w:div w:id="195035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ignalement.social-sante.gouv.fr/" TargetMode="External"/><Relationship Id="rId26" Type="http://schemas.openxmlformats.org/officeDocument/2006/relationships/hyperlink" Target="https://doi.org/10.1111/j.0736-8046.2004.21419.x" TargetMode="External"/><Relationship Id="rId3" Type="http://schemas.openxmlformats.org/officeDocument/2006/relationships/customXml" Target="../customXml/item3.xml"/><Relationship Id="rId21" Type="http://schemas.openxmlformats.org/officeDocument/2006/relationships/hyperlink" Target="http://ansm.sante.fr/" TargetMode="External"/><Relationship Id="rId34" Type="http://schemas.openxmlformats.org/officeDocument/2006/relationships/hyperlink" Target="http://base-donnees-publique.medicaments.gouv.fr/index.ph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base-donnees-publique.medicaments.gouv.fr/glossaire.php" TargetMode="External"/><Relationship Id="rId25" Type="http://schemas.openxmlformats.org/officeDocument/2006/relationships/hyperlink" Target="https://onlinelibrary.wiley.com/doi/pdf/10.1111/j.1365-4362.1994.tb01525.x" TargetMode="External"/><Relationship Id="rId33" Type="http://schemas.openxmlformats.org/officeDocument/2006/relationships/hyperlink" Target="https://signalement.social-sante.gouv.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ase-donnees-publique.medicaments.gouv.fr/index.php" TargetMode="External"/><Relationship Id="rId20" Type="http://schemas.openxmlformats.org/officeDocument/2006/relationships/hyperlink" Target="https://signalement.social-sante.gouv.fr/" TargetMode="External"/><Relationship Id="rId29" Type="http://schemas.openxmlformats.org/officeDocument/2006/relationships/hyperlink" Target="https://doi.org/10.1111/jdv.150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rldefense.com/v3/__https:/signalement.social-sante.gouv.fr/__;!!AoaiBx6H!yxpDNFCdhn2RrTaapIgX4QXHdHf_wSc0hKuNMSvPZTxNAlljXlA0r-XzVyTgaFbu29lbqORdiJOp5dT6-3onDV-uGkQt-rBWU8Y$" TargetMode="External"/><Relationship Id="rId32" Type="http://schemas.openxmlformats.org/officeDocument/2006/relationships/hyperlink" Target="https://signalement.social-sante.gouv.fr/" TargetMode="External"/><Relationship Id="rId37" Type="http://schemas.openxmlformats.org/officeDocument/2006/relationships/fontTable" Target="fontTable.xm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ansm.sante.fr/actualites/traitement-de-la-teigne-de-lenfant-et-indisponibilite-de-la-griseofulvine-lansm-precise-la-conduite-a-tenir" TargetMode="External"/><Relationship Id="rId23" Type="http://schemas.openxmlformats.org/officeDocument/2006/relationships/hyperlink" Target="http://base-donnees-publique.medicaments.gouv.fr/" TargetMode="External"/><Relationship Id="rId28" Type="http://schemas.openxmlformats.org/officeDocument/2006/relationships/hyperlink" Target="https://www.cochranelibrary.com/cdsr/doi/10.1002/14651858.CD004685.pub3/epdf/full" TargetMode="External"/><Relationship Id="rId36" Type="http://schemas.openxmlformats.org/officeDocument/2006/relationships/hyperlink" Target="http://www.ansm.sante.fr/" TargetMode="External"/><Relationship Id="rId10" Type="http://schemas.openxmlformats.org/officeDocument/2006/relationships/endnotes" Target="endnotes.xml"/><Relationship Id="rId19" Type="http://schemas.openxmlformats.org/officeDocument/2006/relationships/hyperlink" Target="http://www.ansm.sante.fr/" TargetMode="External"/><Relationship Id="rId31" Type="http://schemas.openxmlformats.org/officeDocument/2006/relationships/hyperlink" Target="https://signalement.social-sante.gouv.fr" TargetMode="Externa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ansm.sante.fr/" TargetMode="External"/><Relationship Id="rId27" Type="http://schemas.openxmlformats.org/officeDocument/2006/relationships/hyperlink" Target="https://doi.org/10.1111/j.1525-1470.2010.01137.x" TargetMode="External"/><Relationship Id="rId30" Type="http://schemas.openxmlformats.org/officeDocument/2006/relationships/hyperlink" Target="https://doi.org/10.1111/pde.14353" TargetMode="External"/><Relationship Id="rId35" Type="http://schemas.openxmlformats.org/officeDocument/2006/relationships/hyperlink" Target="http://base-donnees-publique.medicaments.gouv.f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BE74E152D1B40963A1B91DB5B7408" ma:contentTypeVersion="12" ma:contentTypeDescription="Create a new document." ma:contentTypeScope="" ma:versionID="3a10d0e8b2eae681471981aaef004785">
  <xsd:schema xmlns:xsd="http://www.w3.org/2001/XMLSchema" xmlns:xs="http://www.w3.org/2001/XMLSchema" xmlns:p="http://schemas.microsoft.com/office/2006/metadata/properties" xmlns:ns2="741fdcaa-5fea-41f8-8b64-cb7ffa81eded" xmlns:ns3="2ad99679-a4f2-4e4b-be2c-23064683d7a2" targetNamespace="http://schemas.microsoft.com/office/2006/metadata/properties" ma:root="true" ma:fieldsID="e96bfb49b9fe2a9f54dcc51cd3b516f0" ns2:_="" ns3:_="">
    <xsd:import namespace="741fdcaa-5fea-41f8-8b64-cb7ffa81eded"/>
    <xsd:import namespace="2ad99679-a4f2-4e4b-be2c-23064683d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dcaa-5fea-41f8-8b64-cb7ffa81e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99679-a4f2-4e4b-be2c-23064683d7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E35E-1A12-48C6-B545-7676FE6AC8A1}">
  <ds:schemaRefs>
    <ds:schemaRef ds:uri="http://purl.org/dc/terms/"/>
    <ds:schemaRef ds:uri="http://schemas.microsoft.com/office/2006/documentManagement/types"/>
    <ds:schemaRef ds:uri="741fdcaa-5fea-41f8-8b64-cb7ffa81ede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ad99679-a4f2-4e4b-be2c-23064683d7a2"/>
    <ds:schemaRef ds:uri="http://www.w3.org/XML/1998/namespace"/>
    <ds:schemaRef ds:uri="http://purl.org/dc/dcmitype/"/>
  </ds:schemaRefs>
</ds:datastoreItem>
</file>

<file path=customXml/itemProps2.xml><?xml version="1.0" encoding="utf-8"?>
<ds:datastoreItem xmlns:ds="http://schemas.openxmlformats.org/officeDocument/2006/customXml" ds:itemID="{E120A0C6-E901-4672-8556-F4B88782D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dcaa-5fea-41f8-8b64-cb7ffa81eded"/>
    <ds:schemaRef ds:uri="2ad99679-a4f2-4e4b-be2c-23064683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C2238-A5B9-4701-9C91-4FCCEC1E08F8}">
  <ds:schemaRefs>
    <ds:schemaRef ds:uri="http://schemas.microsoft.com/sharepoint/v3/contenttype/forms"/>
  </ds:schemaRefs>
</ds:datastoreItem>
</file>

<file path=customXml/itemProps4.xml><?xml version="1.0" encoding="utf-8"?>
<ds:datastoreItem xmlns:ds="http://schemas.openxmlformats.org/officeDocument/2006/customXml" ds:itemID="{40834CAD-0D3D-40F4-BEB6-58ADC413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6542</Words>
  <Characters>35986</Characters>
  <Application>Microsoft Office Word</Application>
  <DocSecurity>0</DocSecurity>
  <Lines>299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tacrolimus 0,1%</vt:lpstr>
      <vt:lpstr>Nom commercialI</vt:lpstr>
    </vt:vector>
  </TitlesOfParts>
  <Company/>
  <LinksUpToDate>false</LinksUpToDate>
  <CharactersWithSpaces>42444</CharactersWithSpaces>
  <SharedDoc>false</SharedDoc>
  <HLinks>
    <vt:vector size="252" baseType="variant">
      <vt:variant>
        <vt:i4>6160461</vt:i4>
      </vt:variant>
      <vt:variant>
        <vt:i4>206</vt:i4>
      </vt:variant>
      <vt:variant>
        <vt:i4>0</vt:i4>
      </vt:variant>
      <vt:variant>
        <vt:i4>5</vt:i4>
      </vt:variant>
      <vt:variant>
        <vt:lpwstr>http://www.ansm.sante.fr/</vt:lpwstr>
      </vt:variant>
      <vt:variant>
        <vt:lpwstr/>
      </vt:variant>
      <vt:variant>
        <vt:i4>6160461</vt:i4>
      </vt:variant>
      <vt:variant>
        <vt:i4>203</vt:i4>
      </vt:variant>
      <vt:variant>
        <vt:i4>0</vt:i4>
      </vt:variant>
      <vt:variant>
        <vt:i4>5</vt:i4>
      </vt:variant>
      <vt:variant>
        <vt:lpwstr>http://www.ansm.sante.fr/</vt:lpwstr>
      </vt:variant>
      <vt:variant>
        <vt:lpwstr/>
      </vt:variant>
      <vt:variant>
        <vt:i4>7471230</vt:i4>
      </vt:variant>
      <vt:variant>
        <vt:i4>200</vt:i4>
      </vt:variant>
      <vt:variant>
        <vt:i4>0</vt:i4>
      </vt:variant>
      <vt:variant>
        <vt:i4>5</vt:i4>
      </vt:variant>
      <vt:variant>
        <vt:lpwstr>http://base-donnees-publique.medicaments.gouv.fr/index.php</vt:lpwstr>
      </vt:variant>
      <vt:variant>
        <vt:lpwstr/>
      </vt:variant>
      <vt:variant>
        <vt:i4>7471230</vt:i4>
      </vt:variant>
      <vt:variant>
        <vt:i4>197</vt:i4>
      </vt:variant>
      <vt:variant>
        <vt:i4>0</vt:i4>
      </vt:variant>
      <vt:variant>
        <vt:i4>5</vt:i4>
      </vt:variant>
      <vt:variant>
        <vt:lpwstr>http://base-donnees-publique.medicaments.gouv.fr/index.php.</vt:lpwstr>
      </vt:variant>
      <vt:variant>
        <vt:lpwstr/>
      </vt:variant>
      <vt:variant>
        <vt:i4>5242910</vt:i4>
      </vt:variant>
      <vt:variant>
        <vt:i4>194</vt:i4>
      </vt:variant>
      <vt:variant>
        <vt:i4>0</vt:i4>
      </vt:variant>
      <vt:variant>
        <vt:i4>5</vt:i4>
      </vt:variant>
      <vt:variant>
        <vt:lpwstr>https://doi.org/10.1111/j.1468-3083.2007.02278.x</vt:lpwstr>
      </vt:variant>
      <vt:variant>
        <vt:lpwstr/>
      </vt:variant>
      <vt:variant>
        <vt:i4>5636116</vt:i4>
      </vt:variant>
      <vt:variant>
        <vt:i4>191</vt:i4>
      </vt:variant>
      <vt:variant>
        <vt:i4>0</vt:i4>
      </vt:variant>
      <vt:variant>
        <vt:i4>5</vt:i4>
      </vt:variant>
      <vt:variant>
        <vt:lpwstr>https://doi.org/10.1016/j.jid.2020.12.028</vt:lpwstr>
      </vt:variant>
      <vt:variant>
        <vt:lpwstr/>
      </vt:variant>
      <vt:variant>
        <vt:i4>458772</vt:i4>
      </vt:variant>
      <vt:variant>
        <vt:i4>188</vt:i4>
      </vt:variant>
      <vt:variant>
        <vt:i4>0</vt:i4>
      </vt:variant>
      <vt:variant>
        <vt:i4>5</vt:i4>
      </vt:variant>
      <vt:variant>
        <vt:lpwstr>https://doi.org/10.1007/s00403-009-0973-3</vt:lpwstr>
      </vt:variant>
      <vt:variant>
        <vt:lpwstr/>
      </vt:variant>
      <vt:variant>
        <vt:i4>6094875</vt:i4>
      </vt:variant>
      <vt:variant>
        <vt:i4>185</vt:i4>
      </vt:variant>
      <vt:variant>
        <vt:i4>0</vt:i4>
      </vt:variant>
      <vt:variant>
        <vt:i4>5</vt:i4>
      </vt:variant>
      <vt:variant>
        <vt:lpwstr>https://doi.org/10.1111/j.1468-3083.2009.03138.x</vt:lpwstr>
      </vt:variant>
      <vt:variant>
        <vt:lpwstr/>
      </vt:variant>
      <vt:variant>
        <vt:i4>5111891</vt:i4>
      </vt:variant>
      <vt:variant>
        <vt:i4>182</vt:i4>
      </vt:variant>
      <vt:variant>
        <vt:i4>0</vt:i4>
      </vt:variant>
      <vt:variant>
        <vt:i4>5</vt:i4>
      </vt:variant>
      <vt:variant>
        <vt:lpwstr>https://doi.org/10.1002/lsm.22821</vt:lpwstr>
      </vt:variant>
      <vt:variant>
        <vt:lpwstr/>
      </vt:variant>
      <vt:variant>
        <vt:i4>5111888</vt:i4>
      </vt:variant>
      <vt:variant>
        <vt:i4>179</vt:i4>
      </vt:variant>
      <vt:variant>
        <vt:i4>0</vt:i4>
      </vt:variant>
      <vt:variant>
        <vt:i4>5</vt:i4>
      </vt:variant>
      <vt:variant>
        <vt:lpwstr>https://doi.org/10.1111/dth.12747</vt:lpwstr>
      </vt:variant>
      <vt:variant>
        <vt:lpwstr/>
      </vt:variant>
      <vt:variant>
        <vt:i4>4063333</vt:i4>
      </vt:variant>
      <vt:variant>
        <vt:i4>176</vt:i4>
      </vt:variant>
      <vt:variant>
        <vt:i4>0</vt:i4>
      </vt:variant>
      <vt:variant>
        <vt:i4>5</vt:i4>
      </vt:variant>
      <vt:variant>
        <vt:lpwstr>https://doi.org/10.1001/archderm.140.9.1065</vt:lpwstr>
      </vt:variant>
      <vt:variant>
        <vt:lpwstr/>
      </vt:variant>
      <vt:variant>
        <vt:i4>5373979</vt:i4>
      </vt:variant>
      <vt:variant>
        <vt:i4>173</vt:i4>
      </vt:variant>
      <vt:variant>
        <vt:i4>0</vt:i4>
      </vt:variant>
      <vt:variant>
        <vt:i4>5</vt:i4>
      </vt:variant>
      <vt:variant>
        <vt:lpwstr>https://doi.org/10.1111/j.1524-4725.2004.30058.x</vt:lpwstr>
      </vt:variant>
      <vt:variant>
        <vt:lpwstr/>
      </vt:variant>
      <vt:variant>
        <vt:i4>5374043</vt:i4>
      </vt:variant>
      <vt:variant>
        <vt:i4>170</vt:i4>
      </vt:variant>
      <vt:variant>
        <vt:i4>0</vt:i4>
      </vt:variant>
      <vt:variant>
        <vt:i4>5</vt:i4>
      </vt:variant>
      <vt:variant>
        <vt:lpwstr>https://doi.org/10.1111/bjd.17630</vt:lpwstr>
      </vt:variant>
      <vt:variant>
        <vt:lpwstr/>
      </vt:variant>
      <vt:variant>
        <vt:i4>6160414</vt:i4>
      </vt:variant>
      <vt:variant>
        <vt:i4>167</vt:i4>
      </vt:variant>
      <vt:variant>
        <vt:i4>0</vt:i4>
      </vt:variant>
      <vt:variant>
        <vt:i4>5</vt:i4>
      </vt:variant>
      <vt:variant>
        <vt:lpwstr>https://doi.org/10.1111/j.1468-3083.2011.04002.x</vt:lpwstr>
      </vt:variant>
      <vt:variant>
        <vt:lpwstr/>
      </vt:variant>
      <vt:variant>
        <vt:i4>3670122</vt:i4>
      </vt:variant>
      <vt:variant>
        <vt:i4>164</vt:i4>
      </vt:variant>
      <vt:variant>
        <vt:i4>0</vt:i4>
      </vt:variant>
      <vt:variant>
        <vt:i4>5</vt:i4>
      </vt:variant>
      <vt:variant>
        <vt:lpwstr>https://doi.org/10.1001/archderm.139.5.581</vt:lpwstr>
      </vt:variant>
      <vt:variant>
        <vt:lpwstr/>
      </vt:variant>
      <vt:variant>
        <vt:i4>6225950</vt:i4>
      </vt:variant>
      <vt:variant>
        <vt:i4>161</vt:i4>
      </vt:variant>
      <vt:variant>
        <vt:i4>0</vt:i4>
      </vt:variant>
      <vt:variant>
        <vt:i4>5</vt:i4>
      </vt:variant>
      <vt:variant>
        <vt:lpwstr>https://doi.org/10.1111/j.1365-2133.2011.10351.x</vt:lpwstr>
      </vt:variant>
      <vt:variant>
        <vt:lpwstr/>
      </vt:variant>
      <vt:variant>
        <vt:i4>3342450</vt:i4>
      </vt:variant>
      <vt:variant>
        <vt:i4>158</vt:i4>
      </vt:variant>
      <vt:variant>
        <vt:i4>0</vt:i4>
      </vt:variant>
      <vt:variant>
        <vt:i4>5</vt:i4>
      </vt:variant>
      <vt:variant>
        <vt:lpwstr>https://doi.org/10.4103/0378-6323.90949</vt:lpwstr>
      </vt:variant>
      <vt:variant>
        <vt:lpwstr/>
      </vt:variant>
      <vt:variant>
        <vt:i4>4784147</vt:i4>
      </vt:variant>
      <vt:variant>
        <vt:i4>155</vt:i4>
      </vt:variant>
      <vt:variant>
        <vt:i4>0</vt:i4>
      </vt:variant>
      <vt:variant>
        <vt:i4>5</vt:i4>
      </vt:variant>
      <vt:variant>
        <vt:lpwstr>https://doi.org/10.1016/j.dsi.2016.05.005</vt:lpwstr>
      </vt:variant>
      <vt:variant>
        <vt:lpwstr/>
      </vt:variant>
      <vt:variant>
        <vt:i4>5308482</vt:i4>
      </vt:variant>
      <vt:variant>
        <vt:i4>152</vt:i4>
      </vt:variant>
      <vt:variant>
        <vt:i4>0</vt:i4>
      </vt:variant>
      <vt:variant>
        <vt:i4>5</vt:i4>
      </vt:variant>
      <vt:variant>
        <vt:lpwstr>https://doi.org/10.1684/ejd.2009.0779</vt:lpwstr>
      </vt:variant>
      <vt:variant>
        <vt:lpwstr/>
      </vt:variant>
      <vt:variant>
        <vt:i4>1245248</vt:i4>
      </vt:variant>
      <vt:variant>
        <vt:i4>149</vt:i4>
      </vt:variant>
      <vt:variant>
        <vt:i4>0</vt:i4>
      </vt:variant>
      <vt:variant>
        <vt:i4>5</vt:i4>
      </vt:variant>
      <vt:variant>
        <vt:lpwstr>https://doi.org/10.2340/00015555-0464</vt:lpwstr>
      </vt:variant>
      <vt:variant>
        <vt:lpwstr/>
      </vt:variant>
      <vt:variant>
        <vt:i4>5308483</vt:i4>
      </vt:variant>
      <vt:variant>
        <vt:i4>146</vt:i4>
      </vt:variant>
      <vt:variant>
        <vt:i4>0</vt:i4>
      </vt:variant>
      <vt:variant>
        <vt:i4>5</vt:i4>
      </vt:variant>
      <vt:variant>
        <vt:lpwstr>https://doi.org/10.1038/jid.2014.527</vt:lpwstr>
      </vt:variant>
      <vt:variant>
        <vt:lpwstr/>
      </vt:variant>
      <vt:variant>
        <vt:i4>5242973</vt:i4>
      </vt:variant>
      <vt:variant>
        <vt:i4>143</vt:i4>
      </vt:variant>
      <vt:variant>
        <vt:i4>0</vt:i4>
      </vt:variant>
      <vt:variant>
        <vt:i4>5</vt:i4>
      </vt:variant>
      <vt:variant>
        <vt:lpwstr>https://doi.org/10.1111/bjd.17013</vt:lpwstr>
      </vt:variant>
      <vt:variant>
        <vt:lpwstr/>
      </vt:variant>
      <vt:variant>
        <vt:i4>3539053</vt:i4>
      </vt:variant>
      <vt:variant>
        <vt:i4>140</vt:i4>
      </vt:variant>
      <vt:variant>
        <vt:i4>0</vt:i4>
      </vt:variant>
      <vt:variant>
        <vt:i4>5</vt:i4>
      </vt:variant>
      <vt:variant>
        <vt:lpwstr>https://doi.org/10.1111/pcmr.12561</vt:lpwstr>
      </vt:variant>
      <vt:variant>
        <vt:lpwstr/>
      </vt:variant>
      <vt:variant>
        <vt:i4>458844</vt:i4>
      </vt:variant>
      <vt:variant>
        <vt:i4>137</vt:i4>
      </vt:variant>
      <vt:variant>
        <vt:i4>0</vt:i4>
      </vt:variant>
      <vt:variant>
        <vt:i4>5</vt:i4>
      </vt:variant>
      <vt:variant>
        <vt:lpwstr>https://doi.org/10.1001/archdermatol.2011.235</vt:lpwstr>
      </vt:variant>
      <vt:variant>
        <vt:lpwstr/>
      </vt:variant>
      <vt:variant>
        <vt:i4>2752564</vt:i4>
      </vt:variant>
      <vt:variant>
        <vt:i4>134</vt:i4>
      </vt:variant>
      <vt:variant>
        <vt:i4>0</vt:i4>
      </vt:variant>
      <vt:variant>
        <vt:i4>5</vt:i4>
      </vt:variant>
      <vt:variant>
        <vt:lpwstr>https://doi.org/10.1016/j.jaad.2019.07.108</vt:lpwstr>
      </vt:variant>
      <vt:variant>
        <vt:lpwstr/>
      </vt:variant>
      <vt:variant>
        <vt:i4>4063345</vt:i4>
      </vt:variant>
      <vt:variant>
        <vt:i4>131</vt:i4>
      </vt:variant>
      <vt:variant>
        <vt:i4>0</vt:i4>
      </vt:variant>
      <vt:variant>
        <vt:i4>5</vt:i4>
      </vt:variant>
      <vt:variant>
        <vt:lpwstr>https://doi.org/10.1111/phpp.12277</vt:lpwstr>
      </vt:variant>
      <vt:variant>
        <vt:lpwstr/>
      </vt:variant>
      <vt:variant>
        <vt:i4>6029406</vt:i4>
      </vt:variant>
      <vt:variant>
        <vt:i4>128</vt:i4>
      </vt:variant>
      <vt:variant>
        <vt:i4>0</vt:i4>
      </vt:variant>
      <vt:variant>
        <vt:i4>5</vt:i4>
      </vt:variant>
      <vt:variant>
        <vt:lpwstr>https://doi.org/10.1111/ajd.13096</vt:lpwstr>
      </vt:variant>
      <vt:variant>
        <vt:lpwstr/>
      </vt:variant>
      <vt:variant>
        <vt:i4>3014762</vt:i4>
      </vt:variant>
      <vt:variant>
        <vt:i4>125</vt:i4>
      </vt:variant>
      <vt:variant>
        <vt:i4>0</vt:i4>
      </vt:variant>
      <vt:variant>
        <vt:i4>5</vt:i4>
      </vt:variant>
      <vt:variant>
        <vt:lpwstr>https://doi.org/10.1001/jamadermatol.2019.0696</vt:lpwstr>
      </vt:variant>
      <vt:variant>
        <vt:lpwstr/>
      </vt:variant>
      <vt:variant>
        <vt:i4>1638486</vt:i4>
      </vt:variant>
      <vt:variant>
        <vt:i4>122</vt:i4>
      </vt:variant>
      <vt:variant>
        <vt:i4>0</vt:i4>
      </vt:variant>
      <vt:variant>
        <vt:i4>5</vt:i4>
      </vt:variant>
      <vt:variant>
        <vt:lpwstr>https://doi.org/10.4049/jimmunol.1390055</vt:lpwstr>
      </vt:variant>
      <vt:variant>
        <vt:lpwstr/>
      </vt:variant>
      <vt:variant>
        <vt:i4>3932262</vt:i4>
      </vt:variant>
      <vt:variant>
        <vt:i4>119</vt:i4>
      </vt:variant>
      <vt:variant>
        <vt:i4>0</vt:i4>
      </vt:variant>
      <vt:variant>
        <vt:i4>5</vt:i4>
      </vt:variant>
      <vt:variant>
        <vt:lpwstr>https://doi.org/10.1046/j.1365-2133.148.s63.1.x</vt:lpwstr>
      </vt:variant>
      <vt:variant>
        <vt:lpwstr/>
      </vt:variant>
      <vt:variant>
        <vt:i4>458780</vt:i4>
      </vt:variant>
      <vt:variant>
        <vt:i4>41</vt:i4>
      </vt:variant>
      <vt:variant>
        <vt:i4>0</vt:i4>
      </vt:variant>
      <vt:variant>
        <vt:i4>5</vt:i4>
      </vt:variant>
      <vt:variant>
        <vt:lpwstr>http://base-donnees-publique.medicaments.gouv.fr/</vt:lpwstr>
      </vt:variant>
      <vt:variant>
        <vt:lpwstr/>
      </vt:variant>
      <vt:variant>
        <vt:i4>6160404</vt:i4>
      </vt:variant>
      <vt:variant>
        <vt:i4>38</vt:i4>
      </vt:variant>
      <vt:variant>
        <vt:i4>0</vt:i4>
      </vt:variant>
      <vt:variant>
        <vt:i4>5</vt:i4>
      </vt:variant>
      <vt:variant>
        <vt:lpwstr>http://ansm.sante.fr/</vt:lpwstr>
      </vt:variant>
      <vt:variant>
        <vt:lpwstr/>
      </vt:variant>
      <vt:variant>
        <vt:i4>1835089</vt:i4>
      </vt:variant>
      <vt:variant>
        <vt:i4>35</vt:i4>
      </vt:variant>
      <vt:variant>
        <vt:i4>0</vt:i4>
      </vt:variant>
      <vt:variant>
        <vt:i4>5</vt:i4>
      </vt:variant>
      <vt:variant>
        <vt:lpwstr>http://www.signalement-sante.gouv.fr/</vt:lpwstr>
      </vt:variant>
      <vt:variant>
        <vt:lpwstr/>
      </vt:variant>
      <vt:variant>
        <vt:i4>458780</vt:i4>
      </vt:variant>
      <vt:variant>
        <vt:i4>32</vt:i4>
      </vt:variant>
      <vt:variant>
        <vt:i4>0</vt:i4>
      </vt:variant>
      <vt:variant>
        <vt:i4>5</vt:i4>
      </vt:variant>
      <vt:variant>
        <vt:lpwstr>http://base-donnees-publique.medicaments.gouv.fr/</vt:lpwstr>
      </vt:variant>
      <vt:variant>
        <vt:lpwstr/>
      </vt:variant>
      <vt:variant>
        <vt:i4>6160461</vt:i4>
      </vt:variant>
      <vt:variant>
        <vt:i4>29</vt:i4>
      </vt:variant>
      <vt:variant>
        <vt:i4>0</vt:i4>
      </vt:variant>
      <vt:variant>
        <vt:i4>5</vt:i4>
      </vt:variant>
      <vt:variant>
        <vt:lpwstr>http://www.ansm.sante.fr/</vt:lpwstr>
      </vt:variant>
      <vt:variant>
        <vt:lpwstr/>
      </vt:variant>
      <vt:variant>
        <vt:i4>5898280</vt:i4>
      </vt:variant>
      <vt:variant>
        <vt:i4>26</vt:i4>
      </vt:variant>
      <vt:variant>
        <vt:i4>0</vt:i4>
      </vt:variant>
      <vt:variant>
        <vt:i4>5</vt:i4>
      </vt:variant>
      <vt:variant>
        <vt:lpwstr/>
      </vt:variant>
      <vt:variant>
        <vt:lpwstr>Annexe_4</vt:lpwstr>
      </vt:variant>
      <vt:variant>
        <vt:i4>6160404</vt:i4>
      </vt:variant>
      <vt:variant>
        <vt:i4>23</vt:i4>
      </vt:variant>
      <vt:variant>
        <vt:i4>0</vt:i4>
      </vt:variant>
      <vt:variant>
        <vt:i4>5</vt:i4>
      </vt:variant>
      <vt:variant>
        <vt:lpwstr>http://ansm.sante.fr/</vt:lpwstr>
      </vt:variant>
      <vt:variant>
        <vt:lpwstr/>
      </vt:variant>
      <vt:variant>
        <vt:i4>6160461</vt:i4>
      </vt:variant>
      <vt:variant>
        <vt:i4>20</vt:i4>
      </vt:variant>
      <vt:variant>
        <vt:i4>0</vt:i4>
      </vt:variant>
      <vt:variant>
        <vt:i4>5</vt:i4>
      </vt:variant>
      <vt:variant>
        <vt:lpwstr>http://www.ansm.sante.fr/</vt:lpwstr>
      </vt:variant>
      <vt:variant>
        <vt:lpwstr/>
      </vt:variant>
      <vt:variant>
        <vt:i4>1966083</vt:i4>
      </vt:variant>
      <vt:variant>
        <vt:i4>17</vt:i4>
      </vt:variant>
      <vt:variant>
        <vt:i4>0</vt:i4>
      </vt:variant>
      <vt:variant>
        <vt:i4>5</vt:i4>
      </vt:variant>
      <vt:variant>
        <vt:lpwstr>http://base-donnees-publique.medicaments.gouv.fr/glossaire.php</vt:lpwstr>
      </vt:variant>
      <vt:variant>
        <vt:lpwstr>listes</vt:lpwstr>
      </vt:variant>
      <vt:variant>
        <vt:i4>7471230</vt:i4>
      </vt:variant>
      <vt:variant>
        <vt:i4>14</vt:i4>
      </vt:variant>
      <vt:variant>
        <vt:i4>0</vt:i4>
      </vt:variant>
      <vt:variant>
        <vt:i4>5</vt:i4>
      </vt:variant>
      <vt:variant>
        <vt:lpwstr>http://base-donnees-publique.medicaments.gouv.fr/index.php</vt:lpwstr>
      </vt:variant>
      <vt:variant>
        <vt:lpwstr/>
      </vt:variant>
      <vt:variant>
        <vt:i4>6160461</vt:i4>
      </vt:variant>
      <vt:variant>
        <vt:i4>11</vt:i4>
      </vt:variant>
      <vt:variant>
        <vt:i4>0</vt:i4>
      </vt:variant>
      <vt:variant>
        <vt:i4>5</vt:i4>
      </vt:variant>
      <vt:variant>
        <vt:lpwstr>http://www.ansm.sante.fr/</vt:lpwstr>
      </vt:variant>
      <vt:variant>
        <vt:lpwstr/>
      </vt:variant>
      <vt:variant>
        <vt:i4>1048675</vt:i4>
      </vt:variant>
      <vt:variant>
        <vt:i4>0</vt:i4>
      </vt:variant>
      <vt:variant>
        <vt:i4>0</vt:i4>
      </vt:variant>
      <vt:variant>
        <vt:i4>5</vt:i4>
      </vt:variant>
      <vt:variant>
        <vt:lpwstr>mailto:rtu@ansm.sante.fr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tacrolimus 0,1%</dc:title>
  <dc:creator>Jcavalie</dc:creator>
  <cp:lastModifiedBy>Catherine LEROY-CORREC</cp:lastModifiedBy>
  <cp:revision>2</cp:revision>
  <cp:lastPrinted>2022-08-16T12:55:00Z</cp:lastPrinted>
  <dcterms:created xsi:type="dcterms:W3CDTF">2025-06-13T16:28:00Z</dcterms:created>
  <dcterms:modified xsi:type="dcterms:W3CDTF">2025-06-13T16:28:00Z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2013</vt:lpwstr>
  </property>
  <property fmtid="{D5CDD505-2E9C-101B-9397-08002B2CF9AE}" pid="4" name="LastSaved">
    <vt:filetime>2020-11-06T00:00:00Z</vt:filetime>
  </property>
  <property fmtid="{D5CDD505-2E9C-101B-9397-08002B2CF9AE}" pid="5" name="ContentTypeId">
    <vt:lpwstr>0x010100F63BE74E152D1B40963A1B91DB5B7408</vt:lpwstr>
  </property>
  <property fmtid="{D5CDD505-2E9C-101B-9397-08002B2CF9AE}" pid="6" name="MSIP_Label_f061b9f0-8104-4829-9a4c-b0eb99e4c8fa_Enabled">
    <vt:lpwstr>true</vt:lpwstr>
  </property>
  <property fmtid="{D5CDD505-2E9C-101B-9397-08002B2CF9AE}" pid="7" name="MSIP_Label_f061b9f0-8104-4829-9a4c-b0eb99e4c8fa_SetDate">
    <vt:lpwstr>2021-12-17T15:57:35Z</vt:lpwstr>
  </property>
  <property fmtid="{D5CDD505-2E9C-101B-9397-08002B2CF9AE}" pid="8" name="MSIP_Label_f061b9f0-8104-4829-9a4c-b0eb99e4c8fa_Method">
    <vt:lpwstr>Standard</vt:lpwstr>
  </property>
  <property fmtid="{D5CDD505-2E9C-101B-9397-08002B2CF9AE}" pid="9" name="MSIP_Label_f061b9f0-8104-4829-9a4c-b0eb99e4c8fa_Name">
    <vt:lpwstr>Internal use only v1</vt:lpwstr>
  </property>
  <property fmtid="{D5CDD505-2E9C-101B-9397-08002B2CF9AE}" pid="10" name="MSIP_Label_f061b9f0-8104-4829-9a4c-b0eb99e4c8fa_SiteId">
    <vt:lpwstr>d78f7362-832c-4715-8e12-cc7bd574144c</vt:lpwstr>
  </property>
  <property fmtid="{D5CDD505-2E9C-101B-9397-08002B2CF9AE}" pid="11" name="MSIP_Label_f061b9f0-8104-4829-9a4c-b0eb99e4c8fa_ActionId">
    <vt:lpwstr>1a86b18c-43c4-497b-ae5b-3d6695ba1715</vt:lpwstr>
  </property>
  <property fmtid="{D5CDD505-2E9C-101B-9397-08002B2CF9AE}" pid="12" name="MSIP_Label_f061b9f0-8104-4829-9a4c-b0eb99e4c8fa_ContentBits">
    <vt:lpwstr>0</vt:lpwstr>
  </property>
</Properties>
</file>