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DF8CC" w14:textId="77777777" w:rsidR="00A75BD0" w:rsidRDefault="009D4DA5">
      <w:pPr>
        <w:jc w:val="center"/>
        <w:rPr>
          <w:rFonts w:ascii="Arial" w:eastAsia="Arial" w:hAnsi="Arial" w:cs="Arial"/>
          <w:sz w:val="32"/>
          <w:szCs w:val="32"/>
        </w:rPr>
      </w:pPr>
      <w:r>
        <w:rPr>
          <w:rFonts w:ascii="Arial" w:eastAsia="Arial" w:hAnsi="Arial" w:cs="Arial"/>
          <w:sz w:val="32"/>
          <w:szCs w:val="32"/>
        </w:rPr>
        <w:t>Cadre de prescription compassionnelle (CPC)</w:t>
      </w:r>
    </w:p>
    <w:p w14:paraId="777E6ED1" w14:textId="77777777" w:rsidR="00A75BD0" w:rsidRDefault="009D4DA5">
      <w:pPr>
        <w:jc w:val="center"/>
      </w:pPr>
      <w:r w:rsidRPr="0BA40188">
        <w:rPr>
          <w:rFonts w:ascii="Arial" w:eastAsia="Arial" w:hAnsi="Arial" w:cs="Arial"/>
          <w:b/>
          <w:bCs/>
          <w:color w:val="000000" w:themeColor="text1"/>
          <w:sz w:val="32"/>
          <w:szCs w:val="32"/>
          <w:lang w:val="fr-FR"/>
        </w:rPr>
        <w:t>Bevacizumab 25 mg/ml, solution à diluer pour perfusion</w:t>
      </w:r>
    </w:p>
    <w:p w14:paraId="486E376B" w14:textId="77777777" w:rsidR="00A75BD0" w:rsidRDefault="00A75BD0">
      <w:pPr>
        <w:pStyle w:val="Titre1"/>
        <w:spacing w:before="74"/>
        <w:ind w:right="305"/>
        <w:jc w:val="center"/>
        <w:rPr>
          <w:rFonts w:ascii="Arial" w:eastAsia="Arial" w:hAnsi="Arial" w:cs="Arial"/>
          <w:sz w:val="20"/>
          <w:szCs w:val="20"/>
        </w:rPr>
      </w:pPr>
    </w:p>
    <w:p w14:paraId="4750E880" w14:textId="77777777" w:rsidR="00A75BD0" w:rsidRDefault="00A75BD0">
      <w:pPr>
        <w:pStyle w:val="Titre1"/>
        <w:spacing w:before="74"/>
        <w:ind w:right="305"/>
        <w:jc w:val="center"/>
        <w:rPr>
          <w:rFonts w:ascii="Arial" w:eastAsia="Arial" w:hAnsi="Arial" w:cs="Arial"/>
          <w:sz w:val="20"/>
          <w:szCs w:val="20"/>
        </w:rPr>
      </w:pPr>
    </w:p>
    <w:p w14:paraId="05F44E2C" w14:textId="77777777" w:rsidR="00A75BD0" w:rsidRDefault="009D4DA5">
      <w:pPr>
        <w:jc w:val="center"/>
        <w:rPr>
          <w:rFonts w:ascii="Arial" w:eastAsia="Arial" w:hAnsi="Arial" w:cs="Arial"/>
          <w:sz w:val="32"/>
          <w:szCs w:val="32"/>
        </w:rPr>
      </w:pPr>
      <w:r>
        <w:rPr>
          <w:rFonts w:ascii="Arial" w:eastAsia="Arial" w:hAnsi="Arial" w:cs="Arial"/>
          <w:sz w:val="32"/>
          <w:szCs w:val="32"/>
        </w:rPr>
        <w:t>Protocole d’utilisation thérapeutique et de suivi des patients</w:t>
      </w:r>
    </w:p>
    <w:p w14:paraId="08678F08" w14:textId="77777777" w:rsidR="00A75BD0" w:rsidRDefault="00A75BD0">
      <w:pPr>
        <w:pStyle w:val="Titre1"/>
        <w:spacing w:before="74"/>
        <w:ind w:right="305"/>
        <w:jc w:val="center"/>
        <w:rPr>
          <w:rFonts w:ascii="Arial" w:eastAsia="Arial" w:hAnsi="Arial" w:cs="Arial"/>
          <w:sz w:val="20"/>
          <w:szCs w:val="20"/>
        </w:rPr>
      </w:pPr>
    </w:p>
    <w:p w14:paraId="07E6DD5B" w14:textId="77777777" w:rsidR="00A75BD0" w:rsidRDefault="009D4DA5">
      <w:pPr>
        <w:jc w:val="center"/>
        <w:rPr>
          <w:rFonts w:ascii="Arial" w:eastAsia="Arial" w:hAnsi="Arial" w:cs="Arial"/>
          <w:sz w:val="32"/>
          <w:szCs w:val="32"/>
        </w:rPr>
      </w:pPr>
      <w:r>
        <w:rPr>
          <w:rFonts w:ascii="Arial" w:eastAsia="Arial" w:hAnsi="Arial" w:cs="Arial"/>
          <w:sz w:val="32"/>
          <w:szCs w:val="32"/>
        </w:rPr>
        <w:t>(PUT-SP)</w:t>
      </w:r>
    </w:p>
    <w:p w14:paraId="3EC6AF6B" w14:textId="77777777" w:rsidR="00A75BD0" w:rsidRDefault="00A75BD0">
      <w:pPr>
        <w:pStyle w:val="Titre1"/>
        <w:spacing w:before="74"/>
        <w:ind w:right="305"/>
        <w:jc w:val="center"/>
        <w:rPr>
          <w:rFonts w:ascii="Arial" w:eastAsia="Arial" w:hAnsi="Arial" w:cs="Arial"/>
          <w:sz w:val="20"/>
          <w:szCs w:val="20"/>
        </w:rPr>
      </w:pPr>
    </w:p>
    <w:tbl>
      <w:tblPr>
        <w:tblStyle w:val="Grilledutableau"/>
        <w:tblW w:w="4963" w:type="pct"/>
        <w:tblLook w:val="0480" w:firstRow="0" w:lastRow="0" w:firstColumn="1" w:lastColumn="0" w:noHBand="0" w:noVBand="1"/>
      </w:tblPr>
      <w:tblGrid>
        <w:gridCol w:w="9062"/>
      </w:tblGrid>
      <w:tr w:rsidR="00C2498B" w:rsidRPr="0093672E" w14:paraId="4D2226C8" w14:textId="77777777" w:rsidTr="0BA40188">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1" w:themeFillShade="D9"/>
          </w:tcPr>
          <w:p w14:paraId="49AEACA6" w14:textId="77777777" w:rsidR="00C2498B" w:rsidRPr="0093672E" w:rsidRDefault="00C2498B" w:rsidP="0BA40188">
            <w:pPr>
              <w:pStyle w:val="Intertitre"/>
              <w:rPr>
                <w:rStyle w:val="lev"/>
                <w:lang w:val="fr-FR"/>
              </w:rPr>
            </w:pPr>
            <w:r w:rsidRPr="0BA40188">
              <w:rPr>
                <w:rStyle w:val="lev"/>
                <w:lang w:val="fr-FR"/>
              </w:rPr>
              <w:t>le CPC</w:t>
            </w:r>
          </w:p>
        </w:tc>
      </w:tr>
    </w:tbl>
    <w:tbl>
      <w:tblPr>
        <w:tblStyle w:val="ae"/>
        <w:tblW w:w="91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80" w:firstRow="0" w:lastRow="0" w:firstColumn="1" w:lastColumn="0" w:noHBand="0" w:noVBand="1"/>
      </w:tblPr>
      <w:tblGrid>
        <w:gridCol w:w="3893"/>
        <w:gridCol w:w="5237"/>
      </w:tblGrid>
      <w:tr w:rsidR="00A75BD0" w14:paraId="0533AB02" w14:textId="77777777" w:rsidTr="0BA40188">
        <w:tc>
          <w:tcPr>
            <w:cnfStyle w:val="001000000000" w:firstRow="0" w:lastRow="0" w:firstColumn="1" w:lastColumn="0" w:oddVBand="0" w:evenVBand="0" w:oddHBand="0" w:evenHBand="0" w:firstRowFirstColumn="0" w:firstRowLastColumn="0" w:lastRowFirstColumn="0" w:lastRowLastColumn="0"/>
            <w:tcW w:w="3893" w:type="dxa"/>
          </w:tcPr>
          <w:p w14:paraId="61CECC43" w14:textId="77777777" w:rsidR="00A75BD0" w:rsidRDefault="009D4DA5">
            <w:pPr>
              <w:ind w:left="737" w:hanging="737"/>
            </w:pPr>
            <w:r>
              <w:t>Spécialité(s)</w:t>
            </w:r>
          </w:p>
        </w:tc>
        <w:tc>
          <w:tcPr>
            <w:tcW w:w="5237" w:type="dxa"/>
          </w:tcPr>
          <w:p w14:paraId="557F06C6" w14:textId="77777777" w:rsidR="00A75BD0" w:rsidRDefault="009D4DA5" w:rsidP="0BA40188">
            <w:pPr>
              <w:cnfStyle w:val="000000000000" w:firstRow="0" w:lastRow="0" w:firstColumn="0" w:lastColumn="0" w:oddVBand="0" w:evenVBand="0" w:oddHBand="0" w:evenHBand="0" w:firstRowFirstColumn="0" w:firstRowLastColumn="0" w:lastRowFirstColumn="0" w:lastRowLastColumn="0"/>
              <w:rPr>
                <w:lang w:val="fr-FR"/>
              </w:rPr>
            </w:pPr>
            <w:r w:rsidRPr="0BA40188">
              <w:rPr>
                <w:lang w:val="fr-FR"/>
              </w:rPr>
              <w:t>AVASTIN 25 mg/ml, solution à diluer pour perfusion et l’ensemble des spécialités biologiques similaires de bevacizumab</w:t>
            </w:r>
          </w:p>
        </w:tc>
      </w:tr>
      <w:tr w:rsidR="00A75BD0" w14:paraId="3A1FFEBA" w14:textId="77777777" w:rsidTr="0BA40188">
        <w:tc>
          <w:tcPr>
            <w:cnfStyle w:val="001000000000" w:firstRow="0" w:lastRow="0" w:firstColumn="1" w:lastColumn="0" w:oddVBand="0" w:evenVBand="0" w:oddHBand="0" w:evenHBand="0" w:firstRowFirstColumn="0" w:firstRowLastColumn="0" w:lastRowFirstColumn="0" w:lastRowLastColumn="0"/>
            <w:tcW w:w="3893" w:type="dxa"/>
          </w:tcPr>
          <w:p w14:paraId="2A340D5F" w14:textId="77777777" w:rsidR="00A75BD0" w:rsidRDefault="009D4DA5">
            <w:r>
              <w:t>DCI</w:t>
            </w:r>
          </w:p>
        </w:tc>
        <w:tc>
          <w:tcPr>
            <w:tcW w:w="5237" w:type="dxa"/>
          </w:tcPr>
          <w:p w14:paraId="29F1BE58" w14:textId="77777777" w:rsidR="00A75BD0" w:rsidRDefault="009D4DA5" w:rsidP="0BA40188">
            <w:pPr>
              <w:cnfStyle w:val="000000000000" w:firstRow="0" w:lastRow="0" w:firstColumn="0" w:lastColumn="0" w:oddVBand="0" w:evenVBand="0" w:oddHBand="0" w:evenHBand="0" w:firstRowFirstColumn="0" w:firstRowLastColumn="0" w:lastRowFirstColumn="0" w:lastRowLastColumn="0"/>
              <w:rPr>
                <w:lang w:val="fr-FR"/>
              </w:rPr>
            </w:pPr>
            <w:r w:rsidRPr="0BA40188">
              <w:rPr>
                <w:lang w:val="fr-FR"/>
              </w:rPr>
              <w:t>Bevacizumab</w:t>
            </w:r>
          </w:p>
        </w:tc>
      </w:tr>
      <w:tr w:rsidR="00A75BD0" w14:paraId="7528F072" w14:textId="77777777" w:rsidTr="0BA40188">
        <w:tc>
          <w:tcPr>
            <w:cnfStyle w:val="001000000000" w:firstRow="0" w:lastRow="0" w:firstColumn="1" w:lastColumn="0" w:oddVBand="0" w:evenVBand="0" w:oddHBand="0" w:evenHBand="0" w:firstRowFirstColumn="0" w:firstRowLastColumn="0" w:lastRowFirstColumn="0" w:lastRowLastColumn="0"/>
            <w:tcW w:w="3893" w:type="dxa"/>
          </w:tcPr>
          <w:p w14:paraId="787BE75B" w14:textId="77777777" w:rsidR="00A75BD0" w:rsidRDefault="009D4DA5">
            <w:r>
              <w:t xml:space="preserve">Indication du CPC </w:t>
            </w:r>
          </w:p>
        </w:tc>
        <w:tc>
          <w:tcPr>
            <w:tcW w:w="5237" w:type="dxa"/>
          </w:tcPr>
          <w:p w14:paraId="44677A54" w14:textId="77777777" w:rsidR="00A75BD0" w:rsidRDefault="009D4DA5">
            <w:pPr>
              <w:cnfStyle w:val="000000000000" w:firstRow="0" w:lastRow="0" w:firstColumn="0" w:lastColumn="0" w:oddVBand="0" w:evenVBand="0" w:oddHBand="0" w:evenHBand="0" w:firstRowFirstColumn="0" w:firstRowLastColumn="0" w:lastRowFirstColumn="0" w:lastRowLastColumn="0"/>
            </w:pPr>
            <w:r>
              <w:t xml:space="preserve"> </w:t>
            </w:r>
          </w:p>
          <w:p w14:paraId="50CCD47D" w14:textId="35420DEF" w:rsidR="00A75BD0" w:rsidRDefault="009D4DA5" w:rsidP="0BA40188">
            <w:pPr>
              <w:spacing w:before="120"/>
              <w:ind w:right="46"/>
              <w:jc w:val="both"/>
              <w:cnfStyle w:val="000000000000" w:firstRow="0" w:lastRow="0" w:firstColumn="0" w:lastColumn="0" w:oddVBand="0" w:evenVBand="0" w:oddHBand="0" w:evenHBand="0" w:firstRowFirstColumn="0" w:firstRowLastColumn="0" w:lastRowFirstColumn="0" w:lastRowLastColumn="0"/>
              <w:rPr>
                <w:shd w:val="clear" w:color="auto" w:fill="F2F2F2"/>
                <w:lang w:val="fr-FR"/>
              </w:rPr>
            </w:pPr>
            <w:r w:rsidRPr="0BA40188">
              <w:rPr>
                <w:color w:val="595959"/>
                <w:shd w:val="clear" w:color="auto" w:fill="F2F2F2"/>
                <w:lang w:val="fr-FR"/>
              </w:rPr>
              <w:t xml:space="preserve">- </w:t>
            </w:r>
            <w:r w:rsidRPr="0BA40188">
              <w:rPr>
                <w:shd w:val="clear" w:color="auto" w:fill="F2F2F2"/>
                <w:lang w:val="fr-FR"/>
              </w:rPr>
              <w:t>Traitement de la maladie de Rendu-Osler dans les cas de formes hépatiques sévères avec un retentissement cardiaque à type d’hyperdébit cardiaque, associé à une dyspnée</w:t>
            </w:r>
          </w:p>
          <w:p w14:paraId="5D008F6F" w14:textId="56EA13D9" w:rsidR="00A75BD0" w:rsidRDefault="009D4DA5">
            <w:pPr>
              <w:spacing w:before="120"/>
              <w:ind w:right="46"/>
              <w:jc w:val="both"/>
              <w:cnfStyle w:val="000000000000" w:firstRow="0" w:lastRow="0" w:firstColumn="0" w:lastColumn="0" w:oddVBand="0" w:evenVBand="0" w:oddHBand="0" w:evenHBand="0" w:firstRowFirstColumn="0" w:firstRowLastColumn="0" w:lastRowFirstColumn="0" w:lastRowLastColumn="0"/>
              <w:rPr>
                <w:shd w:val="clear" w:color="auto" w:fill="F2F2F2"/>
              </w:rPr>
            </w:pPr>
            <w:r>
              <w:rPr>
                <w:shd w:val="clear" w:color="auto" w:fill="F2F2F2"/>
              </w:rPr>
              <w:t>-Traitement de la maladie de Rendu-Osler dans les cas de formes hémorragiques sévères ORL et/ou digestives liées à la maladie et justifiant des transfusions sanguines et/ou perfusions de fer itératives</w:t>
            </w:r>
          </w:p>
          <w:p w14:paraId="798B6EDC" w14:textId="77777777" w:rsidR="00A75BD0" w:rsidRDefault="00A75BD0">
            <w:pPr>
              <w:cnfStyle w:val="000000000000" w:firstRow="0" w:lastRow="0" w:firstColumn="0" w:lastColumn="0" w:oddVBand="0" w:evenVBand="0" w:oddHBand="0" w:evenHBand="0" w:firstRowFirstColumn="0" w:firstRowLastColumn="0" w:lastRowFirstColumn="0" w:lastRowLastColumn="0"/>
            </w:pPr>
          </w:p>
        </w:tc>
      </w:tr>
      <w:tr w:rsidR="00A75BD0" w14:paraId="54E6B58F" w14:textId="77777777" w:rsidTr="0BA40188">
        <w:tc>
          <w:tcPr>
            <w:cnfStyle w:val="001000000000" w:firstRow="0" w:lastRow="0" w:firstColumn="1" w:lastColumn="0" w:oddVBand="0" w:evenVBand="0" w:oddHBand="0" w:evenHBand="0" w:firstRowFirstColumn="0" w:firstRowLastColumn="0" w:lastRowFirstColumn="0" w:lastRowLastColumn="0"/>
            <w:tcW w:w="3893" w:type="dxa"/>
          </w:tcPr>
          <w:p w14:paraId="3E9D2F70" w14:textId="77777777" w:rsidR="00A75BD0" w:rsidRDefault="009D4DA5">
            <w:pPr>
              <w:ind w:left="1474" w:hanging="1474"/>
            </w:pPr>
            <w:r>
              <w:t xml:space="preserve">Date du CPC </w:t>
            </w:r>
          </w:p>
        </w:tc>
        <w:tc>
          <w:tcPr>
            <w:tcW w:w="5237" w:type="dxa"/>
          </w:tcPr>
          <w:p w14:paraId="2F31B66D" w14:textId="77777777" w:rsidR="00A75BD0" w:rsidRDefault="009D4DA5">
            <w:pPr>
              <w:cnfStyle w:val="000000000000" w:firstRow="0" w:lastRow="0" w:firstColumn="0" w:lastColumn="0" w:oddVBand="0" w:evenVBand="0" w:oddHBand="0" w:evenHBand="0" w:firstRowFirstColumn="0" w:firstRowLastColumn="0" w:lastRowFirstColumn="0" w:lastRowLastColumn="0"/>
            </w:pPr>
            <w:r>
              <w:t>16 juin 2025</w:t>
            </w:r>
          </w:p>
          <w:p w14:paraId="21304C2A" w14:textId="77777777" w:rsidR="00A75BD0" w:rsidRDefault="00A75BD0">
            <w:pPr>
              <w:cnfStyle w:val="000000000000" w:firstRow="0" w:lastRow="0" w:firstColumn="0" w:lastColumn="0" w:oddVBand="0" w:evenVBand="0" w:oddHBand="0" w:evenHBand="0" w:firstRowFirstColumn="0" w:firstRowLastColumn="0" w:lastRowFirstColumn="0" w:lastRowLastColumn="0"/>
            </w:pPr>
          </w:p>
        </w:tc>
      </w:tr>
      <w:tr w:rsidR="00A75BD0" w14:paraId="53477448" w14:textId="77777777" w:rsidTr="0BA40188">
        <w:tc>
          <w:tcPr>
            <w:cnfStyle w:val="001000000000" w:firstRow="0" w:lastRow="0" w:firstColumn="1" w:lastColumn="0" w:oddVBand="0" w:evenVBand="0" w:oddHBand="0" w:evenHBand="0" w:firstRowFirstColumn="0" w:firstRowLastColumn="0" w:lastRowFirstColumn="0" w:lastRowLastColumn="0"/>
            <w:tcW w:w="3893" w:type="dxa"/>
          </w:tcPr>
          <w:p w14:paraId="31D001AC" w14:textId="77777777" w:rsidR="00A75BD0" w:rsidRDefault="009D4DA5">
            <w:r>
              <w:t xml:space="preserve">Périodicité des rapports de synthèse </w:t>
            </w:r>
          </w:p>
        </w:tc>
        <w:tc>
          <w:tcPr>
            <w:tcW w:w="5237" w:type="dxa"/>
          </w:tcPr>
          <w:p w14:paraId="13DCEB58" w14:textId="77777777" w:rsidR="00A75BD0" w:rsidRDefault="009D4DA5">
            <w:pPr>
              <w:cnfStyle w:val="000000000000" w:firstRow="0" w:lastRow="0" w:firstColumn="0" w:lastColumn="0" w:oddVBand="0" w:evenVBand="0" w:oddHBand="0" w:evenHBand="0" w:firstRowFirstColumn="0" w:firstRowLastColumn="0" w:lastRowFirstColumn="0" w:lastRowLastColumn="0"/>
            </w:pPr>
            <w:r>
              <w:t>Annuel</w:t>
            </w:r>
          </w:p>
          <w:p w14:paraId="1D3D49DD" w14:textId="77777777" w:rsidR="00A75BD0" w:rsidRDefault="00A75BD0">
            <w:pPr>
              <w:cnfStyle w:val="000000000000" w:firstRow="0" w:lastRow="0" w:firstColumn="0" w:lastColumn="0" w:oddVBand="0" w:evenVBand="0" w:oddHBand="0" w:evenHBand="0" w:firstRowFirstColumn="0" w:firstRowLastColumn="0" w:lastRowFirstColumn="0" w:lastRowLastColumn="0"/>
            </w:pPr>
          </w:p>
        </w:tc>
      </w:tr>
    </w:tbl>
    <w:tbl>
      <w:tblPr>
        <w:tblStyle w:val="Grilledutableau"/>
        <w:tblW w:w="4963" w:type="pct"/>
        <w:tblLook w:val="0480" w:firstRow="0" w:lastRow="0" w:firstColumn="1" w:lastColumn="0" w:noHBand="0" w:noVBand="1"/>
      </w:tblPr>
      <w:tblGrid>
        <w:gridCol w:w="9062"/>
      </w:tblGrid>
      <w:tr w:rsidR="00C2498B" w:rsidRPr="0093672E" w14:paraId="7A8B28D8" w14:textId="77777777" w:rsidTr="00C2498B">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1" w:themeFillShade="D9"/>
          </w:tcPr>
          <w:p w14:paraId="6777D09E" w14:textId="77777777" w:rsidR="00C2498B" w:rsidRPr="0093672E" w:rsidRDefault="00C2498B" w:rsidP="00F763B9">
            <w:pPr>
              <w:pStyle w:val="Intertitre"/>
              <w:rPr>
                <w:rStyle w:val="lev"/>
              </w:rPr>
            </w:pPr>
            <w:r w:rsidRPr="0093672E">
              <w:rPr>
                <w:rStyle w:val="lev"/>
              </w:rPr>
              <w:t>Renseignements administratifs</w:t>
            </w:r>
          </w:p>
        </w:tc>
      </w:tr>
    </w:tbl>
    <w:tbl>
      <w:tblPr>
        <w:tblStyle w:val="ae"/>
        <w:tblW w:w="91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80" w:firstRow="0" w:lastRow="0" w:firstColumn="1" w:lastColumn="0" w:noHBand="0" w:noVBand="1"/>
      </w:tblPr>
      <w:tblGrid>
        <w:gridCol w:w="3893"/>
        <w:gridCol w:w="5237"/>
      </w:tblGrid>
      <w:tr w:rsidR="00A75BD0" w14:paraId="13E06CB8" w14:textId="77777777" w:rsidTr="0BA40188">
        <w:tc>
          <w:tcPr>
            <w:cnfStyle w:val="001000000000" w:firstRow="0" w:lastRow="0" w:firstColumn="1" w:lastColumn="0" w:oddVBand="0" w:evenVBand="0" w:oddHBand="0" w:evenHBand="0" w:firstRowFirstColumn="0" w:firstRowLastColumn="0" w:lastRowFirstColumn="0" w:lastRowLastColumn="0"/>
            <w:tcW w:w="3893" w:type="dxa"/>
          </w:tcPr>
          <w:p w14:paraId="6C86B55F" w14:textId="77777777" w:rsidR="00A75BD0" w:rsidRDefault="009D4DA5">
            <w:r>
              <w:t>Laboratoires</w:t>
            </w:r>
          </w:p>
        </w:tc>
        <w:tc>
          <w:tcPr>
            <w:tcW w:w="5237" w:type="dxa"/>
          </w:tcPr>
          <w:p w14:paraId="06E8F028" w14:textId="77777777" w:rsidR="00A75BD0" w:rsidRDefault="009D4DA5">
            <w:pPr>
              <w:cnfStyle w:val="000000000000" w:firstRow="0" w:lastRow="0" w:firstColumn="0" w:lastColumn="0" w:oddVBand="0" w:evenVBand="0" w:oddHBand="0" w:evenHBand="0" w:firstRowFirstColumn="0" w:firstRowLastColumn="0" w:lastRowFirstColumn="0" w:lastRowLastColumn="0"/>
            </w:pPr>
            <w:r w:rsidRPr="0BA40188">
              <w:rPr>
                <w:lang w:val="fr-FR"/>
              </w:rPr>
              <w:t xml:space="preserve">L’ensemble des laboratoires exploitant AVASTIN et les spécialités biosimilaires à base de bevacizumab : Roche, Pfizer, Celltrion Healthcare, Amgen, Biocon Biologics, Organon,      </w:t>
            </w:r>
          </w:p>
          <w:p w14:paraId="3151DEB6" w14:textId="77777777" w:rsidR="00A75BD0" w:rsidRDefault="009D4DA5">
            <w:pPr>
              <w:cnfStyle w:val="000000000000" w:firstRow="0" w:lastRow="0" w:firstColumn="0" w:lastColumn="0" w:oddVBand="0" w:evenVBand="0" w:oddHBand="0" w:evenHBand="0" w:firstRowFirstColumn="0" w:firstRowLastColumn="0" w:lastRowFirstColumn="0" w:lastRowLastColumn="0"/>
            </w:pPr>
            <w:r w:rsidRPr="0BA40188">
              <w:rPr>
                <w:lang w:val="fr-FR"/>
              </w:rPr>
              <w:t>Cellule CPC      bevacizumab - ICTA pour le compte des laboratoires concernés</w:t>
            </w:r>
          </w:p>
          <w:p w14:paraId="2CD9BE17" w14:textId="77777777" w:rsidR="00A75BD0" w:rsidRDefault="009D4DA5">
            <w:pPr>
              <w:cnfStyle w:val="000000000000" w:firstRow="0" w:lastRow="0" w:firstColumn="0" w:lastColumn="0" w:oddVBand="0" w:evenVBand="0" w:oddHBand="0" w:evenHBand="0" w:firstRowFirstColumn="0" w:firstRowLastColumn="0" w:lastRowFirstColumn="0" w:lastRowLastColumn="0"/>
            </w:pPr>
            <w:r>
              <w:t>Tel : +33 (0) 80 53 40 00</w:t>
            </w:r>
          </w:p>
          <w:p w14:paraId="385E4741" w14:textId="77777777" w:rsidR="00A75BD0" w:rsidRDefault="009D4DA5">
            <w:pPr>
              <w:cnfStyle w:val="000000000000" w:firstRow="0" w:lastRow="0" w:firstColumn="0" w:lastColumn="0" w:oddVBand="0" w:evenVBand="0" w:oddHBand="0" w:evenHBand="0" w:firstRowFirstColumn="0" w:firstRowLastColumn="0" w:lastRowFirstColumn="0" w:lastRowLastColumn="0"/>
            </w:pPr>
            <w:r>
              <w:t>Courriel : CPC_BEVACIZUMAB@icta.fr</w:t>
            </w:r>
          </w:p>
        </w:tc>
      </w:tr>
      <w:tr w:rsidR="00A75BD0" w14:paraId="5FECB3A5" w14:textId="77777777" w:rsidTr="0BA40188">
        <w:trPr>
          <w:trHeight w:val="389"/>
        </w:trPr>
        <w:tc>
          <w:tcPr>
            <w:cnfStyle w:val="001000000000" w:firstRow="0" w:lastRow="0" w:firstColumn="1" w:lastColumn="0" w:oddVBand="0" w:evenVBand="0" w:oddHBand="0" w:evenHBand="0" w:firstRowFirstColumn="0" w:firstRowLastColumn="0" w:lastRowFirstColumn="0" w:lastRowLastColumn="0"/>
            <w:tcW w:w="3893" w:type="dxa"/>
          </w:tcPr>
          <w:p w14:paraId="23B79C19" w14:textId="77777777" w:rsidR="00A75BD0" w:rsidRDefault="009D4DA5">
            <w:r>
              <w:t xml:space="preserve">Contact à l’ANSM </w:t>
            </w:r>
          </w:p>
        </w:tc>
        <w:tc>
          <w:tcPr>
            <w:tcW w:w="5237" w:type="dxa"/>
          </w:tcPr>
          <w:p w14:paraId="55EC28F9" w14:textId="77777777" w:rsidR="00A75BD0" w:rsidRDefault="009D4DA5">
            <w:pPr>
              <w:cnfStyle w:val="000000000000" w:firstRow="0" w:lastRow="0" w:firstColumn="0" w:lastColumn="0" w:oddVBand="0" w:evenVBand="0" w:oddHBand="0" w:evenHBand="0" w:firstRowFirstColumn="0" w:firstRowLastColumn="0" w:lastRowFirstColumn="0" w:lastRowLastColumn="0"/>
            </w:pPr>
            <w:r>
              <w:t>cpc@ansm.sante.fr</w:t>
            </w:r>
          </w:p>
        </w:tc>
      </w:tr>
      <w:tr w:rsidR="00A75BD0" w14:paraId="6119BABC" w14:textId="77777777" w:rsidTr="0BA40188">
        <w:trPr>
          <w:trHeight w:val="1183"/>
        </w:trPr>
        <w:tc>
          <w:tcPr>
            <w:cnfStyle w:val="001000000000" w:firstRow="0" w:lastRow="0" w:firstColumn="1" w:lastColumn="0" w:oddVBand="0" w:evenVBand="0" w:oddHBand="0" w:evenHBand="0" w:firstRowFirstColumn="0" w:firstRowLastColumn="0" w:lastRowFirstColumn="0" w:lastRowLastColumn="0"/>
            <w:tcW w:w="3893" w:type="dxa"/>
          </w:tcPr>
          <w:p w14:paraId="16B49CF5" w14:textId="77777777" w:rsidR="00A75BD0" w:rsidRDefault="009D4DA5">
            <w:r>
              <w:t xml:space="preserve">CRPV en charge du suivi du cadre de prescription compassionnelle, le cas échéant </w:t>
            </w:r>
          </w:p>
        </w:tc>
        <w:tc>
          <w:tcPr>
            <w:tcW w:w="5237" w:type="dxa"/>
          </w:tcPr>
          <w:p w14:paraId="29F61894" w14:textId="77777777" w:rsidR="00A75BD0" w:rsidRDefault="009D4DA5">
            <w:pPr>
              <w:cnfStyle w:val="000000000000" w:firstRow="0" w:lastRow="0" w:firstColumn="0" w:lastColumn="0" w:oddVBand="0" w:evenVBand="0" w:oddHBand="0" w:evenHBand="0" w:firstRowFirstColumn="0" w:firstRowLastColumn="0" w:lastRowFirstColumn="0" w:lastRowLastColumn="0"/>
            </w:pPr>
            <w:r>
              <w:t>CRPV de Lyon</w:t>
            </w:r>
          </w:p>
        </w:tc>
      </w:tr>
    </w:tbl>
    <w:p w14:paraId="331D9763" w14:textId="77777777" w:rsidR="00A75BD0" w:rsidRDefault="00A75BD0">
      <w:pPr>
        <w:pStyle w:val="Titre1"/>
        <w:spacing w:before="74"/>
        <w:ind w:right="305"/>
        <w:jc w:val="center"/>
        <w:rPr>
          <w:rFonts w:ascii="Arial" w:eastAsia="Arial" w:hAnsi="Arial" w:cs="Arial"/>
          <w:sz w:val="20"/>
          <w:szCs w:val="20"/>
        </w:rPr>
      </w:pPr>
    </w:p>
    <w:p w14:paraId="114589AF" w14:textId="30ABF97B" w:rsidR="00A75BD0" w:rsidRDefault="00C2498B">
      <w:pPr>
        <w:rPr>
          <w:b/>
        </w:rPr>
      </w:pPr>
      <w:r>
        <w:t xml:space="preserve">Dernière date de mise à jour : </w:t>
      </w:r>
      <w:r w:rsidR="00BE5B15">
        <w:t>Janvier 2026</w:t>
      </w:r>
      <w:r w:rsidR="009D4DA5">
        <w:br w:type="page"/>
      </w:r>
    </w:p>
    <w:p w14:paraId="33BFB473" w14:textId="77777777" w:rsidR="00A75BD0" w:rsidRDefault="009D4DA5">
      <w:pPr>
        <w:rPr>
          <w:rFonts w:ascii="Arial Narrow" w:eastAsia="Arial Narrow" w:hAnsi="Arial Narrow" w:cs="Arial Narrow"/>
          <w:b/>
          <w:sz w:val="32"/>
          <w:szCs w:val="32"/>
        </w:rPr>
      </w:pPr>
      <w:r>
        <w:rPr>
          <w:rFonts w:ascii="Arial Narrow" w:eastAsia="Arial Narrow" w:hAnsi="Arial Narrow" w:cs="Arial Narrow"/>
          <w:b/>
          <w:sz w:val="32"/>
          <w:szCs w:val="32"/>
        </w:rPr>
        <w:lastRenderedPageBreak/>
        <w:t>Sommaire</w:t>
      </w:r>
    </w:p>
    <w:p w14:paraId="5C7A6A41" w14:textId="77777777" w:rsidR="00A75BD0" w:rsidRDefault="00A75BD0"/>
    <w:sdt>
      <w:sdtPr>
        <w:id w:val="605895457"/>
        <w:docPartObj>
          <w:docPartGallery w:val="Table of Contents"/>
          <w:docPartUnique/>
        </w:docPartObj>
      </w:sdtPr>
      <w:sdtEndPr/>
      <w:sdtContent>
        <w:p w14:paraId="5F4B2E95" w14:textId="77777777" w:rsidR="00A75BD0" w:rsidRDefault="009D4DA5">
          <w:pPr>
            <w:keepLines/>
            <w:pBdr>
              <w:top w:val="nil"/>
              <w:left w:val="nil"/>
              <w:bottom w:val="nil"/>
              <w:right w:val="nil"/>
              <w:between w:val="nil"/>
            </w:pBdr>
            <w:tabs>
              <w:tab w:val="left" w:pos="660"/>
              <w:tab w:val="right" w:pos="9062"/>
            </w:tabs>
            <w:spacing w:before="120" w:after="0" w:line="240" w:lineRule="auto"/>
            <w:jc w:val="both"/>
            <w:rPr>
              <w:rFonts w:ascii="Imago" w:eastAsia="Imago" w:hAnsi="Imago" w:cs="Imago"/>
              <w:color w:val="000000"/>
              <w:sz w:val="24"/>
              <w:szCs w:val="24"/>
            </w:rPr>
          </w:pPr>
          <w:r>
            <w:fldChar w:fldCharType="begin"/>
          </w:r>
          <w:r>
            <w:instrText xml:space="preserve"> TOC \h \u \z \t "Heading 1,1,Heading 2,2,Heading 3,3,"</w:instrText>
          </w:r>
          <w:r>
            <w:fldChar w:fldCharType="separate"/>
          </w:r>
          <w:hyperlink w:anchor="_heading=h.30j0zll">
            <w:r>
              <w:rPr>
                <w:rFonts w:ascii="Arial Narrow" w:eastAsia="Arial Narrow" w:hAnsi="Arial Narrow" w:cs="Arial Narrow"/>
                <w:b/>
                <w:color w:val="000000"/>
                <w:sz w:val="24"/>
                <w:szCs w:val="24"/>
              </w:rPr>
              <w:t>1.</w:t>
            </w:r>
          </w:hyperlink>
          <w:hyperlink w:anchor="_heading=h.30j0zll">
            <w:r>
              <w:rPr>
                <w:rFonts w:ascii="Imago" w:eastAsia="Imago" w:hAnsi="Imago" w:cs="Imago"/>
                <w:color w:val="000000"/>
                <w:sz w:val="24"/>
                <w:szCs w:val="24"/>
              </w:rPr>
              <w:tab/>
            </w:r>
          </w:hyperlink>
          <w:r>
            <w:fldChar w:fldCharType="begin"/>
          </w:r>
          <w:r>
            <w:instrText xml:space="preserve"> PAGEREF _heading=h.30j0zll \h </w:instrText>
          </w:r>
          <w:r>
            <w:fldChar w:fldCharType="separate"/>
          </w:r>
          <w:r>
            <w:rPr>
              <w:rFonts w:ascii="Arial Narrow" w:eastAsia="Arial Narrow" w:hAnsi="Arial Narrow" w:cs="Arial Narrow"/>
              <w:b/>
              <w:color w:val="000000"/>
              <w:sz w:val="24"/>
              <w:szCs w:val="24"/>
            </w:rPr>
            <w:t>LE(S) MEDICAMENT(S)</w:t>
          </w:r>
          <w:r>
            <w:rPr>
              <w:rFonts w:ascii="Imago" w:eastAsia="Imago" w:hAnsi="Imago" w:cs="Imago"/>
              <w:color w:val="000000"/>
              <w:sz w:val="24"/>
              <w:szCs w:val="24"/>
            </w:rPr>
            <w:tab/>
            <w:t>4</w:t>
          </w:r>
        </w:p>
        <w:p w14:paraId="6246E457" w14:textId="77777777" w:rsidR="00A75BD0" w:rsidRDefault="009D4DA5">
          <w:pPr>
            <w:keepLines/>
            <w:pBdr>
              <w:top w:val="nil"/>
              <w:left w:val="nil"/>
              <w:bottom w:val="nil"/>
              <w:right w:val="nil"/>
              <w:between w:val="nil"/>
            </w:pBdr>
            <w:tabs>
              <w:tab w:val="left" w:pos="660"/>
              <w:tab w:val="right" w:pos="9062"/>
            </w:tabs>
            <w:spacing w:before="120" w:after="0" w:line="240" w:lineRule="auto"/>
            <w:jc w:val="both"/>
            <w:rPr>
              <w:rFonts w:ascii="Imago" w:eastAsia="Imago" w:hAnsi="Imago" w:cs="Imago"/>
              <w:color w:val="000000"/>
              <w:sz w:val="24"/>
              <w:szCs w:val="24"/>
            </w:rPr>
          </w:pPr>
          <w:r>
            <w:fldChar w:fldCharType="end"/>
          </w:r>
          <w:hyperlink w:anchor="_heading=h.2et92p0">
            <w:r>
              <w:rPr>
                <w:rFonts w:ascii="Arial Narrow" w:eastAsia="Arial Narrow" w:hAnsi="Arial Narrow" w:cs="Arial Narrow"/>
                <w:b/>
                <w:color w:val="000000"/>
                <w:sz w:val="24"/>
                <w:szCs w:val="24"/>
              </w:rPr>
              <w:t>2.</w:t>
            </w:r>
          </w:hyperlink>
          <w:hyperlink w:anchor="_heading=h.2et92p0">
            <w:r>
              <w:rPr>
                <w:rFonts w:ascii="Imago" w:eastAsia="Imago" w:hAnsi="Imago" w:cs="Imago"/>
                <w:color w:val="000000"/>
                <w:sz w:val="24"/>
                <w:szCs w:val="24"/>
              </w:rPr>
              <w:tab/>
            </w:r>
          </w:hyperlink>
          <w:r>
            <w:fldChar w:fldCharType="begin"/>
          </w:r>
          <w:r>
            <w:instrText xml:space="preserve"> PAGEREF _heading=h.2et92p0 \h </w:instrText>
          </w:r>
          <w:r>
            <w:fldChar w:fldCharType="separate"/>
          </w:r>
          <w:r>
            <w:rPr>
              <w:rFonts w:ascii="Arial Narrow" w:eastAsia="Arial Narrow" w:hAnsi="Arial Narrow" w:cs="Arial Narrow"/>
              <w:b/>
              <w:color w:val="000000"/>
              <w:sz w:val="24"/>
              <w:szCs w:val="24"/>
            </w:rPr>
            <w:t>MODALITES PRATIQUES DE SUIVI DES PATIENTS TRAITES</w:t>
          </w:r>
          <w:r>
            <w:rPr>
              <w:rFonts w:ascii="Imago" w:eastAsia="Imago" w:hAnsi="Imago" w:cs="Imago"/>
              <w:color w:val="000000"/>
              <w:sz w:val="24"/>
              <w:szCs w:val="24"/>
            </w:rPr>
            <w:tab/>
            <w:t>9</w:t>
          </w:r>
        </w:p>
        <w:p w14:paraId="54B2D21E" w14:textId="77777777" w:rsidR="00A75BD0" w:rsidRDefault="009D4DA5">
          <w:pPr>
            <w:keepLines/>
            <w:pBdr>
              <w:top w:val="nil"/>
              <w:left w:val="nil"/>
              <w:bottom w:val="nil"/>
              <w:right w:val="nil"/>
              <w:between w:val="nil"/>
            </w:pBdr>
            <w:tabs>
              <w:tab w:val="right" w:pos="9062"/>
            </w:tabs>
            <w:spacing w:before="120" w:after="0" w:line="240" w:lineRule="auto"/>
            <w:jc w:val="both"/>
            <w:rPr>
              <w:rFonts w:ascii="Imago" w:eastAsia="Imago" w:hAnsi="Imago" w:cs="Imago"/>
              <w:color w:val="000000"/>
              <w:sz w:val="24"/>
              <w:szCs w:val="24"/>
            </w:rPr>
          </w:pPr>
          <w:r>
            <w:fldChar w:fldCharType="end"/>
          </w:r>
          <w:hyperlink w:anchor="_heading=h.tyjcwt">
            <w:r>
              <w:rPr>
                <w:rFonts w:ascii="Arial Narrow" w:eastAsia="Arial Narrow" w:hAnsi="Arial Narrow" w:cs="Arial Narrow"/>
                <w:b/>
                <w:color w:val="000000"/>
                <w:sz w:val="24"/>
                <w:szCs w:val="24"/>
              </w:rPr>
              <w:t>Note d’information destinée aux professionnels de santé intervenant dans le CPC</w:t>
            </w:r>
          </w:hyperlink>
          <w:hyperlink w:anchor="_heading=h.tyjcwt">
            <w:r>
              <w:rPr>
                <w:rFonts w:ascii="Imago" w:eastAsia="Imago" w:hAnsi="Imago" w:cs="Imago"/>
                <w:color w:val="000000"/>
                <w:sz w:val="24"/>
                <w:szCs w:val="24"/>
              </w:rPr>
              <w:tab/>
            </w:r>
          </w:hyperlink>
          <w:r>
            <w:rPr>
              <w:rFonts w:ascii="Imago" w:eastAsia="Imago" w:hAnsi="Imago" w:cs="Imago"/>
              <w:color w:val="000000"/>
              <w:sz w:val="24"/>
              <w:szCs w:val="24"/>
            </w:rPr>
            <w:t>11</w:t>
          </w:r>
        </w:p>
        <w:p w14:paraId="6B33B40B" w14:textId="77777777" w:rsidR="00A75BD0" w:rsidRDefault="008853BF">
          <w:pPr>
            <w:keepLines/>
            <w:pBdr>
              <w:top w:val="nil"/>
              <w:left w:val="nil"/>
              <w:bottom w:val="nil"/>
              <w:right w:val="nil"/>
              <w:between w:val="nil"/>
            </w:pBdr>
            <w:tabs>
              <w:tab w:val="left" w:pos="660"/>
              <w:tab w:val="right" w:pos="9062"/>
            </w:tabs>
            <w:spacing w:before="120" w:after="0" w:line="240" w:lineRule="auto"/>
            <w:jc w:val="both"/>
            <w:rPr>
              <w:rFonts w:ascii="Imago" w:eastAsia="Imago" w:hAnsi="Imago" w:cs="Imago"/>
              <w:color w:val="000000"/>
              <w:sz w:val="24"/>
              <w:szCs w:val="24"/>
            </w:rPr>
          </w:pPr>
          <w:hyperlink w:anchor="_heading=h.1t3h5sf">
            <w:r w:rsidR="009D4DA5">
              <w:rPr>
                <w:rFonts w:ascii="Arial Narrow" w:eastAsia="Arial Narrow" w:hAnsi="Arial Narrow" w:cs="Arial Narrow"/>
                <w:b/>
                <w:color w:val="000000"/>
                <w:sz w:val="24"/>
                <w:szCs w:val="24"/>
              </w:rPr>
              <w:t>3.</w:t>
            </w:r>
          </w:hyperlink>
          <w:hyperlink w:anchor="_heading=h.1t3h5sf">
            <w:r w:rsidR="009D4DA5">
              <w:rPr>
                <w:rFonts w:ascii="Imago" w:eastAsia="Imago" w:hAnsi="Imago" w:cs="Imago"/>
                <w:color w:val="000000"/>
                <w:sz w:val="24"/>
                <w:szCs w:val="24"/>
              </w:rPr>
              <w:tab/>
            </w:r>
          </w:hyperlink>
          <w:r w:rsidR="009D4DA5">
            <w:fldChar w:fldCharType="begin"/>
          </w:r>
          <w:r w:rsidR="009D4DA5">
            <w:instrText xml:space="preserve"> PAGEREF _heading=h.1t3h5sf \h </w:instrText>
          </w:r>
          <w:r w:rsidR="009D4DA5">
            <w:fldChar w:fldCharType="separate"/>
          </w:r>
          <w:r w:rsidR="009D4DA5">
            <w:rPr>
              <w:rFonts w:ascii="Arial Narrow" w:eastAsia="Arial Narrow" w:hAnsi="Arial Narrow" w:cs="Arial Narrow"/>
              <w:b/>
              <w:color w:val="000000"/>
              <w:sz w:val="24"/>
              <w:szCs w:val="24"/>
            </w:rPr>
            <w:t>ANNEXES</w:t>
          </w:r>
          <w:r w:rsidR="009D4DA5">
            <w:rPr>
              <w:rFonts w:ascii="Imago" w:eastAsia="Imago" w:hAnsi="Imago" w:cs="Imago"/>
              <w:color w:val="000000"/>
              <w:sz w:val="24"/>
              <w:szCs w:val="24"/>
            </w:rPr>
            <w:tab/>
            <w:t>9</w:t>
          </w:r>
        </w:p>
        <w:p w14:paraId="398F0075" w14:textId="77777777" w:rsidR="00A75BD0" w:rsidRDefault="009D4DA5">
          <w:pPr>
            <w:keepLines/>
            <w:pBdr>
              <w:top w:val="nil"/>
              <w:left w:val="nil"/>
              <w:bottom w:val="nil"/>
              <w:right w:val="nil"/>
              <w:between w:val="nil"/>
            </w:pBdr>
            <w:tabs>
              <w:tab w:val="right" w:pos="9062"/>
            </w:tabs>
            <w:spacing w:before="120" w:after="0" w:line="240" w:lineRule="auto"/>
            <w:jc w:val="both"/>
            <w:rPr>
              <w:rFonts w:ascii="Arial Narrow" w:eastAsia="Arial Narrow" w:hAnsi="Arial Narrow" w:cs="Arial Narrow"/>
              <w:color w:val="000000"/>
              <w:sz w:val="24"/>
              <w:szCs w:val="24"/>
            </w:rPr>
          </w:pPr>
          <w:r>
            <w:fldChar w:fldCharType="end"/>
          </w:r>
          <w:r>
            <w:rPr>
              <w:rFonts w:ascii="Arial Narrow" w:eastAsia="Arial Narrow" w:hAnsi="Arial Narrow" w:cs="Arial Narrow"/>
              <w:color w:val="000000"/>
              <w:sz w:val="24"/>
              <w:szCs w:val="24"/>
            </w:rPr>
            <w:t xml:space="preserve">ANNEXE 1 : Fiches d’initiation et de suivi des patients et de collecte de données </w:t>
          </w:r>
          <w:hyperlink w:anchor="_heading=h.4d34og8">
            <w:r>
              <w:rPr>
                <w:rFonts w:ascii="Arial Narrow" w:eastAsia="Arial Narrow" w:hAnsi="Arial Narrow" w:cs="Arial Narrow"/>
                <w:color w:val="000000"/>
                <w:sz w:val="24"/>
                <w:szCs w:val="24"/>
              </w:rPr>
              <w:tab/>
            </w:r>
          </w:hyperlink>
          <w:r>
            <w:rPr>
              <w:rFonts w:ascii="Arial Narrow" w:eastAsia="Arial Narrow" w:hAnsi="Arial Narrow" w:cs="Arial Narrow"/>
              <w:color w:val="000000"/>
              <w:sz w:val="24"/>
              <w:szCs w:val="24"/>
            </w:rPr>
            <w:t>13</w:t>
          </w:r>
        </w:p>
        <w:p w14:paraId="3E116916" w14:textId="77777777" w:rsidR="00A75BD0" w:rsidRDefault="008853BF">
          <w:pPr>
            <w:keepLines/>
            <w:pBdr>
              <w:top w:val="nil"/>
              <w:left w:val="nil"/>
              <w:bottom w:val="nil"/>
              <w:right w:val="nil"/>
              <w:between w:val="nil"/>
            </w:pBdr>
            <w:tabs>
              <w:tab w:val="right" w:pos="9062"/>
            </w:tabs>
            <w:spacing w:before="120" w:after="0" w:line="240" w:lineRule="auto"/>
            <w:jc w:val="both"/>
            <w:rPr>
              <w:rFonts w:ascii="Arial Narrow" w:eastAsia="Arial Narrow" w:hAnsi="Arial Narrow" w:cs="Arial Narrow"/>
              <w:color w:val="000000"/>
              <w:sz w:val="24"/>
              <w:szCs w:val="24"/>
            </w:rPr>
          </w:pPr>
          <w:hyperlink w:anchor="_heading=h.17dp8vu">
            <w:r w:rsidR="009D4DA5">
              <w:rPr>
                <w:rFonts w:ascii="Arial Narrow" w:eastAsia="Arial Narrow" w:hAnsi="Arial Narrow" w:cs="Arial Narrow"/>
                <w:color w:val="000000"/>
                <w:sz w:val="24"/>
                <w:szCs w:val="24"/>
              </w:rPr>
              <w:t>ANNEXE 2 : Argumentaire et Références bibliographiques</w:t>
            </w:r>
            <w:r w:rsidR="009D4DA5">
              <w:rPr>
                <w:rFonts w:ascii="Arial Narrow" w:eastAsia="Arial Narrow" w:hAnsi="Arial Narrow" w:cs="Arial Narrow"/>
                <w:color w:val="000000"/>
                <w:sz w:val="24"/>
                <w:szCs w:val="24"/>
              </w:rPr>
              <w:tab/>
              <w:t>1</w:t>
            </w:r>
          </w:hyperlink>
          <w:r w:rsidR="009D4DA5">
            <w:rPr>
              <w:rFonts w:ascii="Arial Narrow" w:eastAsia="Arial Narrow" w:hAnsi="Arial Narrow" w:cs="Arial Narrow"/>
              <w:color w:val="000000"/>
              <w:sz w:val="24"/>
              <w:szCs w:val="24"/>
            </w:rPr>
            <w:t>5</w:t>
          </w:r>
        </w:p>
        <w:p w14:paraId="3CF95000" w14:textId="77777777" w:rsidR="00A75BD0" w:rsidRDefault="008853BF">
          <w:pPr>
            <w:keepLines/>
            <w:pBdr>
              <w:top w:val="nil"/>
              <w:left w:val="nil"/>
              <w:bottom w:val="nil"/>
              <w:right w:val="nil"/>
              <w:between w:val="nil"/>
            </w:pBdr>
            <w:tabs>
              <w:tab w:val="right" w:pos="9062"/>
            </w:tabs>
            <w:spacing w:before="120" w:after="0" w:line="240" w:lineRule="auto"/>
            <w:jc w:val="both"/>
            <w:rPr>
              <w:rFonts w:ascii="Arial Narrow" w:eastAsia="Arial Narrow" w:hAnsi="Arial Narrow" w:cs="Arial Narrow"/>
              <w:color w:val="000000"/>
              <w:sz w:val="24"/>
              <w:szCs w:val="24"/>
            </w:rPr>
          </w:pPr>
          <w:hyperlink w:anchor="_heading=h.3rdcrjn">
            <w:r w:rsidR="009D4DA5">
              <w:rPr>
                <w:rFonts w:ascii="Arial Narrow" w:eastAsia="Arial Narrow" w:hAnsi="Arial Narrow" w:cs="Arial Narrow"/>
                <w:color w:val="000000"/>
                <w:sz w:val="24"/>
                <w:szCs w:val="24"/>
              </w:rPr>
              <w:t>ANNEXE 3 : Note d’information destinée aux patients bénéficiant d’un médicament dans un cadre de prescription compassionnelle</w:t>
            </w:r>
            <w:r w:rsidR="009D4DA5">
              <w:rPr>
                <w:rFonts w:ascii="Arial Narrow" w:eastAsia="Arial Narrow" w:hAnsi="Arial Narrow" w:cs="Arial Narrow"/>
                <w:color w:val="000000"/>
                <w:sz w:val="24"/>
                <w:szCs w:val="24"/>
              </w:rPr>
              <w:tab/>
            </w:r>
          </w:hyperlink>
          <w:r w:rsidR="009D4DA5">
            <w:rPr>
              <w:rFonts w:ascii="Arial Narrow" w:eastAsia="Arial Narrow" w:hAnsi="Arial Narrow" w:cs="Arial Narrow"/>
              <w:color w:val="000000"/>
              <w:sz w:val="24"/>
              <w:szCs w:val="24"/>
            </w:rPr>
            <w:t>28</w:t>
          </w:r>
        </w:p>
        <w:p w14:paraId="437EF621" w14:textId="77777777" w:rsidR="00A75BD0" w:rsidRDefault="008853BF">
          <w:pPr>
            <w:keepLines/>
            <w:pBdr>
              <w:top w:val="nil"/>
              <w:left w:val="nil"/>
              <w:bottom w:val="nil"/>
              <w:right w:val="nil"/>
              <w:between w:val="nil"/>
            </w:pBdr>
            <w:tabs>
              <w:tab w:val="right" w:pos="9062"/>
            </w:tabs>
            <w:spacing w:before="120" w:after="0" w:line="240" w:lineRule="auto"/>
            <w:jc w:val="both"/>
            <w:rPr>
              <w:rFonts w:ascii="Arial Narrow" w:eastAsia="Arial Narrow" w:hAnsi="Arial Narrow" w:cs="Arial Narrow"/>
              <w:color w:val="000000"/>
              <w:sz w:val="24"/>
              <w:szCs w:val="24"/>
            </w:rPr>
          </w:pPr>
          <w:hyperlink w:anchor="_heading=h.26in1rg">
            <w:r w:rsidR="009D4DA5">
              <w:rPr>
                <w:rFonts w:ascii="Arial Narrow" w:eastAsia="Arial Narrow" w:hAnsi="Arial Narrow" w:cs="Arial Narrow"/>
                <w:color w:val="000000"/>
                <w:sz w:val="24"/>
                <w:szCs w:val="24"/>
              </w:rPr>
              <w:t>ANNEXE 4 : Note d’information sur le traitement des données personnelles</w:t>
            </w:r>
          </w:hyperlink>
          <w:r w:rsidR="009D4DA5">
            <w:rPr>
              <w:rFonts w:ascii="Arial Narrow" w:eastAsia="Arial Narrow" w:hAnsi="Arial Narrow" w:cs="Arial Narrow"/>
              <w:color w:val="000000"/>
              <w:sz w:val="24"/>
              <w:szCs w:val="24"/>
            </w:rPr>
            <w:tab/>
            <w:t>31</w:t>
          </w:r>
        </w:p>
        <w:p w14:paraId="78B51991" w14:textId="77777777" w:rsidR="00A75BD0" w:rsidRDefault="008853BF">
          <w:pPr>
            <w:keepLines/>
            <w:pBdr>
              <w:top w:val="nil"/>
              <w:left w:val="nil"/>
              <w:bottom w:val="nil"/>
              <w:right w:val="nil"/>
              <w:between w:val="nil"/>
            </w:pBdr>
            <w:tabs>
              <w:tab w:val="right" w:pos="9062"/>
            </w:tabs>
            <w:spacing w:before="120" w:after="0" w:line="240" w:lineRule="auto"/>
            <w:jc w:val="both"/>
            <w:rPr>
              <w:rFonts w:ascii="Arial Narrow" w:eastAsia="Arial Narrow" w:hAnsi="Arial Narrow" w:cs="Arial Narrow"/>
              <w:color w:val="000000"/>
              <w:sz w:val="24"/>
              <w:szCs w:val="24"/>
            </w:rPr>
          </w:pPr>
          <w:hyperlink w:anchor="_heading=h.lnxbz9">
            <w:r w:rsidR="009D4DA5">
              <w:rPr>
                <w:rFonts w:ascii="Arial Narrow" w:eastAsia="Arial Narrow" w:hAnsi="Arial Narrow" w:cs="Arial Narrow"/>
                <w:color w:val="000000"/>
                <w:sz w:val="24"/>
                <w:szCs w:val="24"/>
              </w:rPr>
              <w:t>ANNEXE 5 : Rappel des modalités de déclaration des effets indésirables</w:t>
            </w:r>
            <w:r w:rsidR="009D4DA5">
              <w:rPr>
                <w:rFonts w:ascii="Arial Narrow" w:eastAsia="Arial Narrow" w:hAnsi="Arial Narrow" w:cs="Arial Narrow"/>
                <w:color w:val="000000"/>
                <w:sz w:val="24"/>
                <w:szCs w:val="24"/>
              </w:rPr>
              <w:tab/>
            </w:r>
          </w:hyperlink>
          <w:r w:rsidR="009D4DA5">
            <w:rPr>
              <w:rFonts w:ascii="Arial Narrow" w:eastAsia="Arial Narrow" w:hAnsi="Arial Narrow" w:cs="Arial Narrow"/>
              <w:color w:val="000000"/>
              <w:sz w:val="24"/>
              <w:szCs w:val="24"/>
            </w:rPr>
            <w:t>38</w:t>
          </w:r>
        </w:p>
        <w:p w14:paraId="56A2B7C0" w14:textId="77777777" w:rsidR="00A75BD0" w:rsidRDefault="008853BF">
          <w:pPr>
            <w:keepLines/>
            <w:pBdr>
              <w:top w:val="nil"/>
              <w:left w:val="nil"/>
              <w:bottom w:val="nil"/>
              <w:right w:val="nil"/>
              <w:between w:val="nil"/>
            </w:pBdr>
            <w:tabs>
              <w:tab w:val="right" w:pos="9062"/>
            </w:tabs>
            <w:spacing w:before="120" w:after="0" w:line="240" w:lineRule="auto"/>
            <w:jc w:val="both"/>
            <w:rPr>
              <w:rFonts w:ascii="Arial Narrow" w:eastAsia="Arial Narrow" w:hAnsi="Arial Narrow" w:cs="Arial Narrow"/>
              <w:color w:val="000000"/>
              <w:sz w:val="24"/>
              <w:szCs w:val="24"/>
            </w:rPr>
          </w:pPr>
          <w:hyperlink w:anchor="_heading=h.35nkun2">
            <w:r w:rsidR="009D4DA5">
              <w:rPr>
                <w:rFonts w:ascii="Arial Narrow" w:eastAsia="Arial Narrow" w:hAnsi="Arial Narrow" w:cs="Arial Narrow"/>
                <w:color w:val="000000"/>
                <w:sz w:val="24"/>
                <w:szCs w:val="24"/>
              </w:rPr>
              <w:t>ANNEXE 6 : Disposition législatives et réglementaires relatives au CPC</w:t>
            </w:r>
            <w:r w:rsidR="009D4DA5">
              <w:rPr>
                <w:rFonts w:ascii="Arial Narrow" w:eastAsia="Arial Narrow" w:hAnsi="Arial Narrow" w:cs="Arial Narrow"/>
                <w:color w:val="000000"/>
                <w:sz w:val="24"/>
                <w:szCs w:val="24"/>
              </w:rPr>
              <w:tab/>
            </w:r>
          </w:hyperlink>
          <w:r w:rsidR="009D4DA5">
            <w:rPr>
              <w:rFonts w:ascii="Arial Narrow" w:eastAsia="Arial Narrow" w:hAnsi="Arial Narrow" w:cs="Arial Narrow"/>
              <w:color w:val="000000"/>
              <w:sz w:val="24"/>
              <w:szCs w:val="24"/>
            </w:rPr>
            <w:t>40</w:t>
          </w:r>
        </w:p>
        <w:p w14:paraId="3B702621" w14:textId="77777777" w:rsidR="00A75BD0" w:rsidRDefault="009D4DA5">
          <w:pPr>
            <w:keepLines/>
            <w:pBdr>
              <w:top w:val="nil"/>
              <w:left w:val="nil"/>
              <w:bottom w:val="nil"/>
              <w:right w:val="nil"/>
              <w:between w:val="nil"/>
            </w:pBdr>
            <w:tabs>
              <w:tab w:val="right" w:pos="9062"/>
            </w:tabs>
            <w:spacing w:before="120"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ANNEXE 7 : fiche de surveillance des epistaxis dans la maladie de Rendu Osler</w:t>
          </w:r>
          <w:r>
            <w:rPr>
              <w:rFonts w:ascii="Arial Narrow" w:eastAsia="Arial Narrow" w:hAnsi="Arial Narrow" w:cs="Arial Narrow"/>
              <w:color w:val="000000"/>
              <w:sz w:val="24"/>
              <w:szCs w:val="24"/>
            </w:rPr>
            <w:tab/>
            <w:t>42</w:t>
          </w:r>
        </w:p>
        <w:p w14:paraId="5873909C" w14:textId="77777777" w:rsidR="00A75BD0" w:rsidRDefault="009D4DA5">
          <w:pPr>
            <w:rPr>
              <w:rFonts w:ascii="Arial Narrow" w:eastAsia="Arial Narrow" w:hAnsi="Arial Narrow" w:cs="Arial Narrow"/>
            </w:rPr>
          </w:pPr>
          <w:r>
            <w:fldChar w:fldCharType="end"/>
          </w:r>
        </w:p>
      </w:sdtContent>
    </w:sdt>
    <w:p w14:paraId="647F9B98" w14:textId="77777777" w:rsidR="00A75BD0" w:rsidRDefault="00A75BD0">
      <w:pPr>
        <w:rPr>
          <w:rFonts w:ascii="Arial" w:eastAsia="Arial" w:hAnsi="Arial" w:cs="Arial"/>
          <w:b/>
          <w:smallCaps/>
          <w:sz w:val="20"/>
          <w:szCs w:val="20"/>
          <w:u w:val="single"/>
        </w:rPr>
      </w:pPr>
    </w:p>
    <w:p w14:paraId="0E80F7C7" w14:textId="77777777" w:rsidR="00A75BD0" w:rsidRDefault="009D4DA5">
      <w:pPr>
        <w:rPr>
          <w:rFonts w:ascii="Arial" w:eastAsia="Arial" w:hAnsi="Arial" w:cs="Arial"/>
          <w:b/>
          <w:smallCaps/>
          <w:sz w:val="20"/>
          <w:szCs w:val="20"/>
          <w:u w:val="single"/>
        </w:rPr>
      </w:pPr>
      <w:r>
        <w:br w:type="page"/>
      </w:r>
    </w:p>
    <w:p w14:paraId="04AE53CE" w14:textId="77777777" w:rsidR="00A75BD0" w:rsidRDefault="009D4DA5">
      <w:pPr>
        <w:rPr>
          <w:rFonts w:ascii="Arial" w:eastAsia="Arial" w:hAnsi="Arial" w:cs="Arial"/>
          <w:b/>
          <w:smallCaps/>
          <w:sz w:val="20"/>
          <w:szCs w:val="20"/>
          <w:u w:val="single"/>
        </w:rPr>
      </w:pPr>
      <w:r>
        <w:rPr>
          <w:rFonts w:ascii="Arial" w:eastAsia="Arial" w:hAnsi="Arial" w:cs="Arial"/>
          <w:b/>
          <w:smallCaps/>
          <w:sz w:val="20"/>
          <w:szCs w:val="20"/>
          <w:u w:val="single"/>
        </w:rPr>
        <w:lastRenderedPageBreak/>
        <w:t>ABREVIATIONS</w:t>
      </w:r>
      <w:r>
        <w:rPr>
          <w:rFonts w:ascii="Arial" w:eastAsia="Arial" w:hAnsi="Arial" w:cs="Arial"/>
          <w:b/>
          <w:smallCaps/>
          <w:sz w:val="20"/>
          <w:szCs w:val="20"/>
        </w:rPr>
        <w:t xml:space="preserve"> </w:t>
      </w:r>
    </w:p>
    <w:p w14:paraId="2ED1B664" w14:textId="77777777" w:rsidR="00A75BD0" w:rsidRDefault="009D4DA5">
      <w:pPr>
        <w:rPr>
          <w:rFonts w:ascii="Arial" w:eastAsia="Arial" w:hAnsi="Arial" w:cs="Arial"/>
          <w:sz w:val="20"/>
          <w:szCs w:val="20"/>
        </w:rPr>
      </w:pPr>
      <w:r>
        <w:rPr>
          <w:rFonts w:ascii="Arial" w:eastAsia="Arial" w:hAnsi="Arial" w:cs="Arial"/>
          <w:sz w:val="20"/>
          <w:szCs w:val="20"/>
        </w:rPr>
        <w:t>AAP : autorisation d’accès précoce</w:t>
      </w:r>
    </w:p>
    <w:p w14:paraId="3E4EE8C7" w14:textId="77777777" w:rsidR="00A75BD0" w:rsidRDefault="009D4DA5">
      <w:pPr>
        <w:rPr>
          <w:rFonts w:ascii="Arial" w:eastAsia="Arial" w:hAnsi="Arial" w:cs="Arial"/>
          <w:sz w:val="20"/>
          <w:szCs w:val="20"/>
        </w:rPr>
      </w:pPr>
      <w:r>
        <w:rPr>
          <w:rFonts w:ascii="Arial" w:eastAsia="Arial" w:hAnsi="Arial" w:cs="Arial"/>
          <w:sz w:val="20"/>
          <w:szCs w:val="20"/>
        </w:rPr>
        <w:t>AMM : autorisation de mise sur le marché</w:t>
      </w:r>
    </w:p>
    <w:p w14:paraId="7444FAF3" w14:textId="77777777" w:rsidR="00A75BD0" w:rsidRDefault="009D4DA5">
      <w:pPr>
        <w:rPr>
          <w:rFonts w:ascii="Arial" w:eastAsia="Arial" w:hAnsi="Arial" w:cs="Arial"/>
          <w:sz w:val="20"/>
          <w:szCs w:val="20"/>
        </w:rPr>
      </w:pPr>
      <w:r>
        <w:rPr>
          <w:rFonts w:ascii="Arial" w:eastAsia="Arial" w:hAnsi="Arial" w:cs="Arial"/>
          <w:sz w:val="20"/>
          <w:szCs w:val="20"/>
        </w:rPr>
        <w:t>ANSM : Agence nationale de sécurité du médicament et des produits de santé</w:t>
      </w:r>
    </w:p>
    <w:p w14:paraId="155C2242" w14:textId="77777777" w:rsidR="00A75BD0" w:rsidRDefault="009D4DA5">
      <w:pPr>
        <w:rPr>
          <w:rFonts w:ascii="Arial" w:eastAsia="Arial" w:hAnsi="Arial" w:cs="Arial"/>
          <w:sz w:val="20"/>
          <w:szCs w:val="20"/>
        </w:rPr>
      </w:pPr>
      <w:r>
        <w:rPr>
          <w:rFonts w:ascii="Arial" w:eastAsia="Arial" w:hAnsi="Arial" w:cs="Arial"/>
          <w:sz w:val="20"/>
          <w:szCs w:val="20"/>
        </w:rPr>
        <w:t>BDPM : base de données publique des médicaments</w:t>
      </w:r>
    </w:p>
    <w:p w14:paraId="0A9AF9B3" w14:textId="77777777" w:rsidR="00A75BD0" w:rsidRDefault="009D4DA5">
      <w:pPr>
        <w:rPr>
          <w:rFonts w:ascii="Arial" w:eastAsia="Arial" w:hAnsi="Arial" w:cs="Arial"/>
          <w:sz w:val="20"/>
          <w:szCs w:val="20"/>
        </w:rPr>
      </w:pPr>
      <w:r>
        <w:rPr>
          <w:rFonts w:ascii="Arial" w:eastAsia="Arial" w:hAnsi="Arial" w:cs="Arial"/>
          <w:sz w:val="20"/>
          <w:szCs w:val="20"/>
        </w:rPr>
        <w:t xml:space="preserve">CGR : concentré de globules rouges </w:t>
      </w:r>
    </w:p>
    <w:p w14:paraId="7669F295" w14:textId="77777777" w:rsidR="00A75BD0" w:rsidRDefault="009D4DA5">
      <w:pPr>
        <w:rPr>
          <w:rFonts w:ascii="Arial" w:eastAsia="Arial" w:hAnsi="Arial" w:cs="Arial"/>
          <w:sz w:val="20"/>
          <w:szCs w:val="20"/>
        </w:rPr>
      </w:pPr>
      <w:r>
        <w:rPr>
          <w:rFonts w:ascii="Arial" w:eastAsia="Arial" w:hAnsi="Arial" w:cs="Arial"/>
          <w:sz w:val="20"/>
          <w:szCs w:val="20"/>
        </w:rPr>
        <w:t>CNIL : Commission Nationale de l’Informatique et des Libertés</w:t>
      </w:r>
    </w:p>
    <w:p w14:paraId="598C44EC" w14:textId="77777777" w:rsidR="00A75BD0" w:rsidRDefault="009D4DA5">
      <w:pPr>
        <w:rPr>
          <w:rFonts w:ascii="Arial" w:eastAsia="Arial" w:hAnsi="Arial" w:cs="Arial"/>
          <w:sz w:val="20"/>
          <w:szCs w:val="20"/>
        </w:rPr>
      </w:pPr>
      <w:r>
        <w:rPr>
          <w:rFonts w:ascii="Arial" w:eastAsia="Arial" w:hAnsi="Arial" w:cs="Arial"/>
          <w:sz w:val="20"/>
          <w:szCs w:val="20"/>
        </w:rPr>
        <w:t>CPC : cadre de prescription compassionnelle</w:t>
      </w:r>
    </w:p>
    <w:p w14:paraId="753D093E" w14:textId="77777777" w:rsidR="00A75BD0" w:rsidRDefault="009D4DA5">
      <w:pPr>
        <w:rPr>
          <w:rFonts w:ascii="Arial" w:eastAsia="Arial" w:hAnsi="Arial" w:cs="Arial"/>
          <w:sz w:val="20"/>
          <w:szCs w:val="20"/>
        </w:rPr>
      </w:pPr>
      <w:r>
        <w:rPr>
          <w:rFonts w:ascii="Arial" w:eastAsia="Arial" w:hAnsi="Arial" w:cs="Arial"/>
          <w:sz w:val="20"/>
          <w:szCs w:val="20"/>
        </w:rPr>
        <w:t>CRPV : Centre Régional de PharmacoVigilance</w:t>
      </w:r>
    </w:p>
    <w:p w14:paraId="419884DD" w14:textId="77777777" w:rsidR="00A75BD0" w:rsidRDefault="009D4DA5" w:rsidP="0BA40188">
      <w:pPr>
        <w:rPr>
          <w:rFonts w:ascii="Arial" w:eastAsia="Arial" w:hAnsi="Arial" w:cs="Arial"/>
          <w:sz w:val="20"/>
          <w:szCs w:val="20"/>
          <w:lang w:val="fr-FR"/>
        </w:rPr>
      </w:pPr>
      <w:r w:rsidRPr="0BA40188">
        <w:rPr>
          <w:rFonts w:ascii="Arial" w:eastAsia="Arial" w:hAnsi="Arial" w:cs="Arial"/>
          <w:sz w:val="20"/>
          <w:szCs w:val="20"/>
          <w:lang w:val="fr-FR"/>
        </w:rPr>
        <w:t>DPO : Data Privacy Officer ou Délégué à la protection des données</w:t>
      </w:r>
    </w:p>
    <w:p w14:paraId="132DD726" w14:textId="77777777" w:rsidR="00A75BD0" w:rsidRPr="002F6A24" w:rsidRDefault="009D4DA5">
      <w:pPr>
        <w:rPr>
          <w:rFonts w:ascii="Arial" w:eastAsia="Arial" w:hAnsi="Arial" w:cs="Arial"/>
          <w:sz w:val="20"/>
          <w:szCs w:val="20"/>
          <w:lang w:val="en-US"/>
        </w:rPr>
      </w:pPr>
      <w:r w:rsidRPr="002F6A24">
        <w:rPr>
          <w:rFonts w:ascii="Arial" w:eastAsia="Arial" w:hAnsi="Arial" w:cs="Arial"/>
          <w:sz w:val="20"/>
          <w:szCs w:val="20"/>
          <w:lang w:val="en-US"/>
        </w:rPr>
        <w:t xml:space="preserve">ESS : Epistaxis Severity Score </w:t>
      </w:r>
    </w:p>
    <w:p w14:paraId="60A37D82" w14:textId="77777777" w:rsidR="00A75BD0" w:rsidRPr="002F6A24" w:rsidRDefault="009D4DA5">
      <w:pPr>
        <w:rPr>
          <w:rFonts w:ascii="Arial" w:eastAsia="Arial" w:hAnsi="Arial" w:cs="Arial"/>
          <w:sz w:val="20"/>
          <w:szCs w:val="20"/>
          <w:lang w:val="en-US"/>
        </w:rPr>
      </w:pPr>
      <w:r w:rsidRPr="002F6A24">
        <w:rPr>
          <w:rFonts w:ascii="Arial" w:eastAsia="Arial" w:hAnsi="Arial" w:cs="Arial"/>
          <w:sz w:val="20"/>
          <w:szCs w:val="20"/>
          <w:lang w:val="en-US"/>
        </w:rPr>
        <w:t xml:space="preserve">Hb : Hémoglobine </w:t>
      </w:r>
    </w:p>
    <w:p w14:paraId="7B12C09C" w14:textId="77777777" w:rsidR="00A75BD0" w:rsidRDefault="009D4DA5">
      <w:pPr>
        <w:rPr>
          <w:rFonts w:ascii="Arial" w:eastAsia="Arial" w:hAnsi="Arial" w:cs="Arial"/>
          <w:sz w:val="20"/>
          <w:szCs w:val="20"/>
        </w:rPr>
      </w:pPr>
      <w:r>
        <w:rPr>
          <w:rFonts w:ascii="Arial" w:eastAsia="Arial" w:hAnsi="Arial" w:cs="Arial"/>
          <w:sz w:val="20"/>
          <w:szCs w:val="20"/>
        </w:rPr>
        <w:t xml:space="preserve">NFS : Numération Formule Sanguine </w:t>
      </w:r>
    </w:p>
    <w:p w14:paraId="19741F74" w14:textId="77777777" w:rsidR="00A75BD0" w:rsidRDefault="009D4DA5">
      <w:pPr>
        <w:rPr>
          <w:rFonts w:ascii="Arial" w:eastAsia="Arial" w:hAnsi="Arial" w:cs="Arial"/>
          <w:sz w:val="20"/>
          <w:szCs w:val="20"/>
        </w:rPr>
      </w:pPr>
      <w:r>
        <w:rPr>
          <w:rFonts w:ascii="Arial" w:eastAsia="Arial" w:hAnsi="Arial" w:cs="Arial"/>
          <w:sz w:val="20"/>
          <w:szCs w:val="20"/>
        </w:rPr>
        <w:t>PUT-SP : protocole d’utilisation thérapeutique et de suivi des patients</w:t>
      </w:r>
    </w:p>
    <w:p w14:paraId="16E76582" w14:textId="77777777" w:rsidR="00A75BD0" w:rsidRDefault="009D4DA5" w:rsidP="0BA40188">
      <w:pPr>
        <w:rPr>
          <w:rFonts w:ascii="Arial" w:eastAsia="Arial" w:hAnsi="Arial" w:cs="Arial"/>
          <w:sz w:val="20"/>
          <w:szCs w:val="20"/>
          <w:lang w:val="fr-FR"/>
        </w:rPr>
      </w:pPr>
      <w:r w:rsidRPr="0BA40188">
        <w:rPr>
          <w:rFonts w:ascii="Arial" w:eastAsia="Arial" w:hAnsi="Arial" w:cs="Arial"/>
          <w:sz w:val="20"/>
          <w:szCs w:val="20"/>
          <w:lang w:val="fr-FR"/>
        </w:rPr>
        <w:t xml:space="preserve">RBC : Red blood count </w:t>
      </w:r>
    </w:p>
    <w:p w14:paraId="462DE0D4" w14:textId="77777777" w:rsidR="00A75BD0" w:rsidRDefault="009D4DA5" w:rsidP="0BA40188">
      <w:pPr>
        <w:rPr>
          <w:rFonts w:ascii="Arial" w:eastAsia="Arial" w:hAnsi="Arial" w:cs="Arial"/>
          <w:sz w:val="20"/>
          <w:szCs w:val="20"/>
          <w:lang w:val="fr-FR"/>
        </w:rPr>
      </w:pPr>
      <w:r w:rsidRPr="0BA40188">
        <w:rPr>
          <w:rFonts w:ascii="Arial" w:eastAsia="Arial" w:hAnsi="Arial" w:cs="Arial"/>
          <w:sz w:val="20"/>
          <w:szCs w:val="20"/>
          <w:lang w:val="fr-FR"/>
        </w:rPr>
        <w:t xml:space="preserve">RCP(1) : Résumé des Caractéristiques du Produit </w:t>
      </w:r>
    </w:p>
    <w:p w14:paraId="6916EC1F" w14:textId="77777777" w:rsidR="00A75BD0" w:rsidRDefault="009D4DA5" w:rsidP="0BA40188">
      <w:pPr>
        <w:rPr>
          <w:rFonts w:ascii="Arial" w:eastAsia="Arial" w:hAnsi="Arial" w:cs="Arial"/>
          <w:sz w:val="20"/>
          <w:szCs w:val="20"/>
          <w:lang w:val="fr-FR"/>
        </w:rPr>
      </w:pPr>
      <w:r w:rsidRPr="0BA40188">
        <w:rPr>
          <w:rFonts w:ascii="Arial" w:eastAsia="Arial" w:hAnsi="Arial" w:cs="Arial"/>
          <w:sz w:val="20"/>
          <w:szCs w:val="20"/>
          <w:lang w:val="fr-FR"/>
        </w:rPr>
        <w:t>RCP(2) : Réunion de concertation pluridisciplinaire</w:t>
      </w:r>
    </w:p>
    <w:p w14:paraId="2F6D4990" w14:textId="77777777" w:rsidR="00A75BD0" w:rsidRDefault="009D4DA5">
      <w:pPr>
        <w:rPr>
          <w:rFonts w:ascii="Arial" w:eastAsia="Arial" w:hAnsi="Arial" w:cs="Arial"/>
          <w:sz w:val="20"/>
          <w:szCs w:val="20"/>
        </w:rPr>
      </w:pPr>
      <w:r>
        <w:rPr>
          <w:rFonts w:ascii="Arial" w:eastAsia="Arial" w:hAnsi="Arial" w:cs="Arial"/>
          <w:sz w:val="20"/>
          <w:szCs w:val="20"/>
        </w:rPr>
        <w:t>RGPD : Règlement Général sur la Protection des Données</w:t>
      </w:r>
    </w:p>
    <w:p w14:paraId="0EABED29" w14:textId="77777777" w:rsidR="00A75BD0" w:rsidRDefault="009D4DA5">
      <w:pPr>
        <w:rPr>
          <w:rFonts w:ascii="Arial" w:eastAsia="Arial" w:hAnsi="Arial" w:cs="Arial"/>
          <w:sz w:val="20"/>
          <w:szCs w:val="20"/>
        </w:rPr>
      </w:pPr>
      <w:r>
        <w:rPr>
          <w:rFonts w:ascii="Arial" w:eastAsia="Arial" w:hAnsi="Arial" w:cs="Arial"/>
          <w:sz w:val="20"/>
          <w:szCs w:val="20"/>
        </w:rPr>
        <w:t xml:space="preserve">THH : Télangiectasie Hémorragique Héréditaire </w:t>
      </w:r>
      <w:r>
        <w:br w:type="page"/>
      </w:r>
    </w:p>
    <w:p w14:paraId="74B5FB2F" w14:textId="77777777" w:rsidR="00A75BD0" w:rsidRDefault="009D4DA5">
      <w:pPr>
        <w:jc w:val="center"/>
        <w:rPr>
          <w:rFonts w:ascii="Arial Narrow" w:eastAsia="Arial Narrow" w:hAnsi="Arial Narrow" w:cs="Arial Narrow"/>
          <w:b/>
          <w:sz w:val="28"/>
          <w:szCs w:val="28"/>
        </w:rPr>
      </w:pPr>
      <w:r>
        <w:rPr>
          <w:rFonts w:ascii="Arial Narrow" w:eastAsia="Arial Narrow" w:hAnsi="Arial Narrow" w:cs="Arial Narrow"/>
          <w:b/>
          <w:sz w:val="28"/>
          <w:szCs w:val="28"/>
        </w:rPr>
        <w:lastRenderedPageBreak/>
        <w:t>LE CADRE DE PRESCRIPTION COMPASSIONNELLE</w:t>
      </w:r>
    </w:p>
    <w:p w14:paraId="04722A3F" w14:textId="77777777" w:rsidR="00A75BD0" w:rsidRDefault="00A75BD0">
      <w:pPr>
        <w:rPr>
          <w:b/>
        </w:rPr>
      </w:pPr>
    </w:p>
    <w:p w14:paraId="2ACB6338" w14:textId="77777777" w:rsidR="00A75BD0" w:rsidRDefault="009D4DA5">
      <w:pPr>
        <w:jc w:val="both"/>
        <w:rPr>
          <w:rFonts w:ascii="Arial" w:eastAsia="Arial" w:hAnsi="Arial" w:cs="Arial"/>
          <w:sz w:val="20"/>
          <w:szCs w:val="20"/>
        </w:rPr>
      </w:pPr>
      <w:r>
        <w:rPr>
          <w:rFonts w:ascii="Arial" w:eastAsia="Arial" w:hAnsi="Arial" w:cs="Arial"/>
          <w:sz w:val="20"/>
          <w:szCs w:val="20"/>
        </w:rPr>
        <w:t>Le cadre de prescription compassionnelle (CPC) est une procédure dérogatoire exceptionnelle prévue à l’article L. 5121-12-1 III du code de la santé publique, qui permet de sécuriser une  prescription d’un médicament dans une indication thérapeutique non conforme à son autorisation de mise sur le marché (AMM),  afin de répondre à un besoin thérapeutique non couvert, dès lors que le rapport bénéfice/risque de ce médicament dans cette indication est présumé favorable par l’ANSM (cf. annexe 6 : Dispositions législatives et réglementaires relatives au CPC).</w:t>
      </w:r>
    </w:p>
    <w:p w14:paraId="57AA14E3" w14:textId="77777777" w:rsidR="00A75BD0" w:rsidRDefault="00A75BD0">
      <w:pPr>
        <w:jc w:val="both"/>
        <w:rPr>
          <w:rFonts w:ascii="Arial" w:eastAsia="Arial" w:hAnsi="Arial" w:cs="Arial"/>
          <w:sz w:val="20"/>
          <w:szCs w:val="20"/>
        </w:rPr>
      </w:pPr>
    </w:p>
    <w:p w14:paraId="32F0357D" w14:textId="77777777" w:rsidR="00A75BD0" w:rsidRDefault="009D4DA5">
      <w:pPr>
        <w:pStyle w:val="Titre2"/>
        <w:numPr>
          <w:ilvl w:val="0"/>
          <w:numId w:val="26"/>
        </w:numPr>
        <w:rPr>
          <w:rFonts w:ascii="Arial Narrow" w:eastAsia="Arial Narrow" w:hAnsi="Arial Narrow" w:cs="Arial Narrow"/>
          <w:sz w:val="28"/>
          <w:szCs w:val="28"/>
        </w:rPr>
      </w:pPr>
      <w:bookmarkStart w:id="0" w:name="_heading=h.30j0zll" w:colFirst="0" w:colLast="0"/>
      <w:bookmarkEnd w:id="0"/>
      <w:r>
        <w:rPr>
          <w:rFonts w:ascii="Arial Narrow" w:eastAsia="Arial Narrow" w:hAnsi="Arial Narrow" w:cs="Arial Narrow"/>
          <w:sz w:val="28"/>
          <w:szCs w:val="28"/>
        </w:rPr>
        <w:t>LE(S) MEDICAMENT(S)</w:t>
      </w:r>
    </w:p>
    <w:p w14:paraId="4440BAE7" w14:textId="77777777" w:rsidR="00A75BD0" w:rsidRDefault="00A75BD0">
      <w:pPr>
        <w:jc w:val="both"/>
        <w:rPr>
          <w:b/>
        </w:rPr>
      </w:pPr>
    </w:p>
    <w:p w14:paraId="024EF621" w14:textId="77777777" w:rsidR="00A75BD0" w:rsidRDefault="009D4DA5">
      <w:pPr>
        <w:pBdr>
          <w:top w:val="nil"/>
          <w:left w:val="dotted" w:sz="12" w:space="4" w:color="538135"/>
          <w:bottom w:val="nil"/>
          <w:right w:val="nil"/>
          <w:between w:val="nil"/>
        </w:pBdr>
        <w:spacing w:after="4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Spécialité(s) concernée(s)</w:t>
      </w:r>
    </w:p>
    <w:tbl>
      <w:tblPr>
        <w:tblStyle w:val="af"/>
        <w:tblW w:w="91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9110"/>
      </w:tblGrid>
      <w:tr w:rsidR="00A75BD0" w14:paraId="35C510D8" w14:textId="77777777" w:rsidTr="00A75BD0">
        <w:tc>
          <w:tcPr>
            <w:tcW w:w="9110" w:type="dxa"/>
            <w:shd w:val="clear" w:color="auto" w:fill="auto"/>
          </w:tcPr>
          <w:p w14:paraId="2A450B09" w14:textId="77777777" w:rsidR="00A75BD0" w:rsidRDefault="009D4DA5">
            <w:pPr>
              <w:jc w:val="both"/>
            </w:pPr>
            <w:r>
              <w:rPr>
                <w:sz w:val="20"/>
                <w:szCs w:val="20"/>
              </w:rPr>
              <w:t>AVASTIN 25 mg/ml, solution à diluer pour perfusion et les spécialités identifiées comme biologiques similaires et inscrites sur la liste de référence des groupes biologiques similaires mentionnée à l’article L.5121-1 15° b) du code de la santé publique</w:t>
            </w:r>
          </w:p>
        </w:tc>
      </w:tr>
    </w:tbl>
    <w:p w14:paraId="6423FE44" w14:textId="77777777" w:rsidR="00A75BD0" w:rsidRDefault="00A75BD0"/>
    <w:p w14:paraId="53DE61B3" w14:textId="77777777" w:rsidR="00A75BD0" w:rsidRDefault="009D4DA5">
      <w:pPr>
        <w:pBdr>
          <w:top w:val="nil"/>
          <w:left w:val="dotted" w:sz="12" w:space="4" w:color="538135"/>
          <w:bottom w:val="nil"/>
          <w:right w:val="nil"/>
          <w:between w:val="nil"/>
        </w:pBdr>
        <w:spacing w:after="4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Caractéristiques du médicament</w:t>
      </w:r>
    </w:p>
    <w:tbl>
      <w:tblPr>
        <w:tblStyle w:val="af0"/>
        <w:tblW w:w="91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9110"/>
      </w:tblGrid>
      <w:tr w:rsidR="00A75BD0" w14:paraId="1479720B" w14:textId="77777777" w:rsidTr="0BA40188">
        <w:tc>
          <w:tcPr>
            <w:tcW w:w="9110" w:type="dxa"/>
            <w:shd w:val="clear" w:color="auto" w:fill="auto"/>
          </w:tcPr>
          <w:p w14:paraId="1556F88E" w14:textId="77777777" w:rsidR="00A75BD0" w:rsidRDefault="009D4DA5" w:rsidP="0BA40188">
            <w:pPr>
              <w:keepLines/>
              <w:pBdr>
                <w:top w:val="nil"/>
                <w:left w:val="nil"/>
                <w:bottom w:val="nil"/>
                <w:right w:val="nil"/>
                <w:between w:val="nil"/>
              </w:pBdr>
              <w:spacing w:before="120"/>
              <w:ind w:right="46"/>
              <w:jc w:val="both"/>
              <w:rPr>
                <w:sz w:val="20"/>
                <w:szCs w:val="20"/>
                <w:lang w:val="fr-FR"/>
              </w:rPr>
            </w:pPr>
            <w:r w:rsidRPr="0BA40188">
              <w:rPr>
                <w:sz w:val="20"/>
                <w:szCs w:val="20"/>
                <w:lang w:val="fr-FR"/>
              </w:rPr>
              <w:t xml:space="preserve">AVASTIN 25 mg/ml, solution à diluer pour perfusion, dispose d’une AMM européenne depuis le 12 janvier 2005 et est commercialisé en France depuis le 4 avril 2005. Depuis, plusieurs médicaments biologiques similaires sont également autorisés et commercialisés en France (cf. RCP(1) disponibles sur </w:t>
            </w:r>
            <w:hyperlink r:id="rId11">
              <w:r w:rsidRPr="0BA40188">
                <w:rPr>
                  <w:sz w:val="20"/>
                  <w:szCs w:val="20"/>
                  <w:lang w:val="fr-FR"/>
                </w:rPr>
                <w:t>http://base-donnees-publique.medicaments.gouv.fr</w:t>
              </w:r>
            </w:hyperlink>
            <w:r w:rsidRPr="0BA40188">
              <w:rPr>
                <w:sz w:val="20"/>
                <w:szCs w:val="20"/>
                <w:lang w:val="fr-FR"/>
              </w:rPr>
              <w:t xml:space="preserve">) </w:t>
            </w:r>
          </w:p>
          <w:p w14:paraId="448A21F9" w14:textId="77777777" w:rsidR="00A75BD0" w:rsidRDefault="009D4DA5" w:rsidP="0BA40188">
            <w:pPr>
              <w:spacing w:before="120"/>
              <w:ind w:right="46"/>
              <w:jc w:val="both"/>
              <w:rPr>
                <w:sz w:val="20"/>
                <w:szCs w:val="20"/>
                <w:lang w:val="fr-FR"/>
              </w:rPr>
            </w:pPr>
            <w:r w:rsidRPr="0BA40188">
              <w:rPr>
                <w:sz w:val="20"/>
                <w:szCs w:val="20"/>
                <w:lang w:val="fr-FR"/>
              </w:rPr>
              <w:t>Le bevacizumab est indiqué :</w:t>
            </w:r>
          </w:p>
          <w:p w14:paraId="024624C1"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à une chimiothérapie à base de fluoropyrimidine, chez les patients adultes atteints de cancer colorectal métastatique.</w:t>
            </w:r>
          </w:p>
          <w:p w14:paraId="57FCA4AD"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au paclitaxel, en traitement de première ligne, chez des patients adultes atteints de cancer du sein métastatique. Pour une information complémentaire concernant le statut du récepteur 2 du facteur de croissance épidermique humain (HER2), référez-vous à la rubrique 5.1 du RCP(1).</w:t>
            </w:r>
          </w:p>
          <w:p w14:paraId="12467345"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à la capécitabine, en traitement de première ligne, chez des patients adultes atteints de cancer du sein métastatique, pour lesquels un traitement avec d’autres options de chimiothérapie incluant des taxanes ou des anthracyclines, n’est pas considéré comme approprié. Les patients ayant reçu un traitement à base de taxanes et d’anthracyclines en situation adjuvante au cours des 12 derniers mois, doivent être exclus d’un traitement par Avastin en association à la capécitabine. Pour une information complémentaire concernant le statut HER2, référez-vous à la rubrique 5.1 du RCP(1).</w:t>
            </w:r>
          </w:p>
          <w:p w14:paraId="33C0D032"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à une chimiothérapie à base de sels de platine, en traitement de première ligne chez les patients adultes atteints de cancer bronchique non à petites cellules, avancé et non opérable, métastatique ou en rechute, dès lors que l’histologie n’est pas à prédominance épidermoïde.</w:t>
            </w:r>
          </w:p>
          <w:p w14:paraId="06FFD580"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à l’erlotinib, en traitement de première ligne chez les patients adultes atteints de cancer bronchique non à petites cellules non épidermoïde, avancé et non opérable, métastatique ou en rechute, et présentant des mutations activatrices de l’EGFR (Epidermal Growth Factor Receptor) (voir rubrique 5.1 du RCP(1)).</w:t>
            </w:r>
          </w:p>
          <w:p w14:paraId="1FAE3FFB"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à l’interféron alfa-2a, en traitement de première ligne, chez les patients adultes atteints de cancer du rein avancé et/ou métastatique.</w:t>
            </w:r>
          </w:p>
          <w:p w14:paraId="7AD947A9"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lastRenderedPageBreak/>
              <w:t>en association au carboplatine et au paclitaxel, en traitement de première ligne des stades avancés (stades FIGO (Fédération Internationale de Gynécologie Obstétrique) III B, III C et IV) du cancer épithélial de l’ovaire, des trompes de Fallope ou péritonéal primitif chez des patientes adultes (voir rubrique 5.1 du RCP(1)).</w:t>
            </w:r>
          </w:p>
          <w:p w14:paraId="7C9F2988"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au carboplatine et à la gemcitabine ou en association au carboplatine et au paclitaxel, chez les patientes adultes atteintes d’un cancer épithélial de l’ovaire, des trompes de Fallope ou péritonéal primitif, en première récidive, sensible aux sels de platine et qui n’ont pas été préalablement traitées par du bevacizumab ou d’autres inhibiteurs du VEGF ou d’autres agents ciblant le récepteur du VEGF.</w:t>
            </w:r>
          </w:p>
          <w:p w14:paraId="01095274"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au paclitaxel, au topotécan ou à la doxorubicine liposomale pégylée, chez les patientes adultes atteintes d’un cancer épithélial de l’ovaire, des trompes de Fallope ou péritonéal primitif, en rechute, résistant aux sels de platine, qui n’ont pas reçu plus de deux protocoles antérieurs de chimiothérapie et qui n’ont pas été préalablement traitées par du bevacizumab ou d’autres inhibiteurs du VEGF ou d’autres agents ciblant le récepteur du VEGF (voir rubrique 5.1 du RCP(1)).</w:t>
            </w:r>
          </w:p>
          <w:p w14:paraId="5DACCBFC" w14:textId="77777777" w:rsidR="00A75BD0" w:rsidRDefault="009D4DA5" w:rsidP="0BA40188">
            <w:pPr>
              <w:keepLines/>
              <w:numPr>
                <w:ilvl w:val="0"/>
                <w:numId w:val="32"/>
              </w:numPr>
              <w:spacing w:before="120"/>
              <w:ind w:right="46"/>
              <w:jc w:val="both"/>
              <w:rPr>
                <w:sz w:val="20"/>
                <w:szCs w:val="20"/>
                <w:lang w:val="fr-FR"/>
              </w:rPr>
            </w:pPr>
            <w:r w:rsidRPr="0BA40188">
              <w:rPr>
                <w:sz w:val="20"/>
                <w:szCs w:val="20"/>
                <w:lang w:val="fr-FR"/>
              </w:rPr>
              <w:t>en association au paclitaxel et au cisplatine, ou bien en association au paclitaxel et au topotécan chez les patientes ne pouvant pas recevoir de traitement à base de sels de platine, chez les patientes adultes atteintes d’un carcinome du col de l’utérus persistant, en rechute ou métastatique (voir rubrique 5.1 du RCP(1)).</w:t>
            </w:r>
          </w:p>
          <w:p w14:paraId="491A63F4" w14:textId="77777777" w:rsidR="00A75BD0" w:rsidRDefault="009D4DA5" w:rsidP="0BA40188">
            <w:pPr>
              <w:spacing w:before="120"/>
              <w:ind w:right="46"/>
              <w:jc w:val="both"/>
              <w:rPr>
                <w:sz w:val="20"/>
                <w:szCs w:val="20"/>
                <w:lang w:val="fr-FR"/>
              </w:rPr>
            </w:pPr>
            <w:r w:rsidRPr="0BA40188">
              <w:rPr>
                <w:sz w:val="20"/>
                <w:szCs w:val="20"/>
                <w:lang w:val="fr-FR"/>
              </w:rPr>
              <w:t xml:space="preserve">Le bevacizumab est un anticorps monoclonal humanisé recombinant produit par la technologie de l’ADN recombinant dans des cellules d’ovaire de Hamster Chinois. Le bevacizumab se lie au VEGF (Vascular Endothelial Growth Factor), facteur clé de la vasculogenèse et de l’angiogenèse, et inhibe de ce fait la liaison du VEGF à ses récepteurs, Flt-1 (VEGFR-1) et KDR (VEGFR-2), à la surface des cellules endothéliales. </w:t>
            </w:r>
          </w:p>
        </w:tc>
      </w:tr>
    </w:tbl>
    <w:p w14:paraId="1218C0C7" w14:textId="77777777" w:rsidR="00A75BD0" w:rsidRDefault="00A75BD0">
      <w:pPr>
        <w:rPr>
          <w:rFonts w:ascii="Arial" w:eastAsia="Arial" w:hAnsi="Arial" w:cs="Arial"/>
          <w:sz w:val="20"/>
          <w:szCs w:val="20"/>
        </w:rPr>
      </w:pPr>
    </w:p>
    <w:p w14:paraId="5AA84F49" w14:textId="77777777" w:rsidR="00A75BD0" w:rsidRDefault="009D4DA5">
      <w:pPr>
        <w:pBdr>
          <w:top w:val="nil"/>
          <w:left w:val="dotted" w:sz="12" w:space="4" w:color="538135"/>
          <w:bottom w:val="nil"/>
          <w:right w:val="nil"/>
          <w:between w:val="nil"/>
        </w:pBdr>
        <w:spacing w:after="4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Indication et conditions d’utilisation dans le CPC</w:t>
      </w:r>
    </w:p>
    <w:p w14:paraId="05F677D1"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Le présent CPC vise à sécuriser, via la mise en place d’un suivi, l’utilisation du bevacizumab, dans le traitement de la maladie de Rendu-Osler. En effet, dans cette population non couverte par l’AMM et pour laquelle il existe un besoin thérapeutique, l’efficacité et la sécurité du bevacizumab, sont présumées au regard des données disponibles à ce jour (cf. argumentaire en annexe 2).</w:t>
      </w:r>
    </w:p>
    <w:p w14:paraId="5B5F4DAA" w14:textId="77777777" w:rsidR="00A75BD0" w:rsidRDefault="009D4DA5" w:rsidP="0BA40188">
      <w:pPr>
        <w:spacing w:before="120"/>
        <w:ind w:right="45"/>
        <w:jc w:val="both"/>
        <w:rPr>
          <w:rFonts w:ascii="Arial" w:eastAsia="Arial" w:hAnsi="Arial" w:cs="Arial"/>
          <w:sz w:val="20"/>
          <w:szCs w:val="20"/>
          <w:lang w:val="fr-FR"/>
        </w:rPr>
      </w:pPr>
      <w:r w:rsidRPr="0BA40188">
        <w:rPr>
          <w:rFonts w:ascii="Arial" w:eastAsia="Arial" w:hAnsi="Arial" w:cs="Arial"/>
          <w:sz w:val="20"/>
          <w:szCs w:val="20"/>
          <w:lang w:val="fr-FR"/>
        </w:rPr>
        <w:t>Les gènes impliqués dans la maladie de Rendu-Osler ont un rôle important dans la balance angiogénique. Une hypothèse physiopathologique de la maladie est qu’il existe un dérèglement de la balance angiogénique associé à sa néoactivation. Ainsi les concentrations de TGF-beta et de VEGF circulant sont significativement augmentées. La dérégulation de ces facteurs angiogéniques clés amène à une prolifération anormale des cellules endothéliales. L’utilisation d’anticorps anti-VEGF pourrait donc permettre d’inhiber cette activation de l’angiogenèse et de retourner à un état quiescent.</w:t>
      </w:r>
    </w:p>
    <w:p w14:paraId="72334A32" w14:textId="77777777" w:rsidR="00A75BD0" w:rsidRDefault="00A75BD0">
      <w:pPr>
        <w:jc w:val="both"/>
        <w:rPr>
          <w:rFonts w:ascii="Arial" w:eastAsia="Arial" w:hAnsi="Arial" w:cs="Arial"/>
          <w:sz w:val="20"/>
          <w:szCs w:val="20"/>
        </w:rPr>
      </w:pPr>
    </w:p>
    <w:p w14:paraId="34B25F65" w14:textId="77777777" w:rsidR="00A75BD0" w:rsidRDefault="009D4DA5">
      <w:pPr>
        <w:jc w:val="both"/>
        <w:rPr>
          <w:rFonts w:ascii="Arial" w:eastAsia="Arial" w:hAnsi="Arial" w:cs="Arial"/>
          <w:sz w:val="20"/>
          <w:szCs w:val="20"/>
        </w:rPr>
      </w:pPr>
      <w:r>
        <w:rPr>
          <w:rFonts w:ascii="Arial" w:eastAsia="Arial" w:hAnsi="Arial" w:cs="Arial"/>
          <w:sz w:val="20"/>
          <w:szCs w:val="20"/>
        </w:rPr>
        <w:t>L’objectif du traitement dans la maladie de Rendu-Osler est symptomatique.</w:t>
      </w:r>
    </w:p>
    <w:p w14:paraId="3A0269A7" w14:textId="77777777" w:rsidR="00A75BD0" w:rsidRDefault="009D4DA5" w:rsidP="0BA40188">
      <w:pPr>
        <w:jc w:val="both"/>
        <w:rPr>
          <w:sz w:val="20"/>
          <w:szCs w:val="20"/>
          <w:lang w:val="fr-FR"/>
        </w:rPr>
      </w:pPr>
      <w:r w:rsidRPr="0BA40188">
        <w:rPr>
          <w:rFonts w:ascii="Arial" w:eastAsia="Arial" w:hAnsi="Arial" w:cs="Arial"/>
          <w:sz w:val="20"/>
          <w:szCs w:val="20"/>
          <w:lang w:val="fr-FR"/>
        </w:rPr>
        <w:t>Outre le présent protocole d’utilisation thérapeutique et de suivi, il est impératif que le médecin prescrivant du bevacizumab dans le CPC prenne connaissance du résumé des caractéristiques du produit (RCP</w:t>
      </w:r>
      <w:r w:rsidRPr="0BA40188">
        <w:rPr>
          <w:sz w:val="20"/>
          <w:szCs w:val="20"/>
          <w:lang w:val="fr-FR"/>
        </w:rPr>
        <w:t>(1)</w:t>
      </w:r>
      <w:r w:rsidRPr="0BA40188">
        <w:rPr>
          <w:rFonts w:ascii="Arial" w:eastAsia="Arial" w:hAnsi="Arial" w:cs="Arial"/>
          <w:sz w:val="20"/>
          <w:szCs w:val="20"/>
          <w:lang w:val="fr-FR"/>
        </w:rPr>
        <w:t xml:space="preserve">) annexé à l’AMM </w:t>
      </w:r>
      <w:r w:rsidRPr="0BA40188">
        <w:rPr>
          <w:color w:val="0562C1"/>
          <w:u w:val="single"/>
          <w:lang w:val="fr-FR"/>
        </w:rPr>
        <w:t>(</w:t>
      </w:r>
      <w:r w:rsidRPr="0BA40188">
        <w:rPr>
          <w:rFonts w:ascii="Arial" w:eastAsia="Arial" w:hAnsi="Arial" w:cs="Arial"/>
          <w:color w:val="0562C1"/>
          <w:sz w:val="20"/>
          <w:szCs w:val="20"/>
          <w:u w:val="single"/>
          <w:lang w:val="fr-FR"/>
        </w:rPr>
        <w:t xml:space="preserve">cf </w:t>
      </w:r>
      <w:hyperlink r:id="rId12">
        <w:r w:rsidRPr="0BA40188">
          <w:rPr>
            <w:rFonts w:ascii="Arial" w:eastAsia="Arial" w:hAnsi="Arial" w:cs="Arial"/>
            <w:color w:val="0563C1"/>
            <w:sz w:val="20"/>
            <w:szCs w:val="20"/>
            <w:lang w:val="fr-FR"/>
          </w:rPr>
          <w:t>https://base-donnees-publique.medicaments.gouv.fr/</w:t>
        </w:r>
      </w:hyperlink>
      <w:r w:rsidRPr="0BA40188">
        <w:rPr>
          <w:color w:val="0562C1"/>
          <w:u w:val="single"/>
          <w:lang w:val="fr-FR"/>
        </w:rPr>
        <w:t>).</w:t>
      </w:r>
    </w:p>
    <w:p w14:paraId="099BFBD8" w14:textId="77777777" w:rsidR="00A75BD0" w:rsidRDefault="009D4DA5">
      <w:r>
        <w:br w:type="page"/>
      </w:r>
    </w:p>
    <w:tbl>
      <w:tblPr>
        <w:tblStyle w:val="af1"/>
        <w:tblW w:w="96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9609"/>
      </w:tblGrid>
      <w:tr w:rsidR="00A75BD0" w14:paraId="39D33A8A" w14:textId="77777777" w:rsidTr="0BA40188">
        <w:tc>
          <w:tcPr>
            <w:tcW w:w="9609" w:type="dxa"/>
            <w:shd w:val="clear" w:color="auto" w:fill="auto"/>
          </w:tcPr>
          <w:p w14:paraId="40194E95" w14:textId="77777777" w:rsidR="00A75BD0" w:rsidRDefault="00A75BD0">
            <w:pPr>
              <w:spacing w:before="120"/>
              <w:ind w:right="46"/>
              <w:jc w:val="both"/>
            </w:pPr>
          </w:p>
          <w:p w14:paraId="25E87E0D" w14:textId="77777777" w:rsidR="00A75BD0" w:rsidRDefault="009D4DA5">
            <w:pPr>
              <w:spacing w:after="160" w:line="259" w:lineRule="auto"/>
              <w:ind w:firstLine="709"/>
              <w:rPr>
                <w:rFonts w:ascii="Arial Narrow" w:eastAsia="Arial Narrow" w:hAnsi="Arial Narrow" w:cs="Arial Narrow"/>
                <w:b/>
              </w:rPr>
            </w:pPr>
            <w:r>
              <w:rPr>
                <w:rFonts w:ascii="Arial Narrow" w:eastAsia="Arial Narrow" w:hAnsi="Arial Narrow" w:cs="Arial Narrow"/>
                <w:b/>
              </w:rPr>
              <w:t>Indications et conditions d’utilisation du CPC :</w:t>
            </w:r>
          </w:p>
          <w:p w14:paraId="63387CFB" w14:textId="77777777" w:rsidR="00A75BD0" w:rsidRDefault="009D4DA5">
            <w:pPr>
              <w:spacing w:before="120"/>
              <w:ind w:right="46"/>
              <w:jc w:val="both"/>
              <w:rPr>
                <w:sz w:val="20"/>
                <w:szCs w:val="20"/>
              </w:rPr>
            </w:pPr>
            <w:r>
              <w:rPr>
                <w:sz w:val="20"/>
                <w:szCs w:val="20"/>
              </w:rPr>
              <w:t xml:space="preserve">Traitement de la maladie de Rendu-Osler </w:t>
            </w:r>
          </w:p>
          <w:p w14:paraId="091F953C" w14:textId="4145762D" w:rsidR="00A75BD0" w:rsidRDefault="009D4DA5" w:rsidP="0BA40188">
            <w:pPr>
              <w:spacing w:before="120"/>
              <w:ind w:right="46"/>
              <w:jc w:val="both"/>
              <w:rPr>
                <w:sz w:val="20"/>
                <w:szCs w:val="20"/>
                <w:lang w:val="fr-FR"/>
              </w:rPr>
            </w:pPr>
            <w:r w:rsidRPr="0BA40188">
              <w:rPr>
                <w:sz w:val="20"/>
                <w:szCs w:val="20"/>
                <w:lang w:val="fr-FR"/>
              </w:rPr>
              <w:t>-dans les cas de formes hépatiques sévères avec un retentissement cardiaque à type d’hyperdébit cardiaque, associé à une dyspnée,</w:t>
            </w:r>
          </w:p>
          <w:p w14:paraId="1BACCF6E" w14:textId="0CB1F28A" w:rsidR="00A75BD0" w:rsidRDefault="009D4DA5">
            <w:pPr>
              <w:spacing w:before="120"/>
              <w:ind w:right="46"/>
              <w:jc w:val="both"/>
              <w:rPr>
                <w:sz w:val="20"/>
                <w:szCs w:val="20"/>
              </w:rPr>
            </w:pPr>
            <w:r>
              <w:rPr>
                <w:sz w:val="20"/>
                <w:szCs w:val="20"/>
              </w:rPr>
              <w:t>-dans les cas de formes hémorragiques sévères ORL et/ou digestives liées à la maladie et justifiant des transfusions sanguines et/ou perfusions de fer itératives.</w:t>
            </w:r>
          </w:p>
          <w:p w14:paraId="4F9E5E04" w14:textId="77777777" w:rsidR="00A75BD0" w:rsidRDefault="009D4DA5" w:rsidP="0BA40188">
            <w:pPr>
              <w:spacing w:before="120"/>
              <w:ind w:right="46"/>
              <w:jc w:val="both"/>
              <w:rPr>
                <w:sz w:val="20"/>
                <w:szCs w:val="20"/>
                <w:lang w:val="fr-FR"/>
              </w:rPr>
            </w:pPr>
            <w:r w:rsidRPr="0BA40188">
              <w:rPr>
                <w:sz w:val="20"/>
                <w:szCs w:val="20"/>
                <w:lang w:val="fr-FR"/>
              </w:rPr>
              <w:t xml:space="preserve">La discussion de l’indication d’un traitement par bevacizumab est proposée en réunion de concertation pluridisciplinaire (RCP(2)) nationale pour la maladie de Rendu-Osler organisée par le centre de référence Rendu-Osler de la filière FAVA-Multi. Le dossier pourra être réévalué en RCP(2) nationale pour la maladie de Rendu-Osler à la fin du traitement d’induction avant d’initier le traitement d’entretien. </w:t>
            </w:r>
          </w:p>
          <w:p w14:paraId="09899BFE" w14:textId="77777777" w:rsidR="00A75BD0" w:rsidRDefault="009D4DA5" w:rsidP="0BA40188">
            <w:pPr>
              <w:spacing w:before="120"/>
              <w:ind w:right="46"/>
              <w:jc w:val="both"/>
              <w:rPr>
                <w:b/>
                <w:bCs/>
                <w:sz w:val="20"/>
                <w:szCs w:val="20"/>
                <w:lang w:val="fr-FR"/>
              </w:rPr>
            </w:pPr>
            <w:r w:rsidRPr="0BA40188">
              <w:rPr>
                <w:sz w:val="20"/>
                <w:szCs w:val="20"/>
                <w:lang w:val="fr-FR"/>
              </w:rPr>
              <w:t xml:space="preserve">Critères de prescription dans le traitement de la maladie de Rendu-Osler dans le cas de </w:t>
            </w:r>
            <w:r w:rsidRPr="0BA40188">
              <w:rPr>
                <w:b/>
                <w:bCs/>
                <w:sz w:val="20"/>
                <w:szCs w:val="20"/>
                <w:lang w:val="fr-FR"/>
              </w:rPr>
              <w:t>formes hépatiques sévères avec un retentissement cardiaque à type hyperdébit cardiaque, associé à une dyspnée :</w:t>
            </w:r>
          </w:p>
          <w:p w14:paraId="7F321F42" w14:textId="77777777" w:rsidR="00A75BD0" w:rsidRDefault="009D4DA5">
            <w:pPr>
              <w:keepLines/>
              <w:numPr>
                <w:ilvl w:val="0"/>
                <w:numId w:val="18"/>
              </w:numPr>
              <w:pBdr>
                <w:top w:val="nil"/>
                <w:left w:val="nil"/>
                <w:bottom w:val="nil"/>
                <w:right w:val="nil"/>
                <w:between w:val="nil"/>
              </w:pBdr>
              <w:spacing w:before="120"/>
              <w:jc w:val="both"/>
              <w:rPr>
                <w:color w:val="000000"/>
                <w:sz w:val="20"/>
                <w:szCs w:val="20"/>
              </w:rPr>
            </w:pPr>
            <w:r>
              <w:rPr>
                <w:color w:val="000000"/>
                <w:sz w:val="20"/>
                <w:szCs w:val="20"/>
              </w:rPr>
              <w:t>Maladie de Rendu-Osler confirmée par au moins 3 critères de Curaçao</w:t>
            </w:r>
            <w:r>
              <w:rPr>
                <w:color w:val="000000"/>
                <w:sz w:val="20"/>
                <w:szCs w:val="20"/>
                <w:vertAlign w:val="superscript"/>
              </w:rPr>
              <w:footnoteReference w:id="1"/>
            </w:r>
            <w:r>
              <w:rPr>
                <w:color w:val="000000"/>
                <w:sz w:val="20"/>
                <w:szCs w:val="20"/>
              </w:rPr>
              <w:t>, dans un centre de compétence ou dans le centre de référence,</w:t>
            </w:r>
          </w:p>
          <w:p w14:paraId="40E62BD3" w14:textId="77777777" w:rsidR="00A75BD0" w:rsidRDefault="009D4DA5">
            <w:pPr>
              <w:keepLines/>
              <w:numPr>
                <w:ilvl w:val="0"/>
                <w:numId w:val="18"/>
              </w:numPr>
              <w:pBdr>
                <w:top w:val="nil"/>
                <w:left w:val="nil"/>
                <w:bottom w:val="nil"/>
                <w:right w:val="nil"/>
                <w:between w:val="nil"/>
              </w:pBdr>
              <w:spacing w:before="120"/>
              <w:jc w:val="both"/>
              <w:rPr>
                <w:color w:val="000000"/>
                <w:sz w:val="20"/>
                <w:szCs w:val="20"/>
              </w:rPr>
            </w:pPr>
            <w:r>
              <w:rPr>
                <w:color w:val="000000"/>
                <w:sz w:val="20"/>
                <w:szCs w:val="20"/>
              </w:rPr>
              <w:t>Age des patients &gt; 18 ans,</w:t>
            </w:r>
          </w:p>
          <w:p w14:paraId="592C1970" w14:textId="77777777" w:rsidR="00A75BD0" w:rsidRDefault="009D4DA5" w:rsidP="0BA40188">
            <w:pPr>
              <w:numPr>
                <w:ilvl w:val="0"/>
                <w:numId w:val="18"/>
              </w:numPr>
              <w:spacing w:before="120"/>
              <w:jc w:val="both"/>
              <w:rPr>
                <w:sz w:val="20"/>
                <w:szCs w:val="20"/>
                <w:lang w:val="fr-FR"/>
              </w:rPr>
            </w:pPr>
            <w:r w:rsidRPr="0BA40188">
              <w:rPr>
                <w:sz w:val="20"/>
                <w:szCs w:val="20"/>
                <w:lang w:val="fr-FR"/>
              </w:rPr>
              <w:t>Patients ayant un hyperdébit cardiaque : index cardiaque &gt; 3,6 L/min/m2 chez la femme et &gt; 3,9 L/min/m2 chez l’homme,</w:t>
            </w:r>
          </w:p>
          <w:p w14:paraId="0BD8CB16" w14:textId="77777777" w:rsidR="00A75BD0" w:rsidRDefault="009D4DA5">
            <w:pPr>
              <w:numPr>
                <w:ilvl w:val="0"/>
                <w:numId w:val="18"/>
              </w:numPr>
              <w:spacing w:before="120"/>
              <w:jc w:val="both"/>
              <w:rPr>
                <w:sz w:val="20"/>
                <w:szCs w:val="20"/>
              </w:rPr>
            </w:pPr>
            <w:r>
              <w:rPr>
                <w:sz w:val="20"/>
                <w:szCs w:val="20"/>
              </w:rPr>
              <w:t>Dyspnée &gt;=2 selon la classification NYHA.</w:t>
            </w:r>
          </w:p>
          <w:p w14:paraId="16F3C5F7" w14:textId="77777777" w:rsidR="00A75BD0" w:rsidRDefault="00A75BD0">
            <w:pPr>
              <w:spacing w:before="120"/>
              <w:ind w:left="720"/>
              <w:jc w:val="both"/>
              <w:rPr>
                <w:sz w:val="20"/>
                <w:szCs w:val="20"/>
              </w:rPr>
            </w:pPr>
          </w:p>
          <w:p w14:paraId="20FE4656" w14:textId="77777777" w:rsidR="00A75BD0" w:rsidRDefault="009D4DA5">
            <w:pPr>
              <w:spacing w:before="120"/>
              <w:jc w:val="both"/>
              <w:rPr>
                <w:b/>
                <w:sz w:val="20"/>
                <w:szCs w:val="20"/>
              </w:rPr>
            </w:pPr>
            <w:r>
              <w:rPr>
                <w:sz w:val="20"/>
                <w:szCs w:val="20"/>
              </w:rPr>
              <w:t xml:space="preserve">Critères de prescription dans le traitement de Rendu-Osler dans le cas de </w:t>
            </w:r>
            <w:r>
              <w:rPr>
                <w:b/>
                <w:sz w:val="20"/>
                <w:szCs w:val="20"/>
              </w:rPr>
              <w:t>formes hémorragiques sévères ORL et/ou digestives liées à la maladie et justifiant des transfusions sanguines et/ou perfusions de fer itératives :</w:t>
            </w:r>
          </w:p>
          <w:p w14:paraId="55DD0E28" w14:textId="77777777" w:rsidR="00A75BD0" w:rsidRDefault="009D4DA5">
            <w:pPr>
              <w:keepLines/>
              <w:numPr>
                <w:ilvl w:val="0"/>
                <w:numId w:val="18"/>
              </w:numPr>
              <w:pBdr>
                <w:top w:val="nil"/>
                <w:left w:val="nil"/>
                <w:bottom w:val="nil"/>
                <w:right w:val="nil"/>
                <w:between w:val="nil"/>
              </w:pBdr>
              <w:spacing w:before="120"/>
              <w:jc w:val="both"/>
              <w:rPr>
                <w:color w:val="000000"/>
                <w:sz w:val="20"/>
                <w:szCs w:val="20"/>
              </w:rPr>
            </w:pPr>
            <w:r>
              <w:rPr>
                <w:color w:val="000000"/>
                <w:sz w:val="20"/>
                <w:szCs w:val="20"/>
              </w:rPr>
              <w:t>Maladie de Rendu-Osler confirmée par au moins 3 critères de Curaçao, dans un centre de compétence ou dans le centre de référence,</w:t>
            </w:r>
          </w:p>
          <w:p w14:paraId="1C750839" w14:textId="77777777" w:rsidR="00A75BD0" w:rsidRDefault="009D4DA5">
            <w:pPr>
              <w:keepLines/>
              <w:numPr>
                <w:ilvl w:val="0"/>
                <w:numId w:val="18"/>
              </w:numPr>
              <w:pBdr>
                <w:top w:val="nil"/>
                <w:left w:val="nil"/>
                <w:bottom w:val="nil"/>
                <w:right w:val="nil"/>
                <w:between w:val="nil"/>
              </w:pBdr>
              <w:spacing w:before="120"/>
              <w:jc w:val="both"/>
              <w:rPr>
                <w:color w:val="000000"/>
                <w:sz w:val="20"/>
                <w:szCs w:val="20"/>
              </w:rPr>
            </w:pPr>
            <w:r>
              <w:rPr>
                <w:color w:val="000000"/>
                <w:sz w:val="20"/>
                <w:szCs w:val="20"/>
              </w:rPr>
              <w:t>Age des patients &gt; 18 ans,</w:t>
            </w:r>
          </w:p>
          <w:p w14:paraId="50C93791" w14:textId="77777777" w:rsidR="00A75BD0" w:rsidRDefault="009D4DA5">
            <w:pPr>
              <w:numPr>
                <w:ilvl w:val="0"/>
                <w:numId w:val="18"/>
              </w:numPr>
              <w:spacing w:before="120"/>
              <w:jc w:val="both"/>
              <w:rPr>
                <w:sz w:val="20"/>
                <w:szCs w:val="20"/>
              </w:rPr>
            </w:pPr>
            <w:bookmarkStart w:id="1" w:name="bookmark=id.1fob9te" w:colFirst="0" w:colLast="0"/>
            <w:bookmarkEnd w:id="1"/>
            <w:r>
              <w:rPr>
                <w:sz w:val="20"/>
                <w:szCs w:val="20"/>
              </w:rPr>
              <w:t>Nécessité de transfusion sanguine et/ou de perfusions de fer itératives</w:t>
            </w:r>
          </w:p>
          <w:p w14:paraId="52658CBE" w14:textId="77777777" w:rsidR="00A75BD0" w:rsidRDefault="00A75BD0">
            <w:pPr>
              <w:keepLines/>
              <w:pBdr>
                <w:top w:val="nil"/>
                <w:left w:val="nil"/>
                <w:bottom w:val="nil"/>
                <w:right w:val="nil"/>
                <w:between w:val="nil"/>
              </w:pBdr>
              <w:spacing w:before="120"/>
              <w:jc w:val="both"/>
              <w:rPr>
                <w:color w:val="000000"/>
                <w:sz w:val="20"/>
                <w:szCs w:val="20"/>
              </w:rPr>
            </w:pPr>
          </w:p>
          <w:p w14:paraId="1CD5316A" w14:textId="77777777" w:rsidR="00A75BD0" w:rsidRDefault="009D4DA5">
            <w:pPr>
              <w:spacing w:before="120"/>
              <w:ind w:right="46"/>
              <w:jc w:val="both"/>
              <w:rPr>
                <w:rFonts w:ascii="Arial Narrow" w:eastAsia="Arial Narrow" w:hAnsi="Arial Narrow" w:cs="Arial Narrow"/>
                <w:b/>
              </w:rPr>
            </w:pPr>
            <w:r>
              <w:rPr>
                <w:rFonts w:ascii="Arial Narrow" w:eastAsia="Arial Narrow" w:hAnsi="Arial Narrow" w:cs="Arial Narrow"/>
                <w:b/>
                <w:color w:val="000000"/>
              </w:rPr>
              <w:t>Contre-indications</w:t>
            </w:r>
            <w:r>
              <w:rPr>
                <w:rFonts w:ascii="Arial Narrow" w:eastAsia="Arial Narrow" w:hAnsi="Arial Narrow" w:cs="Arial Narrow"/>
                <w:b/>
              </w:rPr>
              <w:t> (valables pour les deux indications) :</w:t>
            </w:r>
          </w:p>
          <w:p w14:paraId="39D56190" w14:textId="77777777" w:rsidR="00A75BD0" w:rsidRDefault="009D4DA5" w:rsidP="0BA40188">
            <w:pPr>
              <w:keepLines/>
              <w:numPr>
                <w:ilvl w:val="0"/>
                <w:numId w:val="18"/>
              </w:numPr>
              <w:pBdr>
                <w:top w:val="nil"/>
                <w:left w:val="nil"/>
                <w:bottom w:val="nil"/>
                <w:right w:val="nil"/>
                <w:between w:val="nil"/>
              </w:pBdr>
              <w:spacing w:before="120" w:after="160" w:line="259" w:lineRule="auto"/>
              <w:jc w:val="both"/>
              <w:rPr>
                <w:rFonts w:ascii="Calibri" w:eastAsia="Calibri" w:hAnsi="Calibri" w:cs="Calibri"/>
                <w:color w:val="000000"/>
                <w:sz w:val="20"/>
                <w:szCs w:val="20"/>
                <w:lang w:val="fr-FR"/>
              </w:rPr>
            </w:pPr>
            <w:r w:rsidRPr="0BA40188">
              <w:rPr>
                <w:rFonts w:ascii="Calibri" w:eastAsia="Calibri" w:hAnsi="Calibri" w:cs="Calibri"/>
                <w:color w:val="000000" w:themeColor="text1"/>
                <w:sz w:val="20"/>
                <w:szCs w:val="20"/>
                <w:lang w:val="fr-FR"/>
              </w:rPr>
              <w:t>Hypersensibilité à la substance active ou à l’un des excipients mentionnés à la rubrique 6.1. du RCP(1),</w:t>
            </w:r>
          </w:p>
          <w:p w14:paraId="4A0C91AD" w14:textId="77777777" w:rsidR="00A75BD0" w:rsidRDefault="009D4DA5">
            <w:pPr>
              <w:keepLines/>
              <w:numPr>
                <w:ilvl w:val="0"/>
                <w:numId w:val="18"/>
              </w:numPr>
              <w:pBdr>
                <w:top w:val="nil"/>
                <w:left w:val="nil"/>
                <w:bottom w:val="nil"/>
                <w:right w:val="nil"/>
                <w:between w:val="nil"/>
              </w:pBdr>
              <w:spacing w:before="120"/>
              <w:jc w:val="both"/>
              <w:rPr>
                <w:sz w:val="20"/>
                <w:szCs w:val="20"/>
              </w:rPr>
            </w:pPr>
            <w:r>
              <w:rPr>
                <w:color w:val="000000"/>
                <w:sz w:val="20"/>
                <w:szCs w:val="20"/>
              </w:rPr>
              <w:t>Hypersensibilité aux produits des cellules ovariennes de hamster Chinois (CHO) ou à d’autres anticorps recombinants humains ou humanisés,</w:t>
            </w:r>
          </w:p>
          <w:p w14:paraId="5F3D74CF" w14:textId="77777777" w:rsidR="00A75BD0" w:rsidRDefault="009D4DA5">
            <w:pPr>
              <w:keepLines/>
              <w:numPr>
                <w:ilvl w:val="0"/>
                <w:numId w:val="18"/>
              </w:numPr>
              <w:pBdr>
                <w:top w:val="nil"/>
                <w:left w:val="nil"/>
                <w:bottom w:val="nil"/>
                <w:right w:val="nil"/>
                <w:between w:val="nil"/>
              </w:pBdr>
              <w:spacing w:before="120"/>
              <w:jc w:val="both"/>
              <w:rPr>
                <w:rFonts w:ascii="Imago" w:eastAsia="Imago" w:hAnsi="Imago" w:cs="Imago"/>
                <w:color w:val="000000"/>
                <w:sz w:val="20"/>
                <w:szCs w:val="20"/>
              </w:rPr>
            </w:pPr>
            <w:r>
              <w:rPr>
                <w:color w:val="000000"/>
                <w:sz w:val="20"/>
                <w:szCs w:val="20"/>
              </w:rPr>
              <w:t>Grossesse</w:t>
            </w:r>
          </w:p>
          <w:p w14:paraId="53B716AB" w14:textId="77777777" w:rsidR="00A75BD0" w:rsidRDefault="009D4DA5">
            <w:pPr>
              <w:keepLines/>
              <w:numPr>
                <w:ilvl w:val="0"/>
                <w:numId w:val="18"/>
              </w:numPr>
              <w:pBdr>
                <w:top w:val="nil"/>
                <w:left w:val="nil"/>
                <w:bottom w:val="nil"/>
                <w:right w:val="nil"/>
                <w:between w:val="nil"/>
              </w:pBdr>
              <w:spacing w:before="120"/>
              <w:jc w:val="both"/>
              <w:rPr>
                <w:rFonts w:ascii="Imago" w:eastAsia="Imago" w:hAnsi="Imago" w:cs="Imago"/>
                <w:color w:val="000000"/>
                <w:sz w:val="20"/>
                <w:szCs w:val="20"/>
              </w:rPr>
            </w:pPr>
            <w:r>
              <w:rPr>
                <w:color w:val="000000"/>
                <w:sz w:val="20"/>
                <w:szCs w:val="20"/>
              </w:rPr>
              <w:t>Antécédent de thrombose profonde dans les 6 mois précédent le traitement</w:t>
            </w:r>
          </w:p>
          <w:p w14:paraId="31ED866C" w14:textId="77777777" w:rsidR="00A75BD0" w:rsidRDefault="009D4DA5">
            <w:pPr>
              <w:keepLines/>
              <w:numPr>
                <w:ilvl w:val="0"/>
                <w:numId w:val="18"/>
              </w:numPr>
              <w:pBdr>
                <w:top w:val="nil"/>
                <w:left w:val="nil"/>
                <w:bottom w:val="nil"/>
                <w:right w:val="nil"/>
                <w:between w:val="nil"/>
              </w:pBdr>
              <w:spacing w:before="120"/>
              <w:jc w:val="both"/>
              <w:rPr>
                <w:rFonts w:ascii="Imago" w:eastAsia="Imago" w:hAnsi="Imago" w:cs="Imago"/>
                <w:color w:val="000000"/>
                <w:sz w:val="20"/>
                <w:szCs w:val="20"/>
              </w:rPr>
            </w:pPr>
            <w:r>
              <w:rPr>
                <w:color w:val="000000"/>
                <w:sz w:val="20"/>
                <w:szCs w:val="20"/>
              </w:rPr>
              <w:t>Plaies non cicatrisées</w:t>
            </w:r>
          </w:p>
          <w:p w14:paraId="004AB115" w14:textId="77777777" w:rsidR="00A75BD0" w:rsidRDefault="00A75BD0">
            <w:pPr>
              <w:spacing w:before="120"/>
              <w:ind w:right="46"/>
              <w:jc w:val="both"/>
              <w:rPr>
                <w:sz w:val="20"/>
                <w:szCs w:val="20"/>
                <w:shd w:val="clear" w:color="auto" w:fill="F2F2F2"/>
              </w:rPr>
            </w:pPr>
          </w:p>
          <w:p w14:paraId="4C782FEB" w14:textId="77777777" w:rsidR="00A75BD0" w:rsidRDefault="00A75BD0"/>
        </w:tc>
      </w:tr>
    </w:tbl>
    <w:p w14:paraId="7779A522" w14:textId="77777777" w:rsidR="00A75BD0" w:rsidRDefault="009D4DA5">
      <w:pPr>
        <w:rPr>
          <w:rFonts w:ascii="Arial Narrow" w:eastAsia="Arial Narrow" w:hAnsi="Arial Narrow" w:cs="Arial Narrow"/>
          <w:b/>
          <w:color w:val="000000"/>
        </w:rPr>
      </w:pPr>
      <w:r>
        <w:br w:type="page"/>
      </w:r>
    </w:p>
    <w:p w14:paraId="10C103DD" w14:textId="77777777" w:rsidR="00A75BD0" w:rsidRDefault="009D4DA5">
      <w:pPr>
        <w:ind w:firstLine="709"/>
        <w:rPr>
          <w:rFonts w:ascii="Arial Narrow" w:eastAsia="Arial Narrow" w:hAnsi="Arial Narrow" w:cs="Arial Narrow"/>
          <w:b/>
          <w:color w:val="000000"/>
        </w:rPr>
      </w:pPr>
      <w:r>
        <w:rPr>
          <w:rFonts w:ascii="Arial Narrow" w:eastAsia="Arial Narrow" w:hAnsi="Arial Narrow" w:cs="Arial Narrow"/>
          <w:b/>
          <w:color w:val="000000"/>
        </w:rPr>
        <w:lastRenderedPageBreak/>
        <w:t>Posologie et mode d’administration</w:t>
      </w:r>
    </w:p>
    <w:p w14:paraId="57BDE829" w14:textId="77777777" w:rsidR="00A75BD0" w:rsidRDefault="009D4DA5">
      <w:pPr>
        <w:rPr>
          <w:rFonts w:ascii="Arial Narrow" w:eastAsia="Arial Narrow" w:hAnsi="Arial Narrow" w:cs="Arial Narrow"/>
          <w:b/>
          <w:color w:val="000000"/>
        </w:rPr>
      </w:pPr>
      <w:r>
        <w:rPr>
          <w:rFonts w:ascii="Arial Narrow" w:eastAsia="Arial Narrow" w:hAnsi="Arial Narrow" w:cs="Arial Narrow"/>
          <w:b/>
          <w:color w:val="000000"/>
        </w:rPr>
        <w:t>Ne pas agiter le flacon.</w:t>
      </w:r>
    </w:p>
    <w:p w14:paraId="2B80538C" w14:textId="77777777" w:rsidR="00A75BD0" w:rsidRDefault="009D4DA5" w:rsidP="0BA40188">
      <w:pPr>
        <w:spacing w:before="120"/>
        <w:jc w:val="both"/>
        <w:rPr>
          <w:rFonts w:ascii="Arial" w:eastAsia="Arial" w:hAnsi="Arial" w:cs="Arial"/>
          <w:sz w:val="20"/>
          <w:szCs w:val="20"/>
          <w:lang w:val="fr-FR"/>
        </w:rPr>
      </w:pPr>
      <w:r w:rsidRPr="0BA40188">
        <w:rPr>
          <w:rFonts w:ascii="Arial Narrow" w:eastAsia="Arial Narrow" w:hAnsi="Arial Narrow" w:cs="Arial Narrow"/>
          <w:b/>
          <w:bCs/>
          <w:color w:val="000000" w:themeColor="text1"/>
          <w:lang w:val="fr-FR"/>
        </w:rPr>
        <w:t>Le bevacizumab doit être administré sous le contrôle d’un médecin expérimenté dans la prise en charge de la maladie de Rendu-Osler.</w:t>
      </w:r>
    </w:p>
    <w:p w14:paraId="7511F5DA" w14:textId="77777777" w:rsidR="00A75BD0" w:rsidRDefault="009D4DA5">
      <w:pPr>
        <w:spacing w:before="120"/>
        <w:jc w:val="both"/>
        <w:rPr>
          <w:rFonts w:ascii="Arial" w:eastAsia="Arial" w:hAnsi="Arial" w:cs="Arial"/>
          <w:sz w:val="20"/>
          <w:szCs w:val="20"/>
        </w:rPr>
      </w:pPr>
      <w:r>
        <w:rPr>
          <w:rFonts w:ascii="Arial" w:eastAsia="Arial" w:hAnsi="Arial" w:cs="Arial"/>
          <w:sz w:val="20"/>
          <w:szCs w:val="20"/>
        </w:rPr>
        <w:t>Posologie :</w:t>
      </w:r>
    </w:p>
    <w:p w14:paraId="4D119DC9" w14:textId="77777777" w:rsidR="00A75BD0" w:rsidRDefault="009D4DA5" w:rsidP="0BA40188">
      <w:pPr>
        <w:spacing w:before="120"/>
        <w:jc w:val="both"/>
        <w:rPr>
          <w:rFonts w:ascii="Arial" w:eastAsia="Arial" w:hAnsi="Arial" w:cs="Arial"/>
          <w:sz w:val="20"/>
          <w:szCs w:val="20"/>
          <w:lang w:val="fr-FR"/>
        </w:rPr>
      </w:pPr>
      <w:r w:rsidRPr="0BA40188">
        <w:rPr>
          <w:rFonts w:ascii="Arial" w:eastAsia="Arial" w:hAnsi="Arial" w:cs="Arial"/>
          <w:sz w:val="20"/>
          <w:szCs w:val="20"/>
          <w:lang w:val="fr-FR"/>
        </w:rPr>
        <w:t xml:space="preserve">Il est recommandé d’utiliser un traitement d’induction de 6 perfusions de bevacizumab : 5 mg/kg de poids corporel administré en perfusion intraveineuse tous les 14 jours. </w:t>
      </w:r>
    </w:p>
    <w:p w14:paraId="37DF0FF2" w14:textId="77777777" w:rsidR="00A75BD0" w:rsidRDefault="009D4DA5" w:rsidP="0BA40188">
      <w:pPr>
        <w:spacing w:before="120"/>
        <w:jc w:val="both"/>
        <w:rPr>
          <w:rFonts w:ascii="Arial" w:eastAsia="Arial" w:hAnsi="Arial" w:cs="Arial"/>
          <w:sz w:val="20"/>
          <w:szCs w:val="20"/>
          <w:lang w:val="fr-FR"/>
        </w:rPr>
      </w:pPr>
      <w:r w:rsidRPr="0BA40188">
        <w:rPr>
          <w:rFonts w:ascii="Arial" w:eastAsia="Arial" w:hAnsi="Arial" w:cs="Arial"/>
          <w:sz w:val="20"/>
          <w:szCs w:val="20"/>
          <w:lang w:val="fr-FR"/>
        </w:rPr>
        <w:t>À l’issue de ce traitement et après évaluation de l’efficacité en réunion de concertation pluridisciplinaire, un traitement d’entretien est proposé avec une perfusion de 5 mg/kg toutes les 8 semaines. La posologie (dose et fréquence) sera ensuite adaptée en fonction de l’efficacité clinique et des taux résiduels sanguins en bevacizumab.</w:t>
      </w:r>
    </w:p>
    <w:p w14:paraId="03738E49" w14:textId="77777777" w:rsidR="00A75BD0" w:rsidRDefault="009D4DA5">
      <w:pPr>
        <w:rPr>
          <w:rFonts w:ascii="Arial" w:eastAsia="Arial" w:hAnsi="Arial" w:cs="Arial"/>
          <w:sz w:val="20"/>
          <w:szCs w:val="20"/>
        </w:rPr>
      </w:pPr>
      <w:r>
        <w:rPr>
          <w:rFonts w:ascii="Arial" w:eastAsia="Arial" w:hAnsi="Arial" w:cs="Arial"/>
          <w:sz w:val="20"/>
          <w:szCs w:val="20"/>
        </w:rPr>
        <w:t>Mode d’administration :</w:t>
      </w:r>
    </w:p>
    <w:p w14:paraId="0326320F" w14:textId="77777777" w:rsidR="00A75BD0" w:rsidRDefault="009D4DA5">
      <w:pPr>
        <w:spacing w:before="120"/>
        <w:jc w:val="both"/>
        <w:rPr>
          <w:rFonts w:ascii="Arial" w:eastAsia="Arial" w:hAnsi="Arial" w:cs="Arial"/>
          <w:sz w:val="20"/>
          <w:szCs w:val="20"/>
        </w:rPr>
      </w:pPr>
      <w:r>
        <w:rPr>
          <w:rFonts w:ascii="Arial" w:eastAsia="Arial" w:hAnsi="Arial" w:cs="Arial"/>
          <w:sz w:val="20"/>
          <w:szCs w:val="20"/>
        </w:rPr>
        <w:t>La dose initiale doit être administrée par une perfusion intraveineuse de 90 minutes. Si la première perfusion est bien tolérée, la deuxième perfusion peut être administrée en 60 minutes. Si la perfusion administrée en 60 minutes est bien tolérée, toutes les perfusions ultérieures pourront être administrées en 30 minutes.</w:t>
      </w:r>
    </w:p>
    <w:p w14:paraId="6B5B0B04" w14:textId="77777777" w:rsidR="00A75BD0" w:rsidRDefault="009D4DA5">
      <w:pPr>
        <w:spacing w:before="120"/>
        <w:jc w:val="both"/>
        <w:rPr>
          <w:rFonts w:ascii="Arial" w:eastAsia="Arial" w:hAnsi="Arial" w:cs="Arial"/>
          <w:sz w:val="20"/>
          <w:szCs w:val="20"/>
        </w:rPr>
      </w:pPr>
      <w:r>
        <w:rPr>
          <w:rFonts w:ascii="Arial" w:eastAsia="Arial" w:hAnsi="Arial" w:cs="Arial"/>
          <w:sz w:val="20"/>
          <w:szCs w:val="20"/>
        </w:rPr>
        <w:t>Ne pas administrer par voie I.V. rapide ou en bolus. Précautions à prendre avant la manipulation ou l’administration du médicament :</w:t>
      </w:r>
    </w:p>
    <w:p w14:paraId="1EC280AF" w14:textId="77777777" w:rsidR="00A75BD0" w:rsidRDefault="009D4DA5" w:rsidP="0BA40188">
      <w:pPr>
        <w:spacing w:before="120"/>
        <w:jc w:val="both"/>
        <w:rPr>
          <w:rFonts w:ascii="Arial" w:eastAsia="Arial" w:hAnsi="Arial" w:cs="Arial"/>
          <w:sz w:val="20"/>
          <w:szCs w:val="20"/>
          <w:lang w:val="fr-FR"/>
        </w:rPr>
      </w:pPr>
      <w:r w:rsidRPr="0BA40188">
        <w:rPr>
          <w:rFonts w:ascii="Arial" w:eastAsia="Arial" w:hAnsi="Arial" w:cs="Arial"/>
          <w:sz w:val="20"/>
          <w:szCs w:val="20"/>
          <w:lang w:val="fr-FR"/>
        </w:rPr>
        <w:t>Pour les instructions concernant la dilution du médicament avant administration, voir la rubrique 6.6 du RCP</w:t>
      </w:r>
      <w:r w:rsidRPr="0BA40188">
        <w:rPr>
          <w:sz w:val="20"/>
          <w:szCs w:val="20"/>
          <w:lang w:val="fr-FR"/>
        </w:rPr>
        <w:t>(1)</w:t>
      </w:r>
      <w:r w:rsidRPr="0BA40188">
        <w:rPr>
          <w:rFonts w:ascii="Arial" w:eastAsia="Arial" w:hAnsi="Arial" w:cs="Arial"/>
          <w:sz w:val="20"/>
          <w:szCs w:val="20"/>
          <w:lang w:val="fr-FR"/>
        </w:rPr>
        <w:t>. Les perfusions de bevacizumab ne doivent pas être administrées, ou mélangées, avec des solutions de glucose. Ce médicament ne doit pas être mélangé à d’autres médicaments exceptés ceux mentionnés dans la rubrique 6.6 du RCP</w:t>
      </w:r>
      <w:r w:rsidRPr="0BA40188">
        <w:rPr>
          <w:sz w:val="20"/>
          <w:szCs w:val="20"/>
          <w:lang w:val="fr-FR"/>
        </w:rPr>
        <w:t>(1)</w:t>
      </w:r>
      <w:r w:rsidRPr="0BA40188">
        <w:rPr>
          <w:rFonts w:ascii="Arial" w:eastAsia="Arial" w:hAnsi="Arial" w:cs="Arial"/>
          <w:sz w:val="20"/>
          <w:szCs w:val="20"/>
          <w:lang w:val="fr-FR"/>
        </w:rPr>
        <w:t>.</w:t>
      </w:r>
    </w:p>
    <w:p w14:paraId="26CF7718" w14:textId="77777777" w:rsidR="00A75BD0" w:rsidRDefault="009D4DA5">
      <w:pPr>
        <w:keepNext/>
        <w:spacing w:before="240"/>
        <w:rPr>
          <w:rFonts w:ascii="Arial" w:eastAsia="Arial" w:hAnsi="Arial" w:cs="Arial"/>
          <w:sz w:val="20"/>
          <w:szCs w:val="20"/>
        </w:rPr>
      </w:pPr>
      <w:r>
        <w:rPr>
          <w:rFonts w:ascii="Arial" w:eastAsia="Arial" w:hAnsi="Arial" w:cs="Arial"/>
          <w:sz w:val="20"/>
          <w:szCs w:val="20"/>
        </w:rPr>
        <w:t>Modalités de retraitement :</w:t>
      </w:r>
    </w:p>
    <w:p w14:paraId="00188C12" w14:textId="77777777" w:rsidR="00A75BD0" w:rsidRDefault="009D4DA5" w:rsidP="0BA40188">
      <w:pPr>
        <w:spacing w:before="120"/>
        <w:jc w:val="both"/>
        <w:rPr>
          <w:rFonts w:ascii="Arial" w:eastAsia="Arial" w:hAnsi="Arial" w:cs="Arial"/>
          <w:sz w:val="20"/>
          <w:szCs w:val="20"/>
          <w:lang w:val="fr-FR"/>
        </w:rPr>
      </w:pPr>
      <w:r w:rsidRPr="0BA40188">
        <w:rPr>
          <w:rFonts w:ascii="Arial" w:eastAsia="Arial" w:hAnsi="Arial" w:cs="Arial"/>
          <w:sz w:val="20"/>
          <w:szCs w:val="20"/>
          <w:lang w:val="fr-FR"/>
        </w:rPr>
        <w:t>Si le prescripteur décide de retraiter un patient par bevacizumab, le schéma posologique devra comprendre une nouvelle phase d’induction.</w:t>
      </w:r>
    </w:p>
    <w:p w14:paraId="48C2326E" w14:textId="77777777" w:rsidR="00A75BD0" w:rsidRDefault="009D4DA5">
      <w:pPr>
        <w:keepNext/>
        <w:spacing w:before="240"/>
        <w:rPr>
          <w:rFonts w:ascii="Arial" w:eastAsia="Arial" w:hAnsi="Arial" w:cs="Arial"/>
          <w:sz w:val="20"/>
          <w:szCs w:val="20"/>
        </w:rPr>
      </w:pPr>
      <w:r>
        <w:rPr>
          <w:rFonts w:ascii="Arial" w:eastAsia="Arial" w:hAnsi="Arial" w:cs="Arial"/>
          <w:sz w:val="20"/>
          <w:szCs w:val="20"/>
        </w:rPr>
        <w:t>Suivi du traitement :</w:t>
      </w:r>
    </w:p>
    <w:p w14:paraId="5D158006" w14:textId="77777777" w:rsidR="00A75BD0" w:rsidRDefault="009D4DA5" w:rsidP="0BA40188">
      <w:pPr>
        <w:spacing w:before="120"/>
        <w:jc w:val="both"/>
        <w:rPr>
          <w:rFonts w:ascii="Arial" w:eastAsia="Arial" w:hAnsi="Arial" w:cs="Arial"/>
          <w:sz w:val="20"/>
          <w:szCs w:val="20"/>
          <w:lang w:val="fr-FR"/>
        </w:rPr>
      </w:pPr>
      <w:r w:rsidRPr="0BA40188">
        <w:rPr>
          <w:rFonts w:ascii="Arial" w:eastAsia="Arial" w:hAnsi="Arial" w:cs="Arial"/>
          <w:sz w:val="20"/>
          <w:szCs w:val="20"/>
          <w:lang w:val="fr-FR"/>
        </w:rPr>
        <w:t>Le dosage des taux résiduels en bevacizumab est recommandé avant chaque perfusion puis le suivi est adapté pour chaque patient en fonction de la réponse clinique. Le laboratoire de biologie médicale de référence dans le suivi thérapeutique pharmacologique des anticorps monoclonaux du CHRU de Tours (CePiBAc)</w:t>
      </w:r>
      <w:r w:rsidRPr="0BA40188">
        <w:rPr>
          <w:rFonts w:ascii="Arial" w:eastAsia="Arial" w:hAnsi="Arial" w:cs="Arial"/>
          <w:sz w:val="20"/>
          <w:szCs w:val="20"/>
          <w:vertAlign w:val="superscript"/>
          <w:lang w:val="fr-FR"/>
        </w:rPr>
        <w:footnoteReference w:id="2"/>
      </w:r>
      <w:r w:rsidRPr="0BA40188">
        <w:rPr>
          <w:rFonts w:ascii="Arial" w:eastAsia="Arial" w:hAnsi="Arial" w:cs="Arial"/>
          <w:sz w:val="20"/>
          <w:szCs w:val="20"/>
          <w:lang w:val="fr-FR"/>
        </w:rPr>
        <w:t xml:space="preserve"> centralise les analyses. La posologie en bevacizumab est ensuite réévaluée en réunion de concertation pluridisciplinaire mensuelle par l’équipe médicale prenant en charge le patient, le centre de référence pour la maladie de Rendu-Osler et les praticiens pharmacologues du CHRU de Tours.</w:t>
      </w:r>
    </w:p>
    <w:p w14:paraId="1CDD5A65"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Le traitement par bevacizumab doit être interrompu en l'absence d'efficacité ou en cas de survenue d’une toxicité inacceptable.</w:t>
      </w:r>
    </w:p>
    <w:p w14:paraId="72E1A3F6" w14:textId="77777777" w:rsidR="00A75BD0" w:rsidRDefault="009D4DA5">
      <w:pPr>
        <w:ind w:firstLine="709"/>
        <w:rPr>
          <w:rFonts w:ascii="Arial Narrow" w:eastAsia="Arial Narrow" w:hAnsi="Arial Narrow" w:cs="Arial Narrow"/>
          <w:b/>
          <w:color w:val="000000"/>
        </w:rPr>
      </w:pPr>
      <w:r>
        <w:rPr>
          <w:rFonts w:ascii="Arial Narrow" w:eastAsia="Arial Narrow" w:hAnsi="Arial Narrow" w:cs="Arial Narrow"/>
          <w:b/>
          <w:color w:val="000000"/>
        </w:rPr>
        <w:t>Mises en Garde/Précautions d’Emploi :</w:t>
      </w:r>
    </w:p>
    <w:p w14:paraId="555C1B50" w14:textId="77777777" w:rsidR="00A75BD0" w:rsidRDefault="009D4DA5" w:rsidP="0BA40188">
      <w:pPr>
        <w:spacing w:before="120"/>
        <w:ind w:right="46"/>
        <w:jc w:val="both"/>
        <w:rPr>
          <w:rFonts w:ascii="Arial" w:eastAsia="Arial" w:hAnsi="Arial" w:cs="Arial"/>
          <w:sz w:val="20"/>
          <w:szCs w:val="20"/>
          <w:lang w:val="fr-FR"/>
        </w:rPr>
      </w:pPr>
      <w:r w:rsidRPr="0BA40188">
        <w:rPr>
          <w:sz w:val="20"/>
          <w:szCs w:val="20"/>
          <w:lang w:val="fr-FR"/>
        </w:rPr>
        <w:t>L</w:t>
      </w:r>
      <w:r w:rsidRPr="0BA40188">
        <w:rPr>
          <w:rFonts w:ascii="Arial" w:eastAsia="Arial" w:hAnsi="Arial" w:cs="Arial"/>
          <w:sz w:val="20"/>
          <w:szCs w:val="20"/>
          <w:lang w:val="fr-FR"/>
        </w:rPr>
        <w:t>es mises en garde spéciales et précautions d’emploi sont identiques à celles de l’AMM. Il convient donc que le médecin prescrivant du bevacizumab dans ce CPC prenne connaissance de la section 4.4 du RCP</w:t>
      </w:r>
      <w:r w:rsidRPr="0BA40188">
        <w:rPr>
          <w:sz w:val="20"/>
          <w:szCs w:val="20"/>
          <w:lang w:val="fr-FR"/>
        </w:rPr>
        <w:t>(1)</w:t>
      </w:r>
      <w:r w:rsidRPr="0BA40188">
        <w:rPr>
          <w:rFonts w:ascii="Arial" w:eastAsia="Arial" w:hAnsi="Arial" w:cs="Arial"/>
          <w:sz w:val="20"/>
          <w:szCs w:val="20"/>
          <w:lang w:val="fr-FR"/>
        </w:rPr>
        <w:t xml:space="preserve"> correspondant à l’AMM.</w:t>
      </w:r>
    </w:p>
    <w:p w14:paraId="4990AB25" w14:textId="77777777" w:rsidR="00A75BD0" w:rsidRDefault="009D4DA5">
      <w:pPr>
        <w:rPr>
          <w:rFonts w:ascii="Arial Narrow" w:eastAsia="Arial Narrow" w:hAnsi="Arial Narrow" w:cs="Arial Narrow"/>
          <w:b/>
          <w:color w:val="000000"/>
        </w:rPr>
      </w:pPr>
      <w:r>
        <w:rPr>
          <w:rFonts w:ascii="Arial Narrow" w:eastAsia="Arial Narrow" w:hAnsi="Arial Narrow" w:cs="Arial Narrow"/>
          <w:b/>
          <w:color w:val="000000"/>
        </w:rPr>
        <w:lastRenderedPageBreak/>
        <w:t>Fertilité, grossesse, allaitement</w:t>
      </w:r>
    </w:p>
    <w:p w14:paraId="4E029789" w14:textId="77777777" w:rsidR="00A75BD0" w:rsidRDefault="009D4DA5">
      <w:pPr>
        <w:rPr>
          <w:rFonts w:ascii="Arial" w:eastAsia="Arial" w:hAnsi="Arial" w:cs="Arial"/>
          <w:sz w:val="20"/>
          <w:szCs w:val="20"/>
        </w:rPr>
      </w:pPr>
      <w:r>
        <w:rPr>
          <w:rFonts w:ascii="Arial" w:eastAsia="Arial" w:hAnsi="Arial" w:cs="Arial"/>
          <w:i/>
          <w:sz w:val="20"/>
          <w:szCs w:val="20"/>
        </w:rPr>
        <w:t>Femmes en âge d’avoir des enfants</w:t>
      </w:r>
      <w:r>
        <w:rPr>
          <w:rFonts w:ascii="Arial" w:eastAsia="Arial" w:hAnsi="Arial" w:cs="Arial"/>
          <w:sz w:val="20"/>
          <w:szCs w:val="20"/>
        </w:rPr>
        <w:br/>
        <w:t>Les femmes en âge de procréer doivent utiliser des mesures efficaces de contraception au cours du traitement et pendant les 6 mois qui suivent son arrêt.</w:t>
      </w:r>
    </w:p>
    <w:p w14:paraId="547C4E97"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i/>
          <w:iCs/>
          <w:sz w:val="20"/>
          <w:szCs w:val="20"/>
          <w:lang w:val="fr-FR"/>
        </w:rPr>
        <w:t>Grossesse</w:t>
      </w:r>
      <w:r>
        <w:br/>
      </w:r>
      <w:r w:rsidRPr="0BA40188">
        <w:rPr>
          <w:rFonts w:ascii="Arial" w:eastAsia="Arial" w:hAnsi="Arial" w:cs="Arial"/>
          <w:sz w:val="20"/>
          <w:szCs w:val="20"/>
          <w:lang w:val="fr-FR"/>
        </w:rPr>
        <w:t>Il n’existe pas de données issues d’essais cliniques concernant l’utilisation du bevacizumab chez les femmes enceintes. Des études chez l’animal ont mis en évidence une toxicité sur la reproduction incluant des malformations (voir rubrique 5.3 du RCP</w:t>
      </w:r>
      <w:r w:rsidRPr="0BA40188">
        <w:rPr>
          <w:sz w:val="20"/>
          <w:szCs w:val="20"/>
          <w:lang w:val="fr-FR"/>
        </w:rPr>
        <w:t>(1)</w:t>
      </w:r>
      <w:r w:rsidRPr="0BA40188">
        <w:rPr>
          <w:rFonts w:ascii="Arial" w:eastAsia="Arial" w:hAnsi="Arial" w:cs="Arial"/>
          <w:sz w:val="20"/>
          <w:szCs w:val="20"/>
          <w:lang w:val="fr-FR"/>
        </w:rPr>
        <w:t>). Il est connu que les IgG franchissent la barrière placentaire et le bevacizumab est susceptible d’inhiber l’angiogenèse fœtale, ce qui pourrait causer de graves anomalies congénitales lors d’une administration pendant la grossesse. Après commercialisation, des cas d’anomalies fœtales ont été observés chez des femmes traitées par bevacizumab seul ou en association à des chimiothérapies connues pour être embryotoxiques. Bevacizumab est contre-indiqué chez la femme enceinte.</w:t>
      </w:r>
    </w:p>
    <w:p w14:paraId="3FDFDF4E"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i/>
          <w:iCs/>
          <w:sz w:val="20"/>
          <w:szCs w:val="20"/>
          <w:lang w:val="fr-FR"/>
        </w:rPr>
        <w:t>Allaitement</w:t>
      </w:r>
      <w:r>
        <w:br/>
      </w:r>
      <w:r w:rsidRPr="0BA40188">
        <w:rPr>
          <w:rFonts w:ascii="Arial" w:eastAsia="Arial" w:hAnsi="Arial" w:cs="Arial"/>
          <w:sz w:val="20"/>
          <w:szCs w:val="20"/>
          <w:lang w:val="fr-FR"/>
        </w:rPr>
        <w:t>On ne sait pas si le bevacizumab est excrété dans le lait humain. Puisque les IgG maternelles passent dans le lait et que le bevacizumab pourrait compromettre la croissance et le développement du nourrisson (voir rubrique 5.3 du RCP</w:t>
      </w:r>
      <w:r w:rsidRPr="0BA40188">
        <w:rPr>
          <w:sz w:val="20"/>
          <w:szCs w:val="20"/>
          <w:lang w:val="fr-FR"/>
        </w:rPr>
        <w:t>(1)</w:t>
      </w:r>
      <w:r w:rsidRPr="0BA40188">
        <w:rPr>
          <w:rFonts w:ascii="Arial" w:eastAsia="Arial" w:hAnsi="Arial" w:cs="Arial"/>
          <w:sz w:val="20"/>
          <w:szCs w:val="20"/>
          <w:lang w:val="fr-FR"/>
        </w:rPr>
        <w:t>), les femmes doivent interrompre l’allaitement pendant le traitement et ne doivent pas allaiter pendant au moins 6 mois après l’administration de la dernière dose de bevacizumab.</w:t>
      </w:r>
    </w:p>
    <w:p w14:paraId="0A86951F"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i/>
          <w:iCs/>
          <w:sz w:val="20"/>
          <w:szCs w:val="20"/>
          <w:lang w:val="fr-FR"/>
        </w:rPr>
        <w:t>Fertilité</w:t>
      </w:r>
      <w:r>
        <w:br/>
      </w:r>
      <w:r w:rsidRPr="0BA40188">
        <w:rPr>
          <w:rFonts w:ascii="Arial" w:eastAsia="Arial" w:hAnsi="Arial" w:cs="Arial"/>
          <w:sz w:val="20"/>
          <w:szCs w:val="20"/>
          <w:lang w:val="fr-FR"/>
        </w:rPr>
        <w:t>Des études de toxicité par administration répétée chez l’animal ont révélé que le bevacizumab pourrait avoir un effet indésirable sur la fertilité des femmes (voir rubrique 5.3 du RCP</w:t>
      </w:r>
      <w:r w:rsidRPr="0BA40188">
        <w:rPr>
          <w:sz w:val="20"/>
          <w:szCs w:val="20"/>
          <w:lang w:val="fr-FR"/>
        </w:rPr>
        <w:t>(1)</w:t>
      </w:r>
      <w:r w:rsidRPr="0BA40188">
        <w:rPr>
          <w:rFonts w:ascii="Arial" w:eastAsia="Arial" w:hAnsi="Arial" w:cs="Arial"/>
          <w:sz w:val="20"/>
          <w:szCs w:val="20"/>
          <w:lang w:val="fr-FR"/>
        </w:rPr>
        <w:t>). Dans un essai de phase III chez des patients atteints d’un cancer colorectal en traitement adjuvant, une sous-étude a montré, chez des femmes non ménopausées, une augmentation de l’incidence de nouveaux cas d’insuffisance ovarienne dans le groupe bevacizumab comparé au groupe contrôle. Après arrêt du traitement par le bevacizumab, la fonction ovarienne s’est rétablie pour la majorité des patientes concernées. Les effets à long-terme d’un traitement par bevacizumab sur la fertilité ne sont à ce jour pas connus.</w:t>
      </w:r>
    </w:p>
    <w:p w14:paraId="68137B4F" w14:textId="77777777" w:rsidR="00A75BD0" w:rsidRDefault="009D4DA5">
      <w:pPr>
        <w:ind w:firstLine="709"/>
        <w:rPr>
          <w:rFonts w:ascii="Arial Narrow" w:eastAsia="Arial Narrow" w:hAnsi="Arial Narrow" w:cs="Arial Narrow"/>
          <w:b/>
          <w:color w:val="000000"/>
        </w:rPr>
      </w:pPr>
      <w:r>
        <w:rPr>
          <w:rFonts w:ascii="Arial Narrow" w:eastAsia="Arial Narrow" w:hAnsi="Arial Narrow" w:cs="Arial Narrow"/>
          <w:b/>
          <w:color w:val="000000"/>
        </w:rPr>
        <w:t xml:space="preserve">Effets indésirables </w:t>
      </w:r>
    </w:p>
    <w:p w14:paraId="4E6E769E" w14:textId="77777777" w:rsidR="00A75BD0" w:rsidRDefault="00A75BD0">
      <w:pPr>
        <w:ind w:firstLine="709"/>
        <w:rPr>
          <w:rFonts w:ascii="Arial" w:eastAsia="Arial" w:hAnsi="Arial" w:cs="Arial"/>
          <w:i/>
          <w:color w:val="767171"/>
          <w:sz w:val="20"/>
          <w:szCs w:val="20"/>
        </w:rPr>
      </w:pPr>
    </w:p>
    <w:p w14:paraId="7EC95AF8"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Les effets indésirables attendus sont identiques à ceux de l’AMM. Il convient donc que le médecin prescrivant du bevacizumab dans ce CPC prenne connaissance de la section 4.8 du RCP</w:t>
      </w:r>
      <w:r w:rsidRPr="0BA40188">
        <w:rPr>
          <w:sz w:val="20"/>
          <w:szCs w:val="20"/>
          <w:lang w:val="fr-FR"/>
        </w:rPr>
        <w:t>(1)</w:t>
      </w:r>
      <w:r w:rsidRPr="0BA40188">
        <w:rPr>
          <w:rFonts w:ascii="Arial" w:eastAsia="Arial" w:hAnsi="Arial" w:cs="Arial"/>
          <w:sz w:val="20"/>
          <w:szCs w:val="20"/>
          <w:lang w:val="fr-FR"/>
        </w:rPr>
        <w:t xml:space="preserve"> correspondant à l’AMM.</w:t>
      </w:r>
    </w:p>
    <w:p w14:paraId="0DB3D88E" w14:textId="77777777" w:rsidR="00A75BD0" w:rsidRDefault="009D4DA5">
      <w:pPr>
        <w:ind w:firstLine="709"/>
        <w:rPr>
          <w:rFonts w:ascii="Arial Narrow" w:eastAsia="Arial Narrow" w:hAnsi="Arial Narrow" w:cs="Arial Narrow"/>
          <w:b/>
          <w:color w:val="000000"/>
        </w:rPr>
      </w:pPr>
      <w:r>
        <w:rPr>
          <w:rFonts w:ascii="Arial Narrow" w:eastAsia="Arial Narrow" w:hAnsi="Arial Narrow" w:cs="Arial Narrow"/>
          <w:b/>
          <w:color w:val="000000"/>
        </w:rPr>
        <w:t>Conditions de prescription et de délivrance du CPC</w:t>
      </w:r>
    </w:p>
    <w:p w14:paraId="478767D3" w14:textId="77777777" w:rsidR="00A75BD0" w:rsidRDefault="009D4DA5">
      <w:pPr>
        <w:spacing w:after="0" w:line="240" w:lineRule="auto"/>
        <w:jc w:val="both"/>
        <w:rPr>
          <w:rFonts w:ascii="Arial" w:eastAsia="Arial" w:hAnsi="Arial" w:cs="Arial"/>
          <w:i/>
          <w:color w:val="767171"/>
          <w:sz w:val="20"/>
          <w:szCs w:val="20"/>
        </w:rPr>
      </w:pPr>
      <w:r>
        <w:rPr>
          <w:rFonts w:ascii="Arial" w:eastAsia="Arial" w:hAnsi="Arial" w:cs="Arial"/>
          <w:i/>
          <w:color w:val="767171"/>
          <w:sz w:val="20"/>
          <w:szCs w:val="20"/>
        </w:rPr>
        <w:t>En complément des conditions de prescription et de délivrance, se rapporter au chapitre « Note d’information destinée aux professionnels de santé intervenant dans le CPC » pour plus d’informations sur les mentions obligatoires à porter sur l’ordonnance.</w:t>
      </w:r>
    </w:p>
    <w:p w14:paraId="30A6D1E2" w14:textId="77777777" w:rsidR="00A75BD0" w:rsidRDefault="00A75BD0">
      <w:pPr>
        <w:ind w:left="720"/>
        <w:jc w:val="both"/>
        <w:rPr>
          <w:rFonts w:ascii="Arial" w:eastAsia="Arial" w:hAnsi="Arial" w:cs="Arial"/>
          <w:i/>
          <w:color w:val="9933FF"/>
        </w:rPr>
      </w:pPr>
    </w:p>
    <w:p w14:paraId="0ACEA8D7" w14:textId="77777777" w:rsidR="00A75BD0" w:rsidRDefault="009D4DA5">
      <w:pPr>
        <w:jc w:val="both"/>
        <w:rPr>
          <w:rFonts w:ascii="Arial" w:eastAsia="Arial" w:hAnsi="Arial" w:cs="Arial"/>
          <w:sz w:val="20"/>
          <w:szCs w:val="20"/>
        </w:rPr>
      </w:pPr>
      <w:bookmarkStart w:id="2" w:name="bookmark=id.3znysh7" w:colFirst="0" w:colLast="0"/>
      <w:bookmarkEnd w:id="2"/>
      <w:r>
        <w:rPr>
          <w:rFonts w:ascii="Arial" w:eastAsia="Arial" w:hAnsi="Arial" w:cs="Arial"/>
          <w:sz w:val="20"/>
          <w:szCs w:val="20"/>
        </w:rPr>
        <w:t>Liste I</w:t>
      </w:r>
    </w:p>
    <w:p w14:paraId="352FFC80"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 xml:space="preserve">Le bevacizumab est réservé à l’usage hospitalier. </w:t>
      </w:r>
    </w:p>
    <w:p w14:paraId="0CF67D6A" w14:textId="77777777" w:rsidR="00A75BD0" w:rsidRDefault="00A75BD0">
      <w:pPr>
        <w:jc w:val="both"/>
        <w:rPr>
          <w:rFonts w:ascii="Arial" w:eastAsia="Arial" w:hAnsi="Arial" w:cs="Arial"/>
          <w:sz w:val="20"/>
          <w:szCs w:val="20"/>
        </w:rPr>
      </w:pPr>
    </w:p>
    <w:p w14:paraId="673606D9" w14:textId="77777777" w:rsidR="00A75BD0" w:rsidRDefault="009D4DA5">
      <w:pPr>
        <w:jc w:val="both"/>
        <w:rPr>
          <w:rFonts w:ascii="Arial" w:eastAsia="Arial" w:hAnsi="Arial" w:cs="Arial"/>
          <w:sz w:val="20"/>
          <w:szCs w:val="20"/>
        </w:rPr>
      </w:pPr>
      <w:r>
        <w:rPr>
          <w:rFonts w:ascii="Arial" w:eastAsia="Arial" w:hAnsi="Arial" w:cs="Arial"/>
          <w:sz w:val="20"/>
          <w:szCs w:val="20"/>
        </w:rPr>
        <w:t>La prescription s’effectuera par un médecin du centre de compétence (CCMR) dont dépend le patient ou d’un médecin en charge du patient dans un centre hospitalier de proximité en lien étroit avec le CC-MR le plus proche ou le centre de référence (CRMR) de la maladie de Rendu-Osler.</w:t>
      </w:r>
    </w:p>
    <w:p w14:paraId="1EB1ADA4" w14:textId="77777777" w:rsidR="00A75BD0" w:rsidRDefault="009D4DA5">
      <w:pPr>
        <w:rPr>
          <w:rFonts w:ascii="Arial Narrow" w:eastAsia="Arial Narrow" w:hAnsi="Arial Narrow" w:cs="Arial Narrow"/>
          <w:color w:val="2E75B5"/>
          <w:sz w:val="28"/>
          <w:szCs w:val="28"/>
        </w:rPr>
      </w:pPr>
      <w:bookmarkStart w:id="3" w:name="_heading=h.2et92p0" w:colFirst="0" w:colLast="0"/>
      <w:bookmarkEnd w:id="3"/>
      <w:r>
        <w:br w:type="page"/>
      </w:r>
    </w:p>
    <w:p w14:paraId="215F3B41" w14:textId="77777777" w:rsidR="00A75BD0" w:rsidRDefault="009D4DA5">
      <w:pPr>
        <w:pStyle w:val="Titre2"/>
        <w:numPr>
          <w:ilvl w:val="0"/>
          <w:numId w:val="26"/>
        </w:numPr>
        <w:rPr>
          <w:rFonts w:ascii="Arial Narrow" w:eastAsia="Arial Narrow" w:hAnsi="Arial Narrow" w:cs="Arial Narrow"/>
          <w:sz w:val="28"/>
          <w:szCs w:val="28"/>
        </w:rPr>
      </w:pPr>
      <w:r>
        <w:rPr>
          <w:rFonts w:ascii="Arial Narrow" w:eastAsia="Arial Narrow" w:hAnsi="Arial Narrow" w:cs="Arial Narrow"/>
          <w:sz w:val="28"/>
          <w:szCs w:val="28"/>
        </w:rPr>
        <w:lastRenderedPageBreak/>
        <w:t xml:space="preserve">MODALITES PRATIQUES DE SUIVI DES PATIENTS TRAITES </w:t>
      </w:r>
    </w:p>
    <w:p w14:paraId="5D70FBD0" w14:textId="77777777" w:rsidR="00A75BD0" w:rsidRDefault="00A75BD0"/>
    <w:p w14:paraId="5279342D" w14:textId="77777777" w:rsidR="00A75BD0" w:rsidRDefault="009D4DA5">
      <w:pPr>
        <w:ind w:firstLine="360"/>
        <w:rPr>
          <w:rFonts w:ascii="Arial" w:eastAsia="Arial" w:hAnsi="Arial" w:cs="Arial"/>
          <w:b/>
          <w:sz w:val="20"/>
          <w:szCs w:val="20"/>
        </w:rPr>
      </w:pPr>
      <w:r>
        <w:rPr>
          <w:rFonts w:ascii="Arial" w:eastAsia="Arial" w:hAnsi="Arial" w:cs="Arial"/>
          <w:b/>
          <w:sz w:val="20"/>
          <w:szCs w:val="20"/>
        </w:rPr>
        <w:t xml:space="preserve">Suivi des patients traités avec collecte de données </w:t>
      </w:r>
    </w:p>
    <w:p w14:paraId="0ED3857B" w14:textId="77777777" w:rsidR="00A75BD0" w:rsidRDefault="009D4DA5">
      <w:pPr>
        <w:jc w:val="center"/>
        <w:rPr>
          <w:rFonts w:ascii="Arial" w:eastAsia="Arial" w:hAnsi="Arial" w:cs="Arial"/>
          <w:sz w:val="20"/>
          <w:szCs w:val="20"/>
        </w:rPr>
      </w:pPr>
      <w:r>
        <w:t xml:space="preserve">     </w:t>
      </w:r>
      <w:r>
        <w:rPr>
          <w:noProof/>
          <w:lang w:val="fr-FR"/>
        </w:rPr>
        <w:drawing>
          <wp:anchor distT="0" distB="0" distL="114300" distR="114300" simplePos="0" relativeHeight="251658240" behindDoc="0" locked="0" layoutInCell="1" hidden="0" allowOverlap="1" wp14:anchorId="36FDB1C4" wp14:editId="3D99855F">
            <wp:simplePos x="0" y="0"/>
            <wp:positionH relativeFrom="column">
              <wp:posOffset>-375281</wp:posOffset>
            </wp:positionH>
            <wp:positionV relativeFrom="paragraph">
              <wp:posOffset>217170</wp:posOffset>
            </wp:positionV>
            <wp:extent cx="6073140" cy="4667250"/>
            <wp:effectExtent l="0" t="0" r="0" b="0"/>
            <wp:wrapTopAndBottom distT="0" distB="0"/>
            <wp:docPr id="2146653940" name="image9.png" descr="A diagram of a medical procedu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iagram of a medical procedure&#10;&#10;AI-generated content may be incorrect."/>
                    <pic:cNvPicPr preferRelativeResize="0"/>
                  </pic:nvPicPr>
                  <pic:blipFill>
                    <a:blip r:embed="rId13"/>
                    <a:srcRect/>
                    <a:stretch>
                      <a:fillRect/>
                    </a:stretch>
                  </pic:blipFill>
                  <pic:spPr>
                    <a:xfrm>
                      <a:off x="0" y="0"/>
                      <a:ext cx="6073140" cy="4667250"/>
                    </a:xfrm>
                    <a:prstGeom prst="rect">
                      <a:avLst/>
                    </a:prstGeom>
                    <a:ln/>
                  </pic:spPr>
                </pic:pic>
              </a:graphicData>
            </a:graphic>
          </wp:anchor>
        </w:drawing>
      </w:r>
    </w:p>
    <w:p w14:paraId="63B47F12" w14:textId="77777777" w:rsidR="00A75BD0" w:rsidRDefault="00A75BD0">
      <w:pPr>
        <w:ind w:left="720"/>
        <w:jc w:val="center"/>
        <w:rPr>
          <w:rFonts w:ascii="Arial" w:eastAsia="Arial" w:hAnsi="Arial" w:cs="Arial"/>
          <w:sz w:val="20"/>
          <w:szCs w:val="20"/>
        </w:rPr>
      </w:pPr>
    </w:p>
    <w:p w14:paraId="1E7BC902" w14:textId="77777777" w:rsidR="00A75BD0" w:rsidRDefault="00A75BD0">
      <w:pPr>
        <w:jc w:val="both"/>
        <w:rPr>
          <w:rFonts w:ascii="Arial" w:eastAsia="Arial" w:hAnsi="Arial" w:cs="Arial"/>
          <w:i/>
          <w:color w:val="9933FF"/>
        </w:rPr>
      </w:pPr>
    </w:p>
    <w:p w14:paraId="0DDB01AF" w14:textId="77777777" w:rsidR="00A75BD0" w:rsidRDefault="009D4DA5">
      <w:pPr>
        <w:spacing w:before="120"/>
        <w:ind w:right="46"/>
        <w:jc w:val="both"/>
        <w:rPr>
          <w:sz w:val="20"/>
          <w:szCs w:val="20"/>
          <w:shd w:val="clear" w:color="auto" w:fill="F2F2F2"/>
        </w:rPr>
      </w:pPr>
      <w:r>
        <w:rPr>
          <w:rFonts w:ascii="Arial" w:eastAsia="Arial" w:hAnsi="Arial" w:cs="Arial"/>
          <w:sz w:val="20"/>
          <w:szCs w:val="20"/>
          <w:shd w:val="clear" w:color="auto" w:fill="F2F2F2"/>
        </w:rPr>
        <w:t>Afin d’assurer le suivi des patients et de collecter les données lors de chacune des visites prévues par le PUT-SP, une fiche de suivi spécifique à chacune des visites devra être remplie (voir Annexe 1)</w:t>
      </w:r>
    </w:p>
    <w:p w14:paraId="25DC53A5" w14:textId="77777777" w:rsidR="00A75BD0" w:rsidRDefault="009D4DA5" w:rsidP="0BA40188">
      <w:pPr>
        <w:widowControl w:val="0"/>
        <w:pBdr>
          <w:top w:val="nil"/>
          <w:left w:val="nil"/>
          <w:bottom w:val="nil"/>
          <w:right w:val="nil"/>
          <w:between w:val="nil"/>
        </w:pBdr>
        <w:spacing w:after="0" w:line="240" w:lineRule="auto"/>
        <w:ind w:right="46"/>
        <w:jc w:val="both"/>
        <w:rPr>
          <w:rFonts w:ascii="Arial" w:eastAsia="Arial" w:hAnsi="Arial" w:cs="Arial"/>
          <w:color w:val="000000"/>
          <w:sz w:val="20"/>
          <w:szCs w:val="20"/>
          <w:shd w:val="clear" w:color="auto" w:fill="F2F2F2"/>
          <w:lang w:val="fr-FR"/>
        </w:rPr>
      </w:pPr>
      <w:r w:rsidRPr="0BA40188">
        <w:rPr>
          <w:rFonts w:ascii="Arial" w:eastAsia="Arial" w:hAnsi="Arial" w:cs="Arial"/>
          <w:color w:val="000000"/>
          <w:sz w:val="20"/>
          <w:szCs w:val="20"/>
          <w:shd w:val="clear" w:color="auto" w:fill="F2F2F2"/>
          <w:lang w:val="fr-FR"/>
        </w:rPr>
        <w:t>En cas d’arrêt de traitement, le prescripteur le signalera dans la fiche de suivi (cf Annexe 1) et renseignera la raison de l’arrêt.</w:t>
      </w:r>
    </w:p>
    <w:p w14:paraId="108195D8" w14:textId="77777777" w:rsidR="00A75BD0" w:rsidRDefault="00A75BD0">
      <w:pPr>
        <w:widowControl w:val="0"/>
        <w:pBdr>
          <w:top w:val="nil"/>
          <w:left w:val="nil"/>
          <w:bottom w:val="nil"/>
          <w:right w:val="nil"/>
          <w:between w:val="nil"/>
        </w:pBdr>
        <w:spacing w:after="0" w:line="240" w:lineRule="auto"/>
        <w:ind w:right="46"/>
        <w:jc w:val="both"/>
        <w:rPr>
          <w:rFonts w:ascii="Arial" w:eastAsia="Arial" w:hAnsi="Arial" w:cs="Arial"/>
          <w:color w:val="000000"/>
          <w:sz w:val="20"/>
          <w:szCs w:val="20"/>
          <w:shd w:val="clear" w:color="auto" w:fill="F2F2F2"/>
        </w:rPr>
      </w:pPr>
    </w:p>
    <w:p w14:paraId="565E3C16" w14:textId="77777777" w:rsidR="00A75BD0" w:rsidRDefault="009D4DA5" w:rsidP="0BA40188">
      <w:pPr>
        <w:pBdr>
          <w:top w:val="nil"/>
          <w:left w:val="nil"/>
          <w:bottom w:val="nil"/>
          <w:right w:val="nil"/>
          <w:between w:val="nil"/>
        </w:pBdr>
        <w:spacing w:after="0" w:line="240" w:lineRule="auto"/>
        <w:ind w:right="46"/>
        <w:jc w:val="both"/>
        <w:rPr>
          <w:rFonts w:ascii="Arial" w:eastAsia="Arial" w:hAnsi="Arial" w:cs="Arial"/>
          <w:color w:val="000000"/>
          <w:sz w:val="20"/>
          <w:szCs w:val="20"/>
          <w:shd w:val="clear" w:color="auto" w:fill="F2F2F2"/>
          <w:lang w:val="fr-FR"/>
        </w:rPr>
      </w:pPr>
      <w:r w:rsidRPr="0BA40188">
        <w:rPr>
          <w:rFonts w:ascii="Arial" w:eastAsia="Arial" w:hAnsi="Arial" w:cs="Arial"/>
          <w:color w:val="000000"/>
          <w:sz w:val="20"/>
          <w:szCs w:val="20"/>
          <w:shd w:val="clear" w:color="auto" w:fill="F2F2F2"/>
          <w:lang w:val="fr-FR"/>
        </w:rPr>
        <w:t xml:space="preserve">Si l’arrêt est lié à la survenue d’un effet indésirable ou d’une grossesse, une déclaration devra être faite par le prescripteur auprès du CRPV dont il dépend ou via le portail de signalement du Ministère de la Santé (cf. modalités en Annexe 5). </w:t>
      </w:r>
    </w:p>
    <w:p w14:paraId="7833EFCE" w14:textId="77777777" w:rsidR="00A75BD0" w:rsidRDefault="00A75BD0">
      <w:pPr>
        <w:pBdr>
          <w:top w:val="nil"/>
          <w:left w:val="nil"/>
          <w:bottom w:val="nil"/>
          <w:right w:val="nil"/>
          <w:between w:val="nil"/>
        </w:pBdr>
        <w:spacing w:after="0" w:line="240" w:lineRule="auto"/>
        <w:ind w:right="46"/>
        <w:jc w:val="both"/>
        <w:rPr>
          <w:rFonts w:ascii="Arial" w:eastAsia="Arial" w:hAnsi="Arial" w:cs="Arial"/>
          <w:color w:val="595959"/>
          <w:sz w:val="20"/>
          <w:szCs w:val="20"/>
          <w:shd w:val="clear" w:color="auto" w:fill="F2F2F2"/>
        </w:rPr>
      </w:pPr>
    </w:p>
    <w:p w14:paraId="7B83AD8A" w14:textId="77777777" w:rsidR="00A75BD0" w:rsidRDefault="00A75BD0">
      <w:pPr>
        <w:spacing w:before="120"/>
        <w:ind w:right="46"/>
        <w:jc w:val="both"/>
        <w:rPr>
          <w:rFonts w:ascii="Arial" w:eastAsia="Arial" w:hAnsi="Arial" w:cs="Arial"/>
          <w:sz w:val="20"/>
          <w:szCs w:val="20"/>
          <w:shd w:val="clear" w:color="auto" w:fill="F2F2F2"/>
        </w:rPr>
      </w:pPr>
    </w:p>
    <w:p w14:paraId="05A58325" w14:textId="77777777" w:rsidR="00A75BD0" w:rsidRDefault="00A75BD0">
      <w:pPr>
        <w:spacing w:before="120"/>
        <w:ind w:right="46"/>
        <w:jc w:val="both"/>
        <w:rPr>
          <w:rFonts w:ascii="Arial" w:eastAsia="Arial" w:hAnsi="Arial" w:cs="Arial"/>
          <w:sz w:val="20"/>
          <w:szCs w:val="20"/>
          <w:shd w:val="clear" w:color="auto" w:fill="F2F2F2"/>
        </w:rPr>
      </w:pPr>
    </w:p>
    <w:p w14:paraId="39A4C73B" w14:textId="77777777" w:rsidR="00A75BD0" w:rsidRDefault="009D4DA5">
      <w:pPr>
        <w:rPr>
          <w:rFonts w:ascii="Arial" w:eastAsia="Arial" w:hAnsi="Arial" w:cs="Arial"/>
          <w:color w:val="595959"/>
          <w:sz w:val="20"/>
          <w:szCs w:val="20"/>
          <w:shd w:val="clear" w:color="auto" w:fill="F2F2F2"/>
        </w:rPr>
        <w:sectPr w:rsidR="00A75BD0">
          <w:headerReference w:type="even" r:id="rId14"/>
          <w:headerReference w:type="default" r:id="rId15"/>
          <w:footerReference w:type="even" r:id="rId16"/>
          <w:footerReference w:type="default" r:id="rId17"/>
          <w:headerReference w:type="first" r:id="rId18"/>
          <w:footerReference w:type="first" r:id="rId19"/>
          <w:pgSz w:w="11920" w:h="16840"/>
          <w:pgMar w:top="1580" w:right="1100" w:bottom="0" w:left="1680" w:header="720" w:footer="720" w:gutter="0"/>
          <w:pgNumType w:start="1"/>
          <w:cols w:space="720"/>
          <w:titlePg/>
        </w:sectPr>
      </w:pPr>
      <w:r>
        <w:br w:type="page"/>
      </w:r>
    </w:p>
    <w:p w14:paraId="017C0365" w14:textId="77777777" w:rsidR="00A75BD0" w:rsidRDefault="009D4DA5">
      <w:pPr>
        <w:tabs>
          <w:tab w:val="left" w:pos="1134"/>
          <w:tab w:val="left" w:pos="4678"/>
        </w:tabs>
        <w:spacing w:after="60" w:line="276" w:lineRule="auto"/>
        <w:ind w:right="-567"/>
        <w:jc w:val="center"/>
        <w:rPr>
          <w:b/>
          <w:sz w:val="20"/>
          <w:szCs w:val="20"/>
        </w:rPr>
      </w:pPr>
      <w:r>
        <w:rPr>
          <w:b/>
          <w:sz w:val="20"/>
          <w:szCs w:val="20"/>
        </w:rPr>
        <w:lastRenderedPageBreak/>
        <w:t>Calendrier de suivi</w:t>
      </w:r>
    </w:p>
    <w:tbl>
      <w:tblPr>
        <w:tblStyle w:val="af2"/>
        <w:tblW w:w="14132" w:type="dxa"/>
        <w:tblInd w:w="38" w:type="dxa"/>
        <w:tblBorders>
          <w:top w:val="single" w:sz="4" w:space="0" w:color="000000"/>
          <w:left w:val="single" w:sz="4" w:space="0" w:color="808080"/>
          <w:bottom w:val="single" w:sz="4" w:space="0" w:color="000000"/>
          <w:right w:val="single" w:sz="4" w:space="0" w:color="808080"/>
          <w:insideH w:val="single" w:sz="4" w:space="0" w:color="000000"/>
          <w:insideV w:val="single" w:sz="4" w:space="0" w:color="808080"/>
        </w:tblBorders>
        <w:tblLayout w:type="fixed"/>
        <w:tblLook w:val="0400" w:firstRow="0" w:lastRow="0" w:firstColumn="0" w:lastColumn="0" w:noHBand="0" w:noVBand="1"/>
      </w:tblPr>
      <w:tblGrid>
        <w:gridCol w:w="4945"/>
        <w:gridCol w:w="1587"/>
        <w:gridCol w:w="739"/>
        <w:gridCol w:w="1109"/>
        <w:gridCol w:w="1110"/>
        <w:gridCol w:w="1110"/>
        <w:gridCol w:w="1109"/>
        <w:gridCol w:w="2423"/>
      </w:tblGrid>
      <w:tr w:rsidR="00A75BD0" w14:paraId="5469AFE1" w14:textId="77777777" w:rsidTr="0BA40188">
        <w:trPr>
          <w:trHeight w:val="160"/>
        </w:trPr>
        <w:tc>
          <w:tcPr>
            <w:tcW w:w="4945" w:type="dxa"/>
            <w:tcBorders>
              <w:left w:val="single" w:sz="4" w:space="0" w:color="000000" w:themeColor="text1"/>
            </w:tcBorders>
          </w:tcPr>
          <w:p w14:paraId="0D9AEED2" w14:textId="77777777" w:rsidR="00A75BD0" w:rsidRDefault="009D4DA5">
            <w:pPr>
              <w:jc w:val="center"/>
              <w:rPr>
                <w:sz w:val="16"/>
                <w:szCs w:val="16"/>
              </w:rPr>
            </w:pPr>
            <w:r>
              <w:t xml:space="preserve">     </w:t>
            </w:r>
            <w:r>
              <w:rPr>
                <w:b/>
                <w:sz w:val="16"/>
                <w:szCs w:val="16"/>
              </w:rPr>
              <w:t>Examens</w:t>
            </w:r>
          </w:p>
        </w:tc>
        <w:tc>
          <w:tcPr>
            <w:tcW w:w="1587" w:type="dxa"/>
          </w:tcPr>
          <w:p w14:paraId="0BC89974" w14:textId="77777777" w:rsidR="00A75BD0" w:rsidRDefault="009D4DA5">
            <w:pPr>
              <w:jc w:val="center"/>
              <w:rPr>
                <w:b/>
                <w:sz w:val="16"/>
                <w:szCs w:val="16"/>
              </w:rPr>
            </w:pPr>
            <w:r>
              <w:rPr>
                <w:b/>
                <w:sz w:val="16"/>
                <w:szCs w:val="16"/>
              </w:rPr>
              <w:t>Initiation (J0)</w:t>
            </w:r>
          </w:p>
          <w:p w14:paraId="29B3A7BC" w14:textId="77777777" w:rsidR="00A75BD0" w:rsidRDefault="009D4DA5">
            <w:pPr>
              <w:jc w:val="center"/>
              <w:rPr>
                <w:sz w:val="16"/>
                <w:szCs w:val="16"/>
              </w:rPr>
            </w:pPr>
            <w:r>
              <w:rPr>
                <w:b/>
                <w:sz w:val="16"/>
                <w:szCs w:val="16"/>
              </w:rPr>
              <w:t>Ou retraitement</w:t>
            </w:r>
          </w:p>
        </w:tc>
        <w:tc>
          <w:tcPr>
            <w:tcW w:w="739" w:type="dxa"/>
          </w:tcPr>
          <w:p w14:paraId="6C36960C" w14:textId="77777777" w:rsidR="00A75BD0" w:rsidRDefault="009D4DA5">
            <w:pPr>
              <w:jc w:val="center"/>
              <w:rPr>
                <w:sz w:val="16"/>
                <w:szCs w:val="16"/>
              </w:rPr>
            </w:pPr>
            <w:r>
              <w:rPr>
                <w:sz w:val="16"/>
                <w:szCs w:val="16"/>
              </w:rPr>
              <w:t>J14</w:t>
            </w:r>
          </w:p>
        </w:tc>
        <w:tc>
          <w:tcPr>
            <w:tcW w:w="1109" w:type="dxa"/>
          </w:tcPr>
          <w:p w14:paraId="05273C24" w14:textId="77777777" w:rsidR="00A75BD0" w:rsidRDefault="009D4DA5">
            <w:pPr>
              <w:jc w:val="center"/>
              <w:rPr>
                <w:sz w:val="16"/>
                <w:szCs w:val="16"/>
              </w:rPr>
            </w:pPr>
            <w:r>
              <w:rPr>
                <w:sz w:val="16"/>
                <w:szCs w:val="16"/>
              </w:rPr>
              <w:t>J28</w:t>
            </w:r>
          </w:p>
        </w:tc>
        <w:tc>
          <w:tcPr>
            <w:tcW w:w="1110" w:type="dxa"/>
          </w:tcPr>
          <w:p w14:paraId="4D3AF0FE" w14:textId="77777777" w:rsidR="00A75BD0" w:rsidRDefault="009D4DA5">
            <w:pPr>
              <w:jc w:val="center"/>
              <w:rPr>
                <w:sz w:val="16"/>
                <w:szCs w:val="16"/>
              </w:rPr>
            </w:pPr>
            <w:r>
              <w:rPr>
                <w:sz w:val="16"/>
                <w:szCs w:val="16"/>
              </w:rPr>
              <w:t>J42</w:t>
            </w:r>
          </w:p>
        </w:tc>
        <w:tc>
          <w:tcPr>
            <w:tcW w:w="1110" w:type="dxa"/>
          </w:tcPr>
          <w:p w14:paraId="693C17CA" w14:textId="77777777" w:rsidR="00A75BD0" w:rsidRDefault="009D4DA5">
            <w:pPr>
              <w:jc w:val="center"/>
              <w:rPr>
                <w:sz w:val="16"/>
                <w:szCs w:val="16"/>
              </w:rPr>
            </w:pPr>
            <w:r>
              <w:rPr>
                <w:sz w:val="16"/>
                <w:szCs w:val="16"/>
              </w:rPr>
              <w:t>J56</w:t>
            </w:r>
          </w:p>
        </w:tc>
        <w:tc>
          <w:tcPr>
            <w:tcW w:w="1109" w:type="dxa"/>
            <w:tcBorders>
              <w:bottom w:val="single" w:sz="4" w:space="0" w:color="000000" w:themeColor="text1"/>
            </w:tcBorders>
          </w:tcPr>
          <w:p w14:paraId="41698037" w14:textId="77777777" w:rsidR="00A75BD0" w:rsidRDefault="009D4DA5">
            <w:pPr>
              <w:jc w:val="center"/>
              <w:rPr>
                <w:sz w:val="16"/>
                <w:szCs w:val="16"/>
              </w:rPr>
            </w:pPr>
            <w:r>
              <w:rPr>
                <w:sz w:val="16"/>
                <w:szCs w:val="16"/>
              </w:rPr>
              <w:t>J70</w:t>
            </w:r>
          </w:p>
        </w:tc>
        <w:tc>
          <w:tcPr>
            <w:tcW w:w="2423" w:type="dxa"/>
            <w:tcBorders>
              <w:left w:val="nil"/>
              <w:bottom w:val="single" w:sz="4" w:space="0" w:color="000000" w:themeColor="text1"/>
              <w:right w:val="single" w:sz="4" w:space="0" w:color="000000" w:themeColor="text1"/>
            </w:tcBorders>
          </w:tcPr>
          <w:p w14:paraId="0768A409" w14:textId="77777777" w:rsidR="00A75BD0" w:rsidRDefault="009D4DA5" w:rsidP="0BA40188">
            <w:pPr>
              <w:jc w:val="center"/>
              <w:rPr>
                <w:sz w:val="16"/>
                <w:szCs w:val="16"/>
                <w:lang w:val="fr-FR"/>
              </w:rPr>
            </w:pPr>
            <w:r w:rsidRPr="0BA40188">
              <w:rPr>
                <w:sz w:val="16"/>
                <w:szCs w:val="16"/>
                <w:lang w:val="fr-FR"/>
              </w:rPr>
              <w:t>À chaque perfusion de bevacizumab</w:t>
            </w:r>
          </w:p>
        </w:tc>
      </w:tr>
      <w:tr w:rsidR="00A75BD0" w14:paraId="15A5DA4E" w14:textId="77777777" w:rsidTr="0BA40188">
        <w:trPr>
          <w:trHeight w:val="138"/>
        </w:trPr>
        <w:tc>
          <w:tcPr>
            <w:tcW w:w="4945" w:type="dxa"/>
            <w:tcBorders>
              <w:left w:val="single" w:sz="4" w:space="0" w:color="000000" w:themeColor="text1"/>
            </w:tcBorders>
          </w:tcPr>
          <w:p w14:paraId="758D36EF" w14:textId="77777777" w:rsidR="00A75BD0" w:rsidRDefault="009D4DA5">
            <w:pPr>
              <w:jc w:val="center"/>
              <w:rPr>
                <w:sz w:val="16"/>
                <w:szCs w:val="16"/>
              </w:rPr>
            </w:pPr>
            <w:r>
              <w:rPr>
                <w:sz w:val="16"/>
                <w:szCs w:val="16"/>
              </w:rPr>
              <w:t>Avis de la réunion de concertation pluridisciplinaire nationale pour la maladie de Rendu-Osler</w:t>
            </w:r>
          </w:p>
        </w:tc>
        <w:tc>
          <w:tcPr>
            <w:tcW w:w="1587" w:type="dxa"/>
          </w:tcPr>
          <w:p w14:paraId="458153C1"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4068" w:type="dxa"/>
            <w:gridSpan w:val="4"/>
          </w:tcPr>
          <w:p w14:paraId="0D76E05E" w14:textId="77777777" w:rsidR="00A75BD0" w:rsidRDefault="009D4DA5" w:rsidP="0BA40188">
            <w:pPr>
              <w:jc w:val="center"/>
              <w:rPr>
                <w:i/>
                <w:iCs/>
                <w:sz w:val="16"/>
                <w:szCs w:val="16"/>
                <w:lang w:val="fr-FR"/>
              </w:rPr>
            </w:pPr>
            <w:r w:rsidRPr="0BA40188">
              <w:rPr>
                <w:i/>
                <w:iCs/>
                <w:sz w:val="16"/>
                <w:szCs w:val="16"/>
                <w:lang w:val="fr-FR"/>
              </w:rPr>
              <w:t>(si nécessaire)</w:t>
            </w:r>
          </w:p>
        </w:tc>
        <w:tc>
          <w:tcPr>
            <w:tcW w:w="1109" w:type="dxa"/>
            <w:tcBorders>
              <w:top w:val="single" w:sz="4" w:space="0" w:color="000000" w:themeColor="text1"/>
              <w:bottom w:val="single" w:sz="4" w:space="0" w:color="000000" w:themeColor="text1"/>
            </w:tcBorders>
          </w:tcPr>
          <w:p w14:paraId="248A340B" w14:textId="77777777" w:rsidR="00A75BD0" w:rsidRDefault="009D4DA5">
            <w:pPr>
              <w:jc w:val="center"/>
              <w:rPr>
                <w:sz w:val="16"/>
                <w:szCs w:val="16"/>
              </w:rPr>
            </w:pPr>
            <w:r>
              <w:rPr>
                <w:sz w:val="16"/>
                <w:szCs w:val="16"/>
              </w:rPr>
              <w:t>X</w:t>
            </w:r>
          </w:p>
        </w:tc>
        <w:tc>
          <w:tcPr>
            <w:tcW w:w="2423" w:type="dxa"/>
            <w:tcBorders>
              <w:top w:val="single" w:sz="4" w:space="0" w:color="000000" w:themeColor="text1"/>
              <w:left w:val="nil"/>
              <w:bottom w:val="single" w:sz="4" w:space="0" w:color="000000" w:themeColor="text1"/>
              <w:right w:val="single" w:sz="4" w:space="0" w:color="000000" w:themeColor="text1"/>
            </w:tcBorders>
          </w:tcPr>
          <w:p w14:paraId="64FB3ED2" w14:textId="77777777" w:rsidR="00A75BD0" w:rsidRDefault="009D4DA5" w:rsidP="0BA40188">
            <w:pPr>
              <w:jc w:val="center"/>
              <w:rPr>
                <w:sz w:val="16"/>
                <w:szCs w:val="16"/>
                <w:lang w:val="fr-FR"/>
              </w:rPr>
            </w:pPr>
            <w:r w:rsidRPr="0BA40188">
              <w:rPr>
                <w:i/>
                <w:iCs/>
                <w:sz w:val="16"/>
                <w:szCs w:val="16"/>
                <w:lang w:val="fr-FR"/>
              </w:rPr>
              <w:t>(si nécessaire)</w:t>
            </w:r>
          </w:p>
        </w:tc>
      </w:tr>
      <w:tr w:rsidR="00A75BD0" w14:paraId="29349A9D" w14:textId="77777777" w:rsidTr="0BA40188">
        <w:trPr>
          <w:trHeight w:val="138"/>
        </w:trPr>
        <w:tc>
          <w:tcPr>
            <w:tcW w:w="14132" w:type="dxa"/>
            <w:gridSpan w:val="8"/>
            <w:tcBorders>
              <w:left w:val="single" w:sz="4" w:space="0" w:color="000000" w:themeColor="text1"/>
              <w:right w:val="single" w:sz="4" w:space="0" w:color="000000" w:themeColor="text1"/>
            </w:tcBorders>
          </w:tcPr>
          <w:p w14:paraId="16B497EA" w14:textId="77777777" w:rsidR="00A75BD0" w:rsidRDefault="009D4DA5" w:rsidP="0BA40188">
            <w:pPr>
              <w:jc w:val="center"/>
              <w:rPr>
                <w:b/>
                <w:bCs/>
                <w:sz w:val="18"/>
                <w:szCs w:val="18"/>
                <w:lang w:val="fr-FR"/>
              </w:rPr>
            </w:pPr>
            <w:r w:rsidRPr="0BA40188">
              <w:rPr>
                <w:b/>
                <w:bCs/>
                <w:sz w:val="18"/>
                <w:szCs w:val="18"/>
                <w:lang w:val="fr-FR"/>
              </w:rPr>
              <w:t>Collecte des données dans le eCRF du registre CIROCO</w:t>
            </w:r>
          </w:p>
        </w:tc>
      </w:tr>
      <w:tr w:rsidR="00A75BD0" w14:paraId="4C6D2C3A" w14:textId="77777777" w:rsidTr="0BA40188">
        <w:tc>
          <w:tcPr>
            <w:tcW w:w="4945" w:type="dxa"/>
            <w:tcBorders>
              <w:left w:val="single" w:sz="4" w:space="0" w:color="000000" w:themeColor="text1"/>
            </w:tcBorders>
          </w:tcPr>
          <w:p w14:paraId="621C5220" w14:textId="77777777" w:rsidR="00A75BD0" w:rsidRDefault="009D4DA5">
            <w:pPr>
              <w:jc w:val="center"/>
              <w:rPr>
                <w:sz w:val="16"/>
                <w:szCs w:val="16"/>
              </w:rPr>
            </w:pPr>
            <w:r>
              <w:rPr>
                <w:sz w:val="16"/>
                <w:szCs w:val="16"/>
              </w:rPr>
              <w:t>Recueil des transfusions : date et nombre de culots</w:t>
            </w:r>
          </w:p>
        </w:tc>
        <w:tc>
          <w:tcPr>
            <w:tcW w:w="1587" w:type="dxa"/>
          </w:tcPr>
          <w:p w14:paraId="73876E56"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Pr>
          <w:p w14:paraId="2DA0DBD8" w14:textId="77777777" w:rsidR="00A75BD0" w:rsidRDefault="009D4DA5">
            <w:pPr>
              <w:jc w:val="center"/>
            </w:pPr>
            <w:r>
              <w:rPr>
                <w:sz w:val="16"/>
                <w:szCs w:val="16"/>
              </w:rPr>
              <w:t>X</w:t>
            </w:r>
          </w:p>
        </w:tc>
        <w:tc>
          <w:tcPr>
            <w:tcW w:w="1109" w:type="dxa"/>
          </w:tcPr>
          <w:p w14:paraId="0F1EB807" w14:textId="77777777" w:rsidR="00A75BD0" w:rsidRDefault="009D4DA5">
            <w:pPr>
              <w:jc w:val="center"/>
            </w:pPr>
            <w:r>
              <w:rPr>
                <w:sz w:val="16"/>
                <w:szCs w:val="16"/>
              </w:rPr>
              <w:t>X</w:t>
            </w:r>
          </w:p>
        </w:tc>
        <w:tc>
          <w:tcPr>
            <w:tcW w:w="1110" w:type="dxa"/>
          </w:tcPr>
          <w:p w14:paraId="28868DC1" w14:textId="77777777" w:rsidR="00A75BD0" w:rsidRDefault="009D4DA5">
            <w:pPr>
              <w:jc w:val="center"/>
            </w:pPr>
            <w:r>
              <w:rPr>
                <w:sz w:val="16"/>
                <w:szCs w:val="16"/>
              </w:rPr>
              <w:t>X</w:t>
            </w:r>
          </w:p>
        </w:tc>
        <w:tc>
          <w:tcPr>
            <w:tcW w:w="1110" w:type="dxa"/>
          </w:tcPr>
          <w:p w14:paraId="4CF8FB35" w14:textId="77777777" w:rsidR="00A75BD0" w:rsidRDefault="009D4DA5">
            <w:pPr>
              <w:jc w:val="center"/>
            </w:pPr>
            <w:r>
              <w:rPr>
                <w:sz w:val="16"/>
                <w:szCs w:val="16"/>
              </w:rPr>
              <w:t>X</w:t>
            </w:r>
          </w:p>
        </w:tc>
        <w:tc>
          <w:tcPr>
            <w:tcW w:w="1109" w:type="dxa"/>
            <w:tcBorders>
              <w:top w:val="single" w:sz="4" w:space="0" w:color="000000" w:themeColor="text1"/>
              <w:bottom w:val="single" w:sz="4" w:space="0" w:color="000000" w:themeColor="text1"/>
            </w:tcBorders>
          </w:tcPr>
          <w:p w14:paraId="06C9EEC8" w14:textId="77777777" w:rsidR="00A75BD0" w:rsidRDefault="009D4DA5">
            <w:pPr>
              <w:jc w:val="center"/>
            </w:pPr>
            <w:r>
              <w:rPr>
                <w:sz w:val="16"/>
                <w:szCs w:val="16"/>
              </w:rPr>
              <w:t>X</w:t>
            </w:r>
          </w:p>
        </w:tc>
        <w:tc>
          <w:tcPr>
            <w:tcW w:w="2423" w:type="dxa"/>
            <w:tcBorders>
              <w:top w:val="single" w:sz="4" w:space="0" w:color="000000" w:themeColor="text1"/>
              <w:left w:val="nil"/>
              <w:bottom w:val="single" w:sz="4" w:space="0" w:color="000000" w:themeColor="text1"/>
              <w:right w:val="single" w:sz="4" w:space="0" w:color="000000" w:themeColor="text1"/>
            </w:tcBorders>
          </w:tcPr>
          <w:p w14:paraId="0BDA2FEC" w14:textId="77777777" w:rsidR="00A75BD0" w:rsidRDefault="009D4DA5">
            <w:pPr>
              <w:jc w:val="center"/>
              <w:rPr>
                <w:sz w:val="16"/>
                <w:szCs w:val="16"/>
              </w:rPr>
            </w:pPr>
            <w:r>
              <w:rPr>
                <w:sz w:val="16"/>
                <w:szCs w:val="16"/>
              </w:rPr>
              <w:t>X</w:t>
            </w:r>
          </w:p>
        </w:tc>
      </w:tr>
      <w:tr w:rsidR="00A75BD0" w14:paraId="06998A11" w14:textId="77777777" w:rsidTr="0BA40188">
        <w:trPr>
          <w:trHeight w:val="205"/>
        </w:trPr>
        <w:tc>
          <w:tcPr>
            <w:tcW w:w="4945" w:type="dxa"/>
            <w:tcBorders>
              <w:left w:val="single" w:sz="4" w:space="0" w:color="000000" w:themeColor="text1"/>
            </w:tcBorders>
          </w:tcPr>
          <w:p w14:paraId="13468F74" w14:textId="77777777" w:rsidR="00A75BD0" w:rsidRDefault="009D4DA5">
            <w:pPr>
              <w:jc w:val="center"/>
              <w:rPr>
                <w:sz w:val="16"/>
                <w:szCs w:val="16"/>
              </w:rPr>
            </w:pPr>
            <w:r>
              <w:rPr>
                <w:sz w:val="16"/>
                <w:szCs w:val="16"/>
              </w:rPr>
              <w:t>Recueil des perfusions de Fer : date et mg de fer</w:t>
            </w:r>
          </w:p>
        </w:tc>
        <w:tc>
          <w:tcPr>
            <w:tcW w:w="1587" w:type="dxa"/>
          </w:tcPr>
          <w:p w14:paraId="14FA1B94" w14:textId="77777777" w:rsidR="00A75BD0" w:rsidRDefault="009D4DA5">
            <w:pPr>
              <w:jc w:val="center"/>
              <w:rPr>
                <w:sz w:val="16"/>
                <w:szCs w:val="16"/>
              </w:rPr>
            </w:pPr>
            <w:r>
              <w:rPr>
                <w:sz w:val="16"/>
                <w:szCs w:val="16"/>
              </w:rPr>
              <w:t>X</w:t>
            </w:r>
          </w:p>
        </w:tc>
        <w:tc>
          <w:tcPr>
            <w:tcW w:w="739" w:type="dxa"/>
          </w:tcPr>
          <w:p w14:paraId="5A00A659" w14:textId="77777777" w:rsidR="00A75BD0" w:rsidRDefault="009D4DA5">
            <w:pPr>
              <w:jc w:val="center"/>
              <w:rPr>
                <w:sz w:val="16"/>
                <w:szCs w:val="16"/>
              </w:rPr>
            </w:pPr>
            <w:r>
              <w:rPr>
                <w:sz w:val="16"/>
                <w:szCs w:val="16"/>
              </w:rPr>
              <w:t>X</w:t>
            </w:r>
          </w:p>
        </w:tc>
        <w:tc>
          <w:tcPr>
            <w:tcW w:w="1109" w:type="dxa"/>
          </w:tcPr>
          <w:p w14:paraId="65FA9D44" w14:textId="77777777" w:rsidR="00A75BD0" w:rsidRDefault="009D4DA5">
            <w:pPr>
              <w:jc w:val="center"/>
              <w:rPr>
                <w:sz w:val="16"/>
                <w:szCs w:val="16"/>
              </w:rPr>
            </w:pPr>
            <w:r>
              <w:rPr>
                <w:sz w:val="16"/>
                <w:szCs w:val="16"/>
              </w:rPr>
              <w:t>X</w:t>
            </w:r>
          </w:p>
        </w:tc>
        <w:tc>
          <w:tcPr>
            <w:tcW w:w="1110" w:type="dxa"/>
          </w:tcPr>
          <w:p w14:paraId="5A7019FC" w14:textId="77777777" w:rsidR="00A75BD0" w:rsidRDefault="009D4DA5">
            <w:pPr>
              <w:jc w:val="center"/>
              <w:rPr>
                <w:sz w:val="16"/>
                <w:szCs w:val="16"/>
              </w:rPr>
            </w:pPr>
            <w:r>
              <w:rPr>
                <w:sz w:val="16"/>
                <w:szCs w:val="16"/>
              </w:rPr>
              <w:t>X</w:t>
            </w:r>
          </w:p>
        </w:tc>
        <w:tc>
          <w:tcPr>
            <w:tcW w:w="1110" w:type="dxa"/>
          </w:tcPr>
          <w:p w14:paraId="19A1C20C" w14:textId="77777777" w:rsidR="00A75BD0" w:rsidRDefault="009D4DA5">
            <w:pPr>
              <w:jc w:val="center"/>
              <w:rPr>
                <w:sz w:val="16"/>
                <w:szCs w:val="16"/>
              </w:rPr>
            </w:pPr>
            <w:r>
              <w:rPr>
                <w:sz w:val="16"/>
                <w:szCs w:val="16"/>
              </w:rPr>
              <w:t>X</w:t>
            </w:r>
          </w:p>
        </w:tc>
        <w:tc>
          <w:tcPr>
            <w:tcW w:w="1109" w:type="dxa"/>
            <w:tcBorders>
              <w:top w:val="single" w:sz="4" w:space="0" w:color="000000" w:themeColor="text1"/>
              <w:bottom w:val="single" w:sz="4" w:space="0" w:color="000000" w:themeColor="text1"/>
            </w:tcBorders>
          </w:tcPr>
          <w:p w14:paraId="6D9E169B" w14:textId="77777777" w:rsidR="00A75BD0" w:rsidRDefault="009D4DA5">
            <w:pPr>
              <w:jc w:val="center"/>
              <w:rPr>
                <w:sz w:val="16"/>
                <w:szCs w:val="16"/>
              </w:rPr>
            </w:pPr>
            <w:r>
              <w:rPr>
                <w:sz w:val="16"/>
                <w:szCs w:val="16"/>
              </w:rPr>
              <w:t>X</w:t>
            </w:r>
          </w:p>
        </w:tc>
        <w:tc>
          <w:tcPr>
            <w:tcW w:w="2423" w:type="dxa"/>
            <w:tcBorders>
              <w:top w:val="single" w:sz="4" w:space="0" w:color="000000" w:themeColor="text1"/>
              <w:left w:val="nil"/>
              <w:bottom w:val="single" w:sz="4" w:space="0" w:color="000000" w:themeColor="text1"/>
              <w:right w:val="single" w:sz="4" w:space="0" w:color="000000" w:themeColor="text1"/>
            </w:tcBorders>
          </w:tcPr>
          <w:p w14:paraId="64D626C0" w14:textId="77777777" w:rsidR="00A75BD0" w:rsidRDefault="009D4DA5">
            <w:pPr>
              <w:jc w:val="center"/>
              <w:rPr>
                <w:sz w:val="16"/>
                <w:szCs w:val="16"/>
              </w:rPr>
            </w:pPr>
            <w:r>
              <w:rPr>
                <w:sz w:val="16"/>
                <w:szCs w:val="16"/>
              </w:rPr>
              <w:t>X</w:t>
            </w:r>
          </w:p>
        </w:tc>
      </w:tr>
      <w:tr w:rsidR="00A75BD0" w14:paraId="2E644DD3" w14:textId="77777777" w:rsidTr="0BA40188">
        <w:trPr>
          <w:trHeight w:val="307"/>
        </w:trPr>
        <w:tc>
          <w:tcPr>
            <w:tcW w:w="4945" w:type="dxa"/>
            <w:tcBorders>
              <w:left w:val="single" w:sz="4" w:space="0" w:color="000000" w:themeColor="text1"/>
            </w:tcBorders>
          </w:tcPr>
          <w:p w14:paraId="4B525A62" w14:textId="77777777" w:rsidR="00A75BD0" w:rsidRDefault="009D4DA5">
            <w:pPr>
              <w:jc w:val="center"/>
              <w:rPr>
                <w:sz w:val="16"/>
                <w:szCs w:val="16"/>
              </w:rPr>
            </w:pPr>
            <w:r>
              <w:rPr>
                <w:sz w:val="16"/>
                <w:szCs w:val="16"/>
              </w:rPr>
              <w:t>Remplissage de la grille d’épistaxis</w:t>
            </w:r>
            <w:r>
              <w:rPr>
                <w:sz w:val="16"/>
                <w:szCs w:val="16"/>
                <w:vertAlign w:val="superscript"/>
              </w:rPr>
              <w:t xml:space="preserve"> a</w:t>
            </w:r>
          </w:p>
        </w:tc>
        <w:tc>
          <w:tcPr>
            <w:tcW w:w="1587" w:type="dxa"/>
          </w:tcPr>
          <w:p w14:paraId="316241E3"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Pr>
          <w:p w14:paraId="2186649A" w14:textId="77777777" w:rsidR="00A75BD0" w:rsidRDefault="009D4DA5">
            <w:pPr>
              <w:jc w:val="center"/>
            </w:pPr>
            <w:r>
              <w:rPr>
                <w:sz w:val="16"/>
                <w:szCs w:val="16"/>
              </w:rPr>
              <w:t>X</w:t>
            </w:r>
          </w:p>
        </w:tc>
        <w:tc>
          <w:tcPr>
            <w:tcW w:w="1109" w:type="dxa"/>
          </w:tcPr>
          <w:p w14:paraId="3BCE3832" w14:textId="77777777" w:rsidR="00A75BD0" w:rsidRDefault="009D4DA5">
            <w:pPr>
              <w:jc w:val="center"/>
            </w:pPr>
            <w:r>
              <w:rPr>
                <w:sz w:val="16"/>
                <w:szCs w:val="16"/>
              </w:rPr>
              <w:t>X</w:t>
            </w:r>
          </w:p>
        </w:tc>
        <w:tc>
          <w:tcPr>
            <w:tcW w:w="1110" w:type="dxa"/>
          </w:tcPr>
          <w:p w14:paraId="714E9E3E" w14:textId="77777777" w:rsidR="00A75BD0" w:rsidRDefault="009D4DA5">
            <w:pPr>
              <w:jc w:val="center"/>
              <w:rPr>
                <w:sz w:val="16"/>
                <w:szCs w:val="16"/>
              </w:rPr>
            </w:pPr>
            <w:r>
              <w:rPr>
                <w:sz w:val="16"/>
                <w:szCs w:val="16"/>
              </w:rPr>
              <w:t>X</w:t>
            </w:r>
          </w:p>
        </w:tc>
        <w:tc>
          <w:tcPr>
            <w:tcW w:w="1110" w:type="dxa"/>
          </w:tcPr>
          <w:p w14:paraId="7019A6AF" w14:textId="77777777" w:rsidR="00A75BD0" w:rsidRDefault="009D4DA5">
            <w:pPr>
              <w:jc w:val="center"/>
            </w:pPr>
            <w:r>
              <w:rPr>
                <w:sz w:val="16"/>
                <w:szCs w:val="16"/>
              </w:rPr>
              <w:t>X</w:t>
            </w:r>
          </w:p>
        </w:tc>
        <w:tc>
          <w:tcPr>
            <w:tcW w:w="1109" w:type="dxa"/>
            <w:tcBorders>
              <w:top w:val="single" w:sz="4" w:space="0" w:color="000000" w:themeColor="text1"/>
              <w:bottom w:val="single" w:sz="4" w:space="0" w:color="000000" w:themeColor="text1"/>
            </w:tcBorders>
          </w:tcPr>
          <w:p w14:paraId="231C72A6" w14:textId="77777777" w:rsidR="00A75BD0" w:rsidRDefault="009D4DA5">
            <w:pPr>
              <w:jc w:val="center"/>
            </w:pPr>
            <w:r>
              <w:rPr>
                <w:sz w:val="16"/>
                <w:szCs w:val="16"/>
              </w:rPr>
              <w:t>X</w:t>
            </w:r>
          </w:p>
        </w:tc>
        <w:tc>
          <w:tcPr>
            <w:tcW w:w="2423" w:type="dxa"/>
            <w:tcBorders>
              <w:top w:val="single" w:sz="4" w:space="0" w:color="000000" w:themeColor="text1"/>
              <w:left w:val="nil"/>
              <w:bottom w:val="single" w:sz="4" w:space="0" w:color="000000" w:themeColor="text1"/>
              <w:right w:val="single" w:sz="4" w:space="0" w:color="000000" w:themeColor="text1"/>
            </w:tcBorders>
          </w:tcPr>
          <w:p w14:paraId="15671383" w14:textId="77777777" w:rsidR="00A75BD0" w:rsidRDefault="009D4DA5">
            <w:pPr>
              <w:jc w:val="center"/>
              <w:rPr>
                <w:sz w:val="16"/>
                <w:szCs w:val="16"/>
              </w:rPr>
            </w:pPr>
            <w:r>
              <w:rPr>
                <w:sz w:val="16"/>
                <w:szCs w:val="16"/>
              </w:rPr>
              <w:t>X</w:t>
            </w:r>
          </w:p>
        </w:tc>
      </w:tr>
      <w:tr w:rsidR="00A75BD0" w14:paraId="3E17508E" w14:textId="77777777" w:rsidTr="0BA40188">
        <w:trPr>
          <w:trHeight w:val="277"/>
        </w:trPr>
        <w:tc>
          <w:tcPr>
            <w:tcW w:w="4945" w:type="dxa"/>
            <w:tcBorders>
              <w:left w:val="single" w:sz="4" w:space="0" w:color="000000" w:themeColor="text1"/>
            </w:tcBorders>
          </w:tcPr>
          <w:p w14:paraId="590A6B32" w14:textId="77777777" w:rsidR="00A75BD0" w:rsidRDefault="009D4DA5">
            <w:pPr>
              <w:jc w:val="center"/>
              <w:rPr>
                <w:sz w:val="16"/>
                <w:szCs w:val="16"/>
              </w:rPr>
            </w:pPr>
            <w:r>
              <w:rPr>
                <w:sz w:val="16"/>
                <w:szCs w:val="16"/>
              </w:rPr>
              <w:t>Examen clinique</w:t>
            </w:r>
          </w:p>
        </w:tc>
        <w:tc>
          <w:tcPr>
            <w:tcW w:w="1587" w:type="dxa"/>
          </w:tcPr>
          <w:p w14:paraId="7FBF4B4E"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Pr>
          <w:p w14:paraId="68B8EFFC" w14:textId="77777777" w:rsidR="00A75BD0" w:rsidRDefault="009D4DA5">
            <w:pPr>
              <w:jc w:val="center"/>
              <w:rPr>
                <w:sz w:val="16"/>
                <w:szCs w:val="16"/>
              </w:rPr>
            </w:pPr>
            <w:r>
              <w:rPr>
                <w:sz w:val="16"/>
                <w:szCs w:val="16"/>
              </w:rPr>
              <w:t>X</w:t>
            </w:r>
          </w:p>
        </w:tc>
        <w:tc>
          <w:tcPr>
            <w:tcW w:w="1109" w:type="dxa"/>
          </w:tcPr>
          <w:p w14:paraId="19DB921B" w14:textId="77777777" w:rsidR="00A75BD0" w:rsidRDefault="009D4DA5">
            <w:pPr>
              <w:jc w:val="center"/>
            </w:pPr>
            <w:r>
              <w:rPr>
                <w:sz w:val="16"/>
                <w:szCs w:val="16"/>
              </w:rPr>
              <w:t>X</w:t>
            </w:r>
          </w:p>
        </w:tc>
        <w:tc>
          <w:tcPr>
            <w:tcW w:w="1110" w:type="dxa"/>
          </w:tcPr>
          <w:p w14:paraId="1780DD71" w14:textId="77777777" w:rsidR="00A75BD0" w:rsidRDefault="009D4DA5">
            <w:pPr>
              <w:jc w:val="center"/>
            </w:pPr>
            <w:r>
              <w:rPr>
                <w:sz w:val="16"/>
                <w:szCs w:val="16"/>
              </w:rPr>
              <w:t>X</w:t>
            </w:r>
          </w:p>
        </w:tc>
        <w:tc>
          <w:tcPr>
            <w:tcW w:w="1110" w:type="dxa"/>
          </w:tcPr>
          <w:p w14:paraId="45BC0467" w14:textId="77777777" w:rsidR="00A75BD0" w:rsidRDefault="009D4DA5">
            <w:pPr>
              <w:jc w:val="center"/>
            </w:pPr>
            <w:r>
              <w:rPr>
                <w:sz w:val="16"/>
                <w:szCs w:val="16"/>
              </w:rPr>
              <w:t>X</w:t>
            </w:r>
          </w:p>
        </w:tc>
        <w:tc>
          <w:tcPr>
            <w:tcW w:w="1109" w:type="dxa"/>
            <w:tcBorders>
              <w:top w:val="single" w:sz="4" w:space="0" w:color="000000" w:themeColor="text1"/>
              <w:bottom w:val="single" w:sz="4" w:space="0" w:color="000000" w:themeColor="text1"/>
            </w:tcBorders>
          </w:tcPr>
          <w:p w14:paraId="5901C0C7" w14:textId="77777777" w:rsidR="00A75BD0" w:rsidRDefault="009D4DA5">
            <w:pPr>
              <w:jc w:val="center"/>
            </w:pPr>
            <w:r>
              <w:rPr>
                <w:sz w:val="16"/>
                <w:szCs w:val="16"/>
              </w:rPr>
              <w:t>X</w:t>
            </w:r>
          </w:p>
        </w:tc>
        <w:tc>
          <w:tcPr>
            <w:tcW w:w="2423" w:type="dxa"/>
            <w:tcBorders>
              <w:top w:val="single" w:sz="4" w:space="0" w:color="000000" w:themeColor="text1"/>
              <w:left w:val="nil"/>
              <w:bottom w:val="single" w:sz="4" w:space="0" w:color="000000" w:themeColor="text1"/>
              <w:right w:val="single" w:sz="4" w:space="0" w:color="000000" w:themeColor="text1"/>
            </w:tcBorders>
          </w:tcPr>
          <w:p w14:paraId="334D7892" w14:textId="77777777" w:rsidR="00A75BD0" w:rsidRDefault="009D4DA5">
            <w:pPr>
              <w:jc w:val="center"/>
              <w:rPr>
                <w:sz w:val="16"/>
                <w:szCs w:val="16"/>
              </w:rPr>
            </w:pPr>
            <w:r>
              <w:rPr>
                <w:sz w:val="16"/>
                <w:szCs w:val="16"/>
              </w:rPr>
              <w:t>X</w:t>
            </w:r>
          </w:p>
        </w:tc>
      </w:tr>
      <w:tr w:rsidR="00A75BD0" w14:paraId="5284A1CD" w14:textId="77777777" w:rsidTr="0BA40188">
        <w:trPr>
          <w:trHeight w:val="160"/>
        </w:trPr>
        <w:tc>
          <w:tcPr>
            <w:tcW w:w="4945" w:type="dxa"/>
            <w:tcBorders>
              <w:left w:val="single" w:sz="4" w:space="0" w:color="000000" w:themeColor="text1"/>
            </w:tcBorders>
          </w:tcPr>
          <w:p w14:paraId="1F7A376C" w14:textId="77777777" w:rsidR="00A75BD0" w:rsidRDefault="009D4DA5">
            <w:pPr>
              <w:jc w:val="center"/>
              <w:rPr>
                <w:sz w:val="16"/>
                <w:szCs w:val="16"/>
              </w:rPr>
            </w:pPr>
            <w:r>
              <w:rPr>
                <w:sz w:val="16"/>
                <w:szCs w:val="16"/>
              </w:rPr>
              <w:t>Tension artérielle</w:t>
            </w:r>
          </w:p>
        </w:tc>
        <w:tc>
          <w:tcPr>
            <w:tcW w:w="1587" w:type="dxa"/>
          </w:tcPr>
          <w:p w14:paraId="2EACE9ED"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Pr>
          <w:p w14:paraId="3A96EBB6" w14:textId="77777777" w:rsidR="00A75BD0" w:rsidRDefault="009D4DA5">
            <w:pPr>
              <w:jc w:val="center"/>
              <w:rPr>
                <w:sz w:val="16"/>
                <w:szCs w:val="16"/>
              </w:rPr>
            </w:pPr>
            <w:r>
              <w:rPr>
                <w:sz w:val="16"/>
                <w:szCs w:val="16"/>
              </w:rPr>
              <w:t>X</w:t>
            </w:r>
          </w:p>
        </w:tc>
        <w:tc>
          <w:tcPr>
            <w:tcW w:w="1109" w:type="dxa"/>
          </w:tcPr>
          <w:p w14:paraId="4ADD6AF3" w14:textId="77777777" w:rsidR="00A75BD0" w:rsidRDefault="009D4DA5">
            <w:pPr>
              <w:jc w:val="center"/>
              <w:rPr>
                <w:sz w:val="16"/>
                <w:szCs w:val="16"/>
              </w:rPr>
            </w:pPr>
            <w:r>
              <w:rPr>
                <w:sz w:val="16"/>
                <w:szCs w:val="16"/>
              </w:rPr>
              <w:t>X</w:t>
            </w:r>
          </w:p>
        </w:tc>
        <w:tc>
          <w:tcPr>
            <w:tcW w:w="1110" w:type="dxa"/>
          </w:tcPr>
          <w:p w14:paraId="2B5CD135" w14:textId="77777777" w:rsidR="00A75BD0" w:rsidRDefault="009D4DA5">
            <w:pPr>
              <w:jc w:val="center"/>
            </w:pPr>
            <w:r>
              <w:rPr>
                <w:sz w:val="16"/>
                <w:szCs w:val="16"/>
              </w:rPr>
              <w:t>X</w:t>
            </w:r>
          </w:p>
        </w:tc>
        <w:tc>
          <w:tcPr>
            <w:tcW w:w="1110" w:type="dxa"/>
          </w:tcPr>
          <w:p w14:paraId="22D2AB6F" w14:textId="77777777" w:rsidR="00A75BD0" w:rsidRDefault="009D4DA5">
            <w:pPr>
              <w:jc w:val="center"/>
            </w:pPr>
            <w:r>
              <w:rPr>
                <w:sz w:val="16"/>
                <w:szCs w:val="16"/>
              </w:rPr>
              <w:t>X</w:t>
            </w:r>
          </w:p>
        </w:tc>
        <w:tc>
          <w:tcPr>
            <w:tcW w:w="1109" w:type="dxa"/>
            <w:tcBorders>
              <w:top w:val="single" w:sz="4" w:space="0" w:color="000000" w:themeColor="text1"/>
              <w:bottom w:val="single" w:sz="4" w:space="0" w:color="000000" w:themeColor="text1"/>
            </w:tcBorders>
          </w:tcPr>
          <w:p w14:paraId="07077840" w14:textId="77777777" w:rsidR="00A75BD0" w:rsidRDefault="009D4DA5">
            <w:pPr>
              <w:jc w:val="center"/>
            </w:pPr>
            <w:r>
              <w:rPr>
                <w:sz w:val="16"/>
                <w:szCs w:val="16"/>
              </w:rPr>
              <w:t>X</w:t>
            </w:r>
          </w:p>
        </w:tc>
        <w:tc>
          <w:tcPr>
            <w:tcW w:w="2423" w:type="dxa"/>
            <w:tcBorders>
              <w:top w:val="single" w:sz="4" w:space="0" w:color="000000" w:themeColor="text1"/>
              <w:left w:val="nil"/>
              <w:bottom w:val="single" w:sz="4" w:space="0" w:color="000000" w:themeColor="text1"/>
              <w:right w:val="single" w:sz="4" w:space="0" w:color="000000" w:themeColor="text1"/>
            </w:tcBorders>
          </w:tcPr>
          <w:p w14:paraId="449CE832" w14:textId="77777777" w:rsidR="00A75BD0" w:rsidRDefault="009D4DA5">
            <w:pPr>
              <w:jc w:val="center"/>
              <w:rPr>
                <w:sz w:val="16"/>
                <w:szCs w:val="16"/>
              </w:rPr>
            </w:pPr>
            <w:r>
              <w:rPr>
                <w:sz w:val="16"/>
                <w:szCs w:val="16"/>
              </w:rPr>
              <w:t>X</w:t>
            </w:r>
          </w:p>
        </w:tc>
      </w:tr>
      <w:tr w:rsidR="00A75BD0" w14:paraId="1C908256" w14:textId="77777777" w:rsidTr="0BA40188">
        <w:trPr>
          <w:trHeight w:val="296"/>
        </w:trPr>
        <w:tc>
          <w:tcPr>
            <w:tcW w:w="4945" w:type="dxa"/>
            <w:tcBorders>
              <w:left w:val="single" w:sz="4" w:space="0" w:color="000000" w:themeColor="text1"/>
              <w:bottom w:val="single" w:sz="4" w:space="0" w:color="000000" w:themeColor="text1"/>
            </w:tcBorders>
          </w:tcPr>
          <w:p w14:paraId="454014EE" w14:textId="77777777" w:rsidR="00A75BD0" w:rsidRDefault="009D4DA5">
            <w:pPr>
              <w:jc w:val="center"/>
              <w:rPr>
                <w:sz w:val="16"/>
                <w:szCs w:val="16"/>
              </w:rPr>
            </w:pPr>
            <w:r>
              <w:rPr>
                <w:sz w:val="16"/>
                <w:szCs w:val="16"/>
              </w:rPr>
              <w:t>Protéinurie (Bandelette urinaire)</w:t>
            </w:r>
          </w:p>
        </w:tc>
        <w:tc>
          <w:tcPr>
            <w:tcW w:w="1587" w:type="dxa"/>
            <w:tcBorders>
              <w:bottom w:val="single" w:sz="4" w:space="0" w:color="000000" w:themeColor="text1"/>
            </w:tcBorders>
          </w:tcPr>
          <w:p w14:paraId="466FD809"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Borders>
              <w:bottom w:val="single" w:sz="4" w:space="0" w:color="000000" w:themeColor="text1"/>
            </w:tcBorders>
          </w:tcPr>
          <w:p w14:paraId="4BBFA87C" w14:textId="77777777" w:rsidR="00A75BD0" w:rsidRDefault="009D4DA5">
            <w:pPr>
              <w:jc w:val="center"/>
              <w:rPr>
                <w:sz w:val="16"/>
                <w:szCs w:val="16"/>
              </w:rPr>
            </w:pPr>
            <w:r>
              <w:rPr>
                <w:sz w:val="16"/>
                <w:szCs w:val="16"/>
              </w:rPr>
              <w:t>X</w:t>
            </w:r>
          </w:p>
        </w:tc>
        <w:tc>
          <w:tcPr>
            <w:tcW w:w="1109" w:type="dxa"/>
            <w:tcBorders>
              <w:bottom w:val="single" w:sz="4" w:space="0" w:color="000000" w:themeColor="text1"/>
            </w:tcBorders>
          </w:tcPr>
          <w:p w14:paraId="12AF8760" w14:textId="77777777" w:rsidR="00A75BD0" w:rsidRDefault="009D4DA5">
            <w:pPr>
              <w:jc w:val="center"/>
              <w:rPr>
                <w:sz w:val="16"/>
                <w:szCs w:val="16"/>
              </w:rPr>
            </w:pPr>
            <w:r>
              <w:rPr>
                <w:sz w:val="16"/>
                <w:szCs w:val="16"/>
              </w:rPr>
              <w:t>X</w:t>
            </w:r>
          </w:p>
        </w:tc>
        <w:tc>
          <w:tcPr>
            <w:tcW w:w="1110" w:type="dxa"/>
            <w:tcBorders>
              <w:bottom w:val="single" w:sz="4" w:space="0" w:color="000000" w:themeColor="text1"/>
            </w:tcBorders>
          </w:tcPr>
          <w:p w14:paraId="72E917AF" w14:textId="77777777" w:rsidR="00A75BD0" w:rsidRDefault="009D4DA5">
            <w:pPr>
              <w:jc w:val="center"/>
            </w:pPr>
            <w:r>
              <w:rPr>
                <w:sz w:val="16"/>
                <w:szCs w:val="16"/>
              </w:rPr>
              <w:t>X</w:t>
            </w:r>
          </w:p>
        </w:tc>
        <w:tc>
          <w:tcPr>
            <w:tcW w:w="1110" w:type="dxa"/>
            <w:tcBorders>
              <w:bottom w:val="single" w:sz="4" w:space="0" w:color="000000" w:themeColor="text1"/>
            </w:tcBorders>
          </w:tcPr>
          <w:p w14:paraId="733E7C0C" w14:textId="77777777" w:rsidR="00A75BD0" w:rsidRDefault="009D4DA5">
            <w:pPr>
              <w:jc w:val="center"/>
            </w:pPr>
            <w:r>
              <w:rPr>
                <w:sz w:val="16"/>
                <w:szCs w:val="16"/>
              </w:rPr>
              <w:t>X</w:t>
            </w:r>
          </w:p>
        </w:tc>
        <w:tc>
          <w:tcPr>
            <w:tcW w:w="1109" w:type="dxa"/>
            <w:tcBorders>
              <w:top w:val="single" w:sz="4" w:space="0" w:color="000000" w:themeColor="text1"/>
              <w:bottom w:val="single" w:sz="4" w:space="0" w:color="000000" w:themeColor="text1"/>
            </w:tcBorders>
          </w:tcPr>
          <w:p w14:paraId="3F29D2B8" w14:textId="77777777" w:rsidR="00A75BD0" w:rsidRDefault="009D4DA5">
            <w:pPr>
              <w:jc w:val="center"/>
            </w:pPr>
            <w:r>
              <w:rPr>
                <w:sz w:val="16"/>
                <w:szCs w:val="16"/>
              </w:rPr>
              <w:t>X</w:t>
            </w:r>
          </w:p>
        </w:tc>
        <w:tc>
          <w:tcPr>
            <w:tcW w:w="2423" w:type="dxa"/>
            <w:tcBorders>
              <w:top w:val="single" w:sz="4" w:space="0" w:color="000000" w:themeColor="text1"/>
              <w:left w:val="nil"/>
              <w:bottom w:val="single" w:sz="4" w:space="0" w:color="000000" w:themeColor="text1"/>
              <w:right w:val="single" w:sz="4" w:space="0" w:color="000000" w:themeColor="text1"/>
            </w:tcBorders>
          </w:tcPr>
          <w:p w14:paraId="4285A826" w14:textId="77777777" w:rsidR="00A75BD0" w:rsidRDefault="009D4DA5">
            <w:pPr>
              <w:jc w:val="center"/>
            </w:pPr>
            <w:r>
              <w:t>x</w:t>
            </w:r>
          </w:p>
        </w:tc>
      </w:tr>
      <w:tr w:rsidR="00A75BD0" w14:paraId="640B62BB" w14:textId="77777777" w:rsidTr="0BA40188">
        <w:trPr>
          <w:trHeight w:val="160"/>
        </w:trPr>
        <w:tc>
          <w:tcPr>
            <w:tcW w:w="4945" w:type="dxa"/>
            <w:tcBorders>
              <w:left w:val="single" w:sz="4" w:space="0" w:color="000000" w:themeColor="text1"/>
              <w:bottom w:val="nil"/>
            </w:tcBorders>
          </w:tcPr>
          <w:p w14:paraId="6EE4F07C" w14:textId="77777777" w:rsidR="00A75BD0" w:rsidRDefault="009D4DA5">
            <w:pPr>
              <w:jc w:val="center"/>
              <w:rPr>
                <w:b/>
                <w:sz w:val="16"/>
                <w:szCs w:val="16"/>
              </w:rPr>
            </w:pPr>
            <w:r>
              <w:rPr>
                <w:b/>
                <w:sz w:val="16"/>
                <w:szCs w:val="16"/>
              </w:rPr>
              <w:t>Examens biologiques</w:t>
            </w:r>
          </w:p>
        </w:tc>
        <w:tc>
          <w:tcPr>
            <w:tcW w:w="1587" w:type="dxa"/>
            <w:tcBorders>
              <w:bottom w:val="nil"/>
            </w:tcBorders>
          </w:tcPr>
          <w:p w14:paraId="5FEABDAE" w14:textId="77777777" w:rsidR="00A75BD0" w:rsidRDefault="00A75BD0">
            <w:pPr>
              <w:jc w:val="center"/>
              <w:rPr>
                <w:sz w:val="16"/>
                <w:szCs w:val="16"/>
              </w:rPr>
            </w:pPr>
          </w:p>
        </w:tc>
        <w:tc>
          <w:tcPr>
            <w:tcW w:w="739" w:type="dxa"/>
            <w:tcBorders>
              <w:bottom w:val="nil"/>
            </w:tcBorders>
          </w:tcPr>
          <w:p w14:paraId="4B7BA722" w14:textId="77777777" w:rsidR="00A75BD0" w:rsidRDefault="00A75BD0">
            <w:pPr>
              <w:jc w:val="center"/>
              <w:rPr>
                <w:sz w:val="16"/>
                <w:szCs w:val="16"/>
              </w:rPr>
            </w:pPr>
          </w:p>
        </w:tc>
        <w:tc>
          <w:tcPr>
            <w:tcW w:w="1109" w:type="dxa"/>
            <w:tcBorders>
              <w:bottom w:val="nil"/>
            </w:tcBorders>
          </w:tcPr>
          <w:p w14:paraId="61C7A4E8" w14:textId="77777777" w:rsidR="00A75BD0" w:rsidRDefault="00A75BD0">
            <w:pPr>
              <w:jc w:val="center"/>
              <w:rPr>
                <w:sz w:val="16"/>
                <w:szCs w:val="16"/>
              </w:rPr>
            </w:pPr>
          </w:p>
        </w:tc>
        <w:tc>
          <w:tcPr>
            <w:tcW w:w="1110" w:type="dxa"/>
            <w:tcBorders>
              <w:bottom w:val="nil"/>
            </w:tcBorders>
          </w:tcPr>
          <w:p w14:paraId="430E4527" w14:textId="77777777" w:rsidR="00A75BD0" w:rsidRDefault="00A75BD0">
            <w:pPr>
              <w:jc w:val="center"/>
              <w:rPr>
                <w:sz w:val="16"/>
                <w:szCs w:val="16"/>
              </w:rPr>
            </w:pPr>
          </w:p>
        </w:tc>
        <w:tc>
          <w:tcPr>
            <w:tcW w:w="1110" w:type="dxa"/>
            <w:tcBorders>
              <w:bottom w:val="nil"/>
            </w:tcBorders>
          </w:tcPr>
          <w:p w14:paraId="157FC016" w14:textId="77777777" w:rsidR="00A75BD0" w:rsidRDefault="00A75BD0">
            <w:pPr>
              <w:jc w:val="center"/>
              <w:rPr>
                <w:sz w:val="16"/>
                <w:szCs w:val="16"/>
              </w:rPr>
            </w:pPr>
          </w:p>
        </w:tc>
        <w:tc>
          <w:tcPr>
            <w:tcW w:w="1109" w:type="dxa"/>
            <w:tcBorders>
              <w:top w:val="single" w:sz="4" w:space="0" w:color="000000" w:themeColor="text1"/>
              <w:bottom w:val="nil"/>
            </w:tcBorders>
          </w:tcPr>
          <w:p w14:paraId="60F8DA71" w14:textId="77777777" w:rsidR="00A75BD0" w:rsidRDefault="00A75BD0">
            <w:pPr>
              <w:jc w:val="center"/>
              <w:rPr>
                <w:sz w:val="16"/>
                <w:szCs w:val="16"/>
              </w:rPr>
            </w:pPr>
          </w:p>
        </w:tc>
        <w:tc>
          <w:tcPr>
            <w:tcW w:w="2423" w:type="dxa"/>
            <w:tcBorders>
              <w:top w:val="single" w:sz="4" w:space="0" w:color="000000" w:themeColor="text1"/>
              <w:left w:val="nil"/>
              <w:bottom w:val="nil"/>
              <w:right w:val="single" w:sz="4" w:space="0" w:color="000000" w:themeColor="text1"/>
            </w:tcBorders>
          </w:tcPr>
          <w:p w14:paraId="45E101B5" w14:textId="77777777" w:rsidR="00A75BD0" w:rsidRDefault="00A75BD0">
            <w:pPr>
              <w:jc w:val="center"/>
              <w:rPr>
                <w:sz w:val="16"/>
                <w:szCs w:val="16"/>
              </w:rPr>
            </w:pPr>
          </w:p>
        </w:tc>
      </w:tr>
      <w:tr w:rsidR="00A75BD0" w14:paraId="76B141E8" w14:textId="77777777" w:rsidTr="0BA40188">
        <w:trPr>
          <w:trHeight w:val="46"/>
        </w:trPr>
        <w:tc>
          <w:tcPr>
            <w:tcW w:w="4945" w:type="dxa"/>
            <w:tcBorders>
              <w:top w:val="nil"/>
              <w:left w:val="single" w:sz="4" w:space="0" w:color="000000" w:themeColor="text1"/>
              <w:bottom w:val="nil"/>
            </w:tcBorders>
          </w:tcPr>
          <w:p w14:paraId="23D781F1" w14:textId="77777777" w:rsidR="00A75BD0" w:rsidRDefault="009D4DA5">
            <w:pPr>
              <w:jc w:val="center"/>
              <w:rPr>
                <w:sz w:val="16"/>
                <w:szCs w:val="16"/>
              </w:rPr>
            </w:pPr>
            <w:r>
              <w:rPr>
                <w:sz w:val="16"/>
                <w:szCs w:val="16"/>
              </w:rPr>
              <w:t>NFS, Ferritine</w:t>
            </w:r>
          </w:p>
        </w:tc>
        <w:tc>
          <w:tcPr>
            <w:tcW w:w="1587" w:type="dxa"/>
            <w:tcBorders>
              <w:top w:val="nil"/>
            </w:tcBorders>
          </w:tcPr>
          <w:p w14:paraId="1DA0C482"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Borders>
              <w:top w:val="nil"/>
            </w:tcBorders>
          </w:tcPr>
          <w:p w14:paraId="3B9F6D6B" w14:textId="77777777" w:rsidR="00A75BD0" w:rsidRDefault="009D4DA5">
            <w:pPr>
              <w:jc w:val="center"/>
            </w:pPr>
            <w:r>
              <w:rPr>
                <w:sz w:val="16"/>
                <w:szCs w:val="16"/>
              </w:rPr>
              <w:t>X</w:t>
            </w:r>
          </w:p>
        </w:tc>
        <w:tc>
          <w:tcPr>
            <w:tcW w:w="1109" w:type="dxa"/>
            <w:tcBorders>
              <w:top w:val="nil"/>
            </w:tcBorders>
          </w:tcPr>
          <w:p w14:paraId="6E357291" w14:textId="77777777" w:rsidR="00A75BD0" w:rsidRDefault="009D4DA5">
            <w:pPr>
              <w:jc w:val="center"/>
            </w:pPr>
            <w:r>
              <w:rPr>
                <w:sz w:val="16"/>
                <w:szCs w:val="16"/>
              </w:rPr>
              <w:t>X</w:t>
            </w:r>
          </w:p>
        </w:tc>
        <w:tc>
          <w:tcPr>
            <w:tcW w:w="1110" w:type="dxa"/>
            <w:tcBorders>
              <w:top w:val="nil"/>
            </w:tcBorders>
          </w:tcPr>
          <w:p w14:paraId="13791692" w14:textId="77777777" w:rsidR="00A75BD0" w:rsidRDefault="009D4DA5">
            <w:pPr>
              <w:jc w:val="center"/>
            </w:pPr>
            <w:r>
              <w:rPr>
                <w:sz w:val="16"/>
                <w:szCs w:val="16"/>
              </w:rPr>
              <w:t>X</w:t>
            </w:r>
          </w:p>
        </w:tc>
        <w:tc>
          <w:tcPr>
            <w:tcW w:w="1110" w:type="dxa"/>
            <w:tcBorders>
              <w:top w:val="nil"/>
            </w:tcBorders>
          </w:tcPr>
          <w:p w14:paraId="2763961D" w14:textId="77777777" w:rsidR="00A75BD0" w:rsidRDefault="009D4DA5">
            <w:pPr>
              <w:jc w:val="center"/>
            </w:pPr>
            <w:r>
              <w:rPr>
                <w:sz w:val="16"/>
                <w:szCs w:val="16"/>
              </w:rPr>
              <w:t>X</w:t>
            </w:r>
          </w:p>
        </w:tc>
        <w:tc>
          <w:tcPr>
            <w:tcW w:w="1109" w:type="dxa"/>
            <w:tcBorders>
              <w:top w:val="nil"/>
              <w:bottom w:val="single" w:sz="4" w:space="0" w:color="000000" w:themeColor="text1"/>
            </w:tcBorders>
          </w:tcPr>
          <w:p w14:paraId="32829D6B" w14:textId="77777777" w:rsidR="00A75BD0" w:rsidRDefault="009D4DA5">
            <w:pPr>
              <w:jc w:val="center"/>
            </w:pPr>
            <w:r>
              <w:rPr>
                <w:sz w:val="16"/>
                <w:szCs w:val="16"/>
              </w:rPr>
              <w:t>X</w:t>
            </w:r>
          </w:p>
        </w:tc>
        <w:tc>
          <w:tcPr>
            <w:tcW w:w="2423" w:type="dxa"/>
            <w:tcBorders>
              <w:top w:val="nil"/>
              <w:left w:val="nil"/>
              <w:bottom w:val="single" w:sz="4" w:space="0" w:color="000000" w:themeColor="text1"/>
              <w:right w:val="single" w:sz="4" w:space="0" w:color="000000" w:themeColor="text1"/>
            </w:tcBorders>
          </w:tcPr>
          <w:p w14:paraId="57DDE544" w14:textId="77777777" w:rsidR="00A75BD0" w:rsidRDefault="009D4DA5">
            <w:pPr>
              <w:jc w:val="center"/>
              <w:rPr>
                <w:sz w:val="16"/>
                <w:szCs w:val="16"/>
              </w:rPr>
            </w:pPr>
            <w:r>
              <w:rPr>
                <w:sz w:val="16"/>
                <w:szCs w:val="16"/>
              </w:rPr>
              <w:t>X</w:t>
            </w:r>
          </w:p>
        </w:tc>
      </w:tr>
      <w:tr w:rsidR="00A75BD0" w14:paraId="3B4680E1" w14:textId="77777777" w:rsidTr="0BA40188">
        <w:trPr>
          <w:trHeight w:val="398"/>
        </w:trPr>
        <w:tc>
          <w:tcPr>
            <w:tcW w:w="4945" w:type="dxa"/>
            <w:tcBorders>
              <w:top w:val="nil"/>
              <w:left w:val="single" w:sz="4" w:space="0" w:color="000000" w:themeColor="text1"/>
              <w:bottom w:val="nil"/>
            </w:tcBorders>
          </w:tcPr>
          <w:p w14:paraId="093A6A2E" w14:textId="77777777" w:rsidR="00A75BD0" w:rsidRDefault="009D4DA5">
            <w:pPr>
              <w:jc w:val="center"/>
              <w:rPr>
                <w:sz w:val="16"/>
                <w:szCs w:val="16"/>
              </w:rPr>
            </w:pPr>
            <w:r>
              <w:rPr>
                <w:sz w:val="16"/>
                <w:szCs w:val="16"/>
              </w:rPr>
              <w:t>Ionogramme, créatinine</w:t>
            </w:r>
          </w:p>
        </w:tc>
        <w:tc>
          <w:tcPr>
            <w:tcW w:w="1587" w:type="dxa"/>
          </w:tcPr>
          <w:p w14:paraId="210814CB"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Pr>
          <w:p w14:paraId="4E127E6C" w14:textId="77777777" w:rsidR="00A75BD0" w:rsidRDefault="009D4DA5">
            <w:pPr>
              <w:jc w:val="center"/>
            </w:pPr>
            <w:r>
              <w:rPr>
                <w:sz w:val="16"/>
                <w:szCs w:val="16"/>
              </w:rPr>
              <w:t>X</w:t>
            </w:r>
          </w:p>
        </w:tc>
        <w:tc>
          <w:tcPr>
            <w:tcW w:w="1109" w:type="dxa"/>
          </w:tcPr>
          <w:p w14:paraId="3688C46F" w14:textId="77777777" w:rsidR="00A75BD0" w:rsidRDefault="009D4DA5">
            <w:pPr>
              <w:jc w:val="center"/>
            </w:pPr>
            <w:r>
              <w:rPr>
                <w:sz w:val="16"/>
                <w:szCs w:val="16"/>
              </w:rPr>
              <w:t>X</w:t>
            </w:r>
          </w:p>
        </w:tc>
        <w:tc>
          <w:tcPr>
            <w:tcW w:w="1110" w:type="dxa"/>
          </w:tcPr>
          <w:p w14:paraId="37E4AFF0" w14:textId="77777777" w:rsidR="00A75BD0" w:rsidRDefault="009D4DA5">
            <w:pPr>
              <w:jc w:val="center"/>
              <w:rPr>
                <w:sz w:val="16"/>
                <w:szCs w:val="16"/>
              </w:rPr>
            </w:pPr>
            <w:r>
              <w:rPr>
                <w:sz w:val="16"/>
                <w:szCs w:val="16"/>
              </w:rPr>
              <w:t>X</w:t>
            </w:r>
          </w:p>
        </w:tc>
        <w:tc>
          <w:tcPr>
            <w:tcW w:w="1110" w:type="dxa"/>
          </w:tcPr>
          <w:p w14:paraId="5B3E6D51" w14:textId="77777777" w:rsidR="00A75BD0" w:rsidRDefault="009D4DA5">
            <w:pPr>
              <w:jc w:val="center"/>
            </w:pPr>
            <w:r>
              <w:rPr>
                <w:sz w:val="16"/>
                <w:szCs w:val="16"/>
              </w:rPr>
              <w:t>X</w:t>
            </w:r>
          </w:p>
        </w:tc>
        <w:tc>
          <w:tcPr>
            <w:tcW w:w="1109" w:type="dxa"/>
            <w:tcBorders>
              <w:top w:val="single" w:sz="4" w:space="0" w:color="000000" w:themeColor="text1"/>
            </w:tcBorders>
          </w:tcPr>
          <w:p w14:paraId="04F4A22F" w14:textId="77777777" w:rsidR="00A75BD0" w:rsidRDefault="009D4DA5">
            <w:pPr>
              <w:jc w:val="center"/>
            </w:pPr>
            <w:r>
              <w:rPr>
                <w:sz w:val="16"/>
                <w:szCs w:val="16"/>
              </w:rPr>
              <w:t>X</w:t>
            </w:r>
          </w:p>
        </w:tc>
        <w:tc>
          <w:tcPr>
            <w:tcW w:w="2423" w:type="dxa"/>
            <w:tcBorders>
              <w:top w:val="single" w:sz="4" w:space="0" w:color="000000" w:themeColor="text1"/>
              <w:left w:val="nil"/>
              <w:right w:val="single" w:sz="4" w:space="0" w:color="000000" w:themeColor="text1"/>
            </w:tcBorders>
          </w:tcPr>
          <w:p w14:paraId="37FE8BD0" w14:textId="77777777" w:rsidR="00A75BD0" w:rsidRDefault="009D4DA5">
            <w:pPr>
              <w:jc w:val="center"/>
              <w:rPr>
                <w:sz w:val="16"/>
                <w:szCs w:val="16"/>
              </w:rPr>
            </w:pPr>
            <w:r>
              <w:rPr>
                <w:sz w:val="16"/>
                <w:szCs w:val="16"/>
              </w:rPr>
              <w:t>X</w:t>
            </w:r>
          </w:p>
        </w:tc>
      </w:tr>
      <w:tr w:rsidR="00A75BD0" w14:paraId="248692C6" w14:textId="77777777" w:rsidTr="0BA40188">
        <w:trPr>
          <w:trHeight w:val="297"/>
        </w:trPr>
        <w:tc>
          <w:tcPr>
            <w:tcW w:w="4945" w:type="dxa"/>
            <w:tcBorders>
              <w:left w:val="single" w:sz="4" w:space="0" w:color="000000" w:themeColor="text1"/>
            </w:tcBorders>
          </w:tcPr>
          <w:p w14:paraId="1ACB1B2C" w14:textId="77777777" w:rsidR="00A75BD0" w:rsidRDefault="009D4DA5">
            <w:pPr>
              <w:jc w:val="center"/>
              <w:rPr>
                <w:sz w:val="16"/>
                <w:szCs w:val="16"/>
                <w:vertAlign w:val="superscript"/>
              </w:rPr>
            </w:pPr>
            <w:r>
              <w:rPr>
                <w:sz w:val="16"/>
                <w:szCs w:val="16"/>
              </w:rPr>
              <w:t xml:space="preserve">Echographie cardiaque </w:t>
            </w:r>
            <w:r>
              <w:rPr>
                <w:sz w:val="16"/>
                <w:szCs w:val="16"/>
                <w:vertAlign w:val="superscript"/>
              </w:rPr>
              <w:t>b</w:t>
            </w:r>
            <w:r>
              <w:rPr>
                <w:sz w:val="16"/>
                <w:szCs w:val="16"/>
              </w:rPr>
              <w:t xml:space="preserve"> </w:t>
            </w:r>
          </w:p>
        </w:tc>
        <w:tc>
          <w:tcPr>
            <w:tcW w:w="1587" w:type="dxa"/>
          </w:tcPr>
          <w:p w14:paraId="7CDE1BE1"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Pr>
          <w:p w14:paraId="6FE09014" w14:textId="77777777" w:rsidR="00A75BD0" w:rsidRDefault="00A75BD0">
            <w:pPr>
              <w:jc w:val="center"/>
              <w:rPr>
                <w:sz w:val="16"/>
                <w:szCs w:val="16"/>
              </w:rPr>
            </w:pPr>
          </w:p>
        </w:tc>
        <w:tc>
          <w:tcPr>
            <w:tcW w:w="1109" w:type="dxa"/>
          </w:tcPr>
          <w:p w14:paraId="15044D86" w14:textId="77777777" w:rsidR="00A75BD0" w:rsidRDefault="00A75BD0">
            <w:pPr>
              <w:jc w:val="center"/>
              <w:rPr>
                <w:sz w:val="16"/>
                <w:szCs w:val="16"/>
              </w:rPr>
            </w:pPr>
          </w:p>
        </w:tc>
        <w:tc>
          <w:tcPr>
            <w:tcW w:w="1110" w:type="dxa"/>
          </w:tcPr>
          <w:p w14:paraId="611EC3B4" w14:textId="77777777" w:rsidR="00A75BD0" w:rsidRDefault="00A75BD0">
            <w:pPr>
              <w:jc w:val="center"/>
              <w:rPr>
                <w:sz w:val="16"/>
                <w:szCs w:val="16"/>
              </w:rPr>
            </w:pPr>
          </w:p>
        </w:tc>
        <w:tc>
          <w:tcPr>
            <w:tcW w:w="1110" w:type="dxa"/>
          </w:tcPr>
          <w:p w14:paraId="7446A8CE" w14:textId="77777777" w:rsidR="00A75BD0" w:rsidRDefault="00A75BD0">
            <w:pPr>
              <w:jc w:val="center"/>
              <w:rPr>
                <w:sz w:val="16"/>
                <w:szCs w:val="16"/>
              </w:rPr>
            </w:pPr>
          </w:p>
        </w:tc>
        <w:tc>
          <w:tcPr>
            <w:tcW w:w="1109" w:type="dxa"/>
          </w:tcPr>
          <w:p w14:paraId="55C6CD90" w14:textId="77777777" w:rsidR="00A75BD0" w:rsidRDefault="00A75BD0">
            <w:pPr>
              <w:jc w:val="center"/>
              <w:rPr>
                <w:sz w:val="16"/>
                <w:szCs w:val="16"/>
              </w:rPr>
            </w:pPr>
          </w:p>
        </w:tc>
        <w:tc>
          <w:tcPr>
            <w:tcW w:w="2423" w:type="dxa"/>
            <w:tcBorders>
              <w:right w:val="single" w:sz="4" w:space="0" w:color="000000" w:themeColor="text1"/>
            </w:tcBorders>
          </w:tcPr>
          <w:p w14:paraId="46C8E85A" w14:textId="77777777" w:rsidR="00A75BD0" w:rsidRDefault="009D4DA5">
            <w:pPr>
              <w:jc w:val="center"/>
              <w:rPr>
                <w:sz w:val="16"/>
                <w:szCs w:val="16"/>
              </w:rPr>
            </w:pPr>
            <w:r>
              <w:rPr>
                <w:sz w:val="16"/>
                <w:szCs w:val="16"/>
              </w:rPr>
              <w:t>X</w:t>
            </w:r>
          </w:p>
        </w:tc>
      </w:tr>
      <w:tr w:rsidR="00A75BD0" w14:paraId="2F1DFF23" w14:textId="77777777" w:rsidTr="0BA40188">
        <w:trPr>
          <w:trHeight w:val="297"/>
        </w:trPr>
        <w:tc>
          <w:tcPr>
            <w:tcW w:w="4945" w:type="dxa"/>
            <w:tcBorders>
              <w:left w:val="single" w:sz="4" w:space="0" w:color="000000" w:themeColor="text1"/>
            </w:tcBorders>
          </w:tcPr>
          <w:p w14:paraId="59B973BF" w14:textId="77777777" w:rsidR="00A75BD0" w:rsidRDefault="009D4DA5">
            <w:pPr>
              <w:jc w:val="center"/>
              <w:rPr>
                <w:sz w:val="16"/>
                <w:szCs w:val="16"/>
              </w:rPr>
            </w:pPr>
            <w:r>
              <w:rPr>
                <w:sz w:val="16"/>
                <w:szCs w:val="16"/>
              </w:rPr>
              <w:t>Transaminases</w:t>
            </w:r>
            <w:r>
              <w:rPr>
                <w:sz w:val="16"/>
                <w:szCs w:val="16"/>
                <w:vertAlign w:val="superscript"/>
              </w:rPr>
              <w:t xml:space="preserve"> </w:t>
            </w:r>
          </w:p>
        </w:tc>
        <w:tc>
          <w:tcPr>
            <w:tcW w:w="1587" w:type="dxa"/>
          </w:tcPr>
          <w:p w14:paraId="3A9A3A9B"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Pr>
          <w:p w14:paraId="49C72C71" w14:textId="77777777" w:rsidR="00A75BD0" w:rsidRDefault="009D4DA5">
            <w:pPr>
              <w:jc w:val="center"/>
              <w:rPr>
                <w:sz w:val="16"/>
                <w:szCs w:val="16"/>
              </w:rPr>
            </w:pPr>
            <w:r>
              <w:rPr>
                <w:sz w:val="16"/>
                <w:szCs w:val="16"/>
              </w:rPr>
              <w:t>X</w:t>
            </w:r>
          </w:p>
        </w:tc>
        <w:tc>
          <w:tcPr>
            <w:tcW w:w="1109" w:type="dxa"/>
          </w:tcPr>
          <w:p w14:paraId="7900C69C" w14:textId="77777777" w:rsidR="00A75BD0" w:rsidRDefault="009D4DA5">
            <w:pPr>
              <w:jc w:val="center"/>
              <w:rPr>
                <w:sz w:val="16"/>
                <w:szCs w:val="16"/>
              </w:rPr>
            </w:pPr>
            <w:r>
              <w:rPr>
                <w:sz w:val="16"/>
                <w:szCs w:val="16"/>
              </w:rPr>
              <w:t>X</w:t>
            </w:r>
          </w:p>
        </w:tc>
        <w:tc>
          <w:tcPr>
            <w:tcW w:w="1110" w:type="dxa"/>
          </w:tcPr>
          <w:p w14:paraId="2DD04D87" w14:textId="77777777" w:rsidR="00A75BD0" w:rsidRDefault="009D4DA5">
            <w:pPr>
              <w:jc w:val="center"/>
              <w:rPr>
                <w:sz w:val="16"/>
                <w:szCs w:val="16"/>
              </w:rPr>
            </w:pPr>
            <w:r>
              <w:rPr>
                <w:sz w:val="16"/>
                <w:szCs w:val="16"/>
              </w:rPr>
              <w:t>X</w:t>
            </w:r>
          </w:p>
        </w:tc>
        <w:tc>
          <w:tcPr>
            <w:tcW w:w="1110" w:type="dxa"/>
          </w:tcPr>
          <w:p w14:paraId="2B3AFB74" w14:textId="77777777" w:rsidR="00A75BD0" w:rsidRDefault="009D4DA5">
            <w:pPr>
              <w:jc w:val="center"/>
              <w:rPr>
                <w:sz w:val="16"/>
                <w:szCs w:val="16"/>
              </w:rPr>
            </w:pPr>
            <w:r>
              <w:rPr>
                <w:sz w:val="16"/>
                <w:szCs w:val="16"/>
              </w:rPr>
              <w:t>X</w:t>
            </w:r>
          </w:p>
        </w:tc>
        <w:tc>
          <w:tcPr>
            <w:tcW w:w="1109" w:type="dxa"/>
          </w:tcPr>
          <w:p w14:paraId="10CD4897" w14:textId="77777777" w:rsidR="00A75BD0" w:rsidRDefault="009D4DA5">
            <w:pPr>
              <w:jc w:val="center"/>
              <w:rPr>
                <w:sz w:val="16"/>
                <w:szCs w:val="16"/>
              </w:rPr>
            </w:pPr>
            <w:r>
              <w:rPr>
                <w:sz w:val="16"/>
                <w:szCs w:val="16"/>
              </w:rPr>
              <w:t>X</w:t>
            </w:r>
          </w:p>
        </w:tc>
        <w:tc>
          <w:tcPr>
            <w:tcW w:w="2423" w:type="dxa"/>
            <w:tcBorders>
              <w:right w:val="single" w:sz="4" w:space="0" w:color="000000" w:themeColor="text1"/>
            </w:tcBorders>
          </w:tcPr>
          <w:p w14:paraId="2E668C38" w14:textId="77777777" w:rsidR="00A75BD0" w:rsidRDefault="009D4DA5">
            <w:pPr>
              <w:jc w:val="center"/>
              <w:rPr>
                <w:sz w:val="16"/>
                <w:szCs w:val="16"/>
              </w:rPr>
            </w:pPr>
            <w:r>
              <w:rPr>
                <w:sz w:val="16"/>
                <w:szCs w:val="16"/>
              </w:rPr>
              <w:t>X</w:t>
            </w:r>
          </w:p>
        </w:tc>
      </w:tr>
      <w:tr w:rsidR="00A75BD0" w14:paraId="2ECF6576" w14:textId="77777777" w:rsidTr="0BA40188">
        <w:trPr>
          <w:trHeight w:val="297"/>
        </w:trPr>
        <w:tc>
          <w:tcPr>
            <w:tcW w:w="4945" w:type="dxa"/>
            <w:tcBorders>
              <w:left w:val="single" w:sz="4" w:space="0" w:color="000000" w:themeColor="text1"/>
            </w:tcBorders>
          </w:tcPr>
          <w:p w14:paraId="2CD19D6F" w14:textId="77777777" w:rsidR="00A75BD0" w:rsidRDefault="009D4DA5">
            <w:pPr>
              <w:jc w:val="center"/>
              <w:rPr>
                <w:sz w:val="16"/>
                <w:szCs w:val="16"/>
              </w:rPr>
            </w:pPr>
            <w:r>
              <w:rPr>
                <w:sz w:val="16"/>
                <w:szCs w:val="16"/>
              </w:rPr>
              <w:t>Gamma GT</w:t>
            </w:r>
            <w:r>
              <w:rPr>
                <w:sz w:val="16"/>
                <w:szCs w:val="16"/>
                <w:vertAlign w:val="superscript"/>
              </w:rPr>
              <w:t xml:space="preserve"> </w:t>
            </w:r>
          </w:p>
        </w:tc>
        <w:tc>
          <w:tcPr>
            <w:tcW w:w="1587" w:type="dxa"/>
          </w:tcPr>
          <w:p w14:paraId="00917C40" w14:textId="77777777" w:rsidR="00A75BD0" w:rsidRDefault="009D4DA5" w:rsidP="0BA40188">
            <w:pPr>
              <w:jc w:val="center"/>
              <w:rPr>
                <w:sz w:val="16"/>
                <w:szCs w:val="16"/>
                <w:lang w:val="fr-FR"/>
              </w:rPr>
            </w:pPr>
            <w:r w:rsidRPr="0BA40188">
              <w:rPr>
                <w:sz w:val="16"/>
                <w:szCs w:val="16"/>
                <w:lang w:val="fr-FR"/>
              </w:rPr>
              <w:t>X</w:t>
            </w:r>
            <w:r w:rsidRPr="0BA40188">
              <w:rPr>
                <w:sz w:val="16"/>
                <w:szCs w:val="16"/>
                <w:vertAlign w:val="superscript"/>
                <w:lang w:val="fr-FR"/>
              </w:rPr>
              <w:t>c</w:t>
            </w:r>
          </w:p>
        </w:tc>
        <w:tc>
          <w:tcPr>
            <w:tcW w:w="739" w:type="dxa"/>
          </w:tcPr>
          <w:p w14:paraId="68585D51" w14:textId="77777777" w:rsidR="00A75BD0" w:rsidRDefault="009D4DA5">
            <w:pPr>
              <w:jc w:val="center"/>
              <w:rPr>
                <w:sz w:val="16"/>
                <w:szCs w:val="16"/>
              </w:rPr>
            </w:pPr>
            <w:r>
              <w:rPr>
                <w:sz w:val="16"/>
                <w:szCs w:val="16"/>
              </w:rPr>
              <w:t>X</w:t>
            </w:r>
          </w:p>
        </w:tc>
        <w:tc>
          <w:tcPr>
            <w:tcW w:w="1109" w:type="dxa"/>
          </w:tcPr>
          <w:p w14:paraId="2100E3DD" w14:textId="77777777" w:rsidR="00A75BD0" w:rsidRDefault="009D4DA5">
            <w:pPr>
              <w:jc w:val="center"/>
              <w:rPr>
                <w:sz w:val="16"/>
                <w:szCs w:val="16"/>
              </w:rPr>
            </w:pPr>
            <w:r>
              <w:rPr>
                <w:sz w:val="16"/>
                <w:szCs w:val="16"/>
              </w:rPr>
              <w:t>X</w:t>
            </w:r>
          </w:p>
        </w:tc>
        <w:tc>
          <w:tcPr>
            <w:tcW w:w="1110" w:type="dxa"/>
          </w:tcPr>
          <w:p w14:paraId="3A3268C2" w14:textId="77777777" w:rsidR="00A75BD0" w:rsidRDefault="009D4DA5">
            <w:pPr>
              <w:jc w:val="center"/>
              <w:rPr>
                <w:sz w:val="16"/>
                <w:szCs w:val="16"/>
              </w:rPr>
            </w:pPr>
            <w:r>
              <w:rPr>
                <w:sz w:val="16"/>
                <w:szCs w:val="16"/>
              </w:rPr>
              <w:t>X</w:t>
            </w:r>
          </w:p>
        </w:tc>
        <w:tc>
          <w:tcPr>
            <w:tcW w:w="1110" w:type="dxa"/>
          </w:tcPr>
          <w:p w14:paraId="3AE99B4A" w14:textId="77777777" w:rsidR="00A75BD0" w:rsidRDefault="009D4DA5">
            <w:pPr>
              <w:jc w:val="center"/>
              <w:rPr>
                <w:sz w:val="16"/>
                <w:szCs w:val="16"/>
              </w:rPr>
            </w:pPr>
            <w:r>
              <w:rPr>
                <w:sz w:val="16"/>
                <w:szCs w:val="16"/>
              </w:rPr>
              <w:t>X</w:t>
            </w:r>
          </w:p>
        </w:tc>
        <w:tc>
          <w:tcPr>
            <w:tcW w:w="1109" w:type="dxa"/>
          </w:tcPr>
          <w:p w14:paraId="2EF7444B" w14:textId="77777777" w:rsidR="00A75BD0" w:rsidRDefault="009D4DA5">
            <w:pPr>
              <w:jc w:val="center"/>
              <w:rPr>
                <w:sz w:val="16"/>
                <w:szCs w:val="16"/>
              </w:rPr>
            </w:pPr>
            <w:r>
              <w:rPr>
                <w:sz w:val="16"/>
                <w:szCs w:val="16"/>
              </w:rPr>
              <w:t>X</w:t>
            </w:r>
          </w:p>
        </w:tc>
        <w:tc>
          <w:tcPr>
            <w:tcW w:w="2423" w:type="dxa"/>
            <w:tcBorders>
              <w:right w:val="single" w:sz="4" w:space="0" w:color="000000" w:themeColor="text1"/>
            </w:tcBorders>
          </w:tcPr>
          <w:p w14:paraId="5F03C5FD" w14:textId="77777777" w:rsidR="00A75BD0" w:rsidRDefault="009D4DA5">
            <w:pPr>
              <w:jc w:val="center"/>
              <w:rPr>
                <w:sz w:val="16"/>
                <w:szCs w:val="16"/>
              </w:rPr>
            </w:pPr>
            <w:r>
              <w:rPr>
                <w:sz w:val="16"/>
                <w:szCs w:val="16"/>
              </w:rPr>
              <w:t>X</w:t>
            </w:r>
          </w:p>
        </w:tc>
      </w:tr>
    </w:tbl>
    <w:p w14:paraId="65741E95" w14:textId="77777777" w:rsidR="00A75BD0" w:rsidRDefault="009D4DA5" w:rsidP="0BA40188">
      <w:pPr>
        <w:ind w:right="306"/>
        <w:rPr>
          <w:rFonts w:ascii="Arial" w:eastAsia="Arial" w:hAnsi="Arial" w:cs="Arial"/>
          <w:sz w:val="20"/>
          <w:szCs w:val="20"/>
          <w:lang w:val="fr-FR"/>
        </w:rPr>
      </w:pPr>
      <w:r w:rsidRPr="0BA40188">
        <w:rPr>
          <w:rFonts w:ascii="Arial" w:eastAsia="Arial" w:hAnsi="Arial" w:cs="Arial"/>
          <w:sz w:val="20"/>
          <w:szCs w:val="20"/>
          <w:vertAlign w:val="superscript"/>
          <w:lang w:val="fr-FR"/>
        </w:rPr>
        <w:t xml:space="preserve">a </w:t>
      </w:r>
      <w:r w:rsidRPr="0BA40188">
        <w:rPr>
          <w:rFonts w:ascii="Arial" w:eastAsia="Arial" w:hAnsi="Arial" w:cs="Arial"/>
          <w:b/>
          <w:bCs/>
          <w:sz w:val="20"/>
          <w:szCs w:val="20"/>
          <w:lang w:val="fr-FR"/>
        </w:rPr>
        <w:t>Fiche de surveillance des épistaxis disponible en annexe 1</w:t>
      </w:r>
    </w:p>
    <w:p w14:paraId="32C6153E" w14:textId="77777777" w:rsidR="00A75BD0" w:rsidRDefault="009D4DA5" w:rsidP="0BA40188">
      <w:pPr>
        <w:spacing w:before="120"/>
        <w:ind w:right="46"/>
        <w:jc w:val="both"/>
        <w:rPr>
          <w:rFonts w:ascii="Arial" w:eastAsia="Arial" w:hAnsi="Arial" w:cs="Arial"/>
          <w:b/>
          <w:bCs/>
          <w:sz w:val="20"/>
          <w:szCs w:val="20"/>
          <w:u w:val="single"/>
          <w:lang w:val="fr-FR"/>
        </w:rPr>
      </w:pPr>
      <w:r w:rsidRPr="0BA40188">
        <w:rPr>
          <w:rFonts w:ascii="Arial" w:eastAsia="Arial" w:hAnsi="Arial" w:cs="Arial"/>
          <w:sz w:val="20"/>
          <w:szCs w:val="20"/>
          <w:vertAlign w:val="superscript"/>
          <w:lang w:val="fr-FR"/>
        </w:rPr>
        <w:t xml:space="preserve">b </w:t>
      </w:r>
      <w:r w:rsidRPr="0BA40188">
        <w:rPr>
          <w:rFonts w:ascii="Arial" w:eastAsia="Arial" w:hAnsi="Arial" w:cs="Arial"/>
          <w:sz w:val="20"/>
          <w:szCs w:val="20"/>
          <w:lang w:val="fr-FR"/>
        </w:rPr>
        <w:t xml:space="preserve">Echocardiographie avec mesure de l’index cardiaque (voir annexe 1 : Protocole pour la réalisation de l’échodoppler cardiaque). Cet examen est à réaliser uniquement pour les patients atteints d’une </w:t>
      </w:r>
      <w:r w:rsidRPr="0BA40188">
        <w:rPr>
          <w:rFonts w:ascii="Arial" w:eastAsia="Arial" w:hAnsi="Arial" w:cs="Arial"/>
          <w:b/>
          <w:bCs/>
          <w:sz w:val="20"/>
          <w:szCs w:val="20"/>
          <w:lang w:val="fr-FR"/>
        </w:rPr>
        <w:t>maladie de Rendu-Osler dans le cas de formes hépatiques sévères avec un retentissement cardiaque à type hyperdébit cardiaque, associé à une dyspnée</w:t>
      </w:r>
    </w:p>
    <w:p w14:paraId="7429C090" w14:textId="77777777" w:rsidR="00A75BD0" w:rsidRDefault="009D4DA5" w:rsidP="0BA40188">
      <w:pPr>
        <w:ind w:right="306"/>
        <w:rPr>
          <w:rFonts w:ascii="Arial" w:eastAsia="Arial" w:hAnsi="Arial" w:cs="Arial"/>
          <w:sz w:val="20"/>
          <w:szCs w:val="20"/>
          <w:lang w:val="fr-FR"/>
        </w:rPr>
      </w:pPr>
      <w:r w:rsidRPr="0BA40188">
        <w:rPr>
          <w:rFonts w:ascii="Arial" w:eastAsia="Arial" w:hAnsi="Arial" w:cs="Arial"/>
          <w:sz w:val="20"/>
          <w:szCs w:val="20"/>
          <w:vertAlign w:val="superscript"/>
          <w:lang w:val="fr-FR"/>
        </w:rPr>
        <w:t>c</w:t>
      </w:r>
      <w:r w:rsidRPr="0BA40188">
        <w:rPr>
          <w:rFonts w:ascii="Arial" w:eastAsia="Arial" w:hAnsi="Arial" w:cs="Arial"/>
          <w:sz w:val="20"/>
          <w:szCs w:val="20"/>
          <w:lang w:val="fr-FR"/>
        </w:rPr>
        <w:t xml:space="preserve"> Avant traitement</w:t>
      </w:r>
    </w:p>
    <w:p w14:paraId="00CD5ABD" w14:textId="77777777" w:rsidR="00A75BD0" w:rsidRDefault="009D4DA5">
      <w:pPr>
        <w:rPr>
          <w:rFonts w:ascii="Arial" w:eastAsia="Arial" w:hAnsi="Arial" w:cs="Arial"/>
          <w:color w:val="595959"/>
          <w:sz w:val="20"/>
          <w:szCs w:val="20"/>
          <w:shd w:val="clear" w:color="auto" w:fill="F2F2F2"/>
        </w:rPr>
        <w:sectPr w:rsidR="00A75BD0">
          <w:pgSz w:w="16840" w:h="11920" w:orient="landscape"/>
          <w:pgMar w:top="1100" w:right="0" w:bottom="1678" w:left="1582" w:header="720" w:footer="720" w:gutter="0"/>
          <w:cols w:space="720"/>
        </w:sectPr>
      </w:pPr>
      <w:r>
        <w:br w:type="page"/>
      </w:r>
    </w:p>
    <w:p w14:paraId="611EB30A" w14:textId="77777777" w:rsidR="00A75BD0" w:rsidRDefault="009D4DA5">
      <w:pPr>
        <w:pStyle w:val="Titre2"/>
        <w:rPr>
          <w:rFonts w:ascii="Arial Narrow" w:eastAsia="Arial Narrow" w:hAnsi="Arial Narrow" w:cs="Arial Narrow"/>
          <w:b/>
        </w:rPr>
      </w:pPr>
      <w:bookmarkStart w:id="4" w:name="_heading=h.tyjcwt" w:colFirst="0" w:colLast="0"/>
      <w:bookmarkEnd w:id="4"/>
      <w:r>
        <w:rPr>
          <w:rFonts w:ascii="Arial Narrow" w:eastAsia="Arial Narrow" w:hAnsi="Arial Narrow" w:cs="Arial Narrow"/>
          <w:sz w:val="28"/>
          <w:szCs w:val="28"/>
        </w:rPr>
        <w:t>Note d’information destinée aux professionnels de santé intervenant dans le CPC</w:t>
      </w:r>
    </w:p>
    <w:p w14:paraId="71C7712E" w14:textId="77777777" w:rsidR="00A75BD0" w:rsidRDefault="00A75BD0">
      <w:pPr>
        <w:rPr>
          <w:rFonts w:ascii="Arial" w:eastAsia="Arial" w:hAnsi="Arial" w:cs="Arial"/>
          <w:sz w:val="20"/>
          <w:szCs w:val="20"/>
          <w:u w:val="single"/>
        </w:rPr>
      </w:pPr>
    </w:p>
    <w:p w14:paraId="0B4DE242" w14:textId="77777777" w:rsidR="00A75BD0" w:rsidRDefault="009D4DA5">
      <w:pPr>
        <w:rPr>
          <w:rFonts w:ascii="Arial Narrow" w:eastAsia="Arial Narrow" w:hAnsi="Arial Narrow" w:cs="Arial Narrow"/>
          <w:color w:val="2E75B5"/>
          <w:sz w:val="26"/>
          <w:szCs w:val="26"/>
        </w:rPr>
      </w:pPr>
      <w:r>
        <w:rPr>
          <w:rFonts w:ascii="Arial Narrow" w:eastAsia="Arial Narrow" w:hAnsi="Arial Narrow" w:cs="Arial Narrow"/>
          <w:color w:val="2E75B5"/>
          <w:sz w:val="26"/>
          <w:szCs w:val="26"/>
        </w:rPr>
        <w:t xml:space="preserve">Rôle du prescripteur </w:t>
      </w:r>
    </w:p>
    <w:p w14:paraId="45EDAADC" w14:textId="77777777" w:rsidR="00A75BD0" w:rsidRDefault="009D4DA5" w:rsidP="0BA40188">
      <w:pPr>
        <w:jc w:val="both"/>
        <w:rPr>
          <w:rFonts w:ascii="Arial" w:eastAsia="Arial" w:hAnsi="Arial" w:cs="Arial"/>
          <w:b/>
          <w:bCs/>
          <w:sz w:val="20"/>
          <w:szCs w:val="20"/>
          <w:lang w:val="fr-FR"/>
        </w:rPr>
      </w:pPr>
      <w:r w:rsidRPr="0BA40188">
        <w:rPr>
          <w:rFonts w:ascii="Arial" w:eastAsia="Arial" w:hAnsi="Arial" w:cs="Arial"/>
          <w:b/>
          <w:bCs/>
          <w:color w:val="000000" w:themeColor="text1"/>
          <w:sz w:val="20"/>
          <w:szCs w:val="20"/>
          <w:lang w:val="fr-FR"/>
        </w:rPr>
        <w:t xml:space="preserve">Les patients qui auraient débuté le traitement par </w:t>
      </w:r>
      <w:r w:rsidRPr="0BA40188">
        <w:rPr>
          <w:rFonts w:ascii="Arial" w:eastAsia="Arial" w:hAnsi="Arial" w:cs="Arial"/>
          <w:b/>
          <w:bCs/>
          <w:sz w:val="20"/>
          <w:szCs w:val="20"/>
          <w:lang w:val="fr-FR"/>
        </w:rPr>
        <w:t xml:space="preserve">bevacizumab </w:t>
      </w:r>
      <w:r w:rsidRPr="0BA40188">
        <w:rPr>
          <w:rFonts w:ascii="Arial" w:eastAsia="Arial" w:hAnsi="Arial" w:cs="Arial"/>
          <w:b/>
          <w:bCs/>
          <w:color w:val="000000" w:themeColor="text1"/>
          <w:sz w:val="20"/>
          <w:szCs w:val="20"/>
          <w:lang w:val="fr-FR"/>
        </w:rPr>
        <w:t>pour l’indication visée par le CPC avant son entrée en vigueur, doivent également être suivis au titre du CPC.</w:t>
      </w:r>
    </w:p>
    <w:p w14:paraId="49C08C31" w14:textId="77777777" w:rsidR="00A75BD0" w:rsidRDefault="009D4DA5">
      <w:pPr>
        <w:jc w:val="both"/>
        <w:rPr>
          <w:rFonts w:ascii="Arial" w:eastAsia="Arial" w:hAnsi="Arial" w:cs="Arial"/>
          <w:sz w:val="20"/>
          <w:szCs w:val="20"/>
        </w:rPr>
      </w:pPr>
      <w:r>
        <w:rPr>
          <w:rFonts w:ascii="Arial" w:eastAsia="Arial" w:hAnsi="Arial" w:cs="Arial"/>
          <w:sz w:val="20"/>
          <w:szCs w:val="20"/>
        </w:rPr>
        <w:t>Le CPC implique le strict respect des mentions définies figurant dans le présent PUT-SP, notamment les critères de prescription, les conditions de prescription et de délivrance, ainsi que l’information et le cas échéant le suivi prospectif des patients traités.</w:t>
      </w:r>
    </w:p>
    <w:p w14:paraId="7ACF1E92" w14:textId="77777777" w:rsidR="00A75BD0" w:rsidRDefault="009D4DA5">
      <w:pPr>
        <w:ind w:right="45"/>
        <w:jc w:val="both"/>
        <w:rPr>
          <w:rFonts w:ascii="Arial" w:eastAsia="Arial" w:hAnsi="Arial" w:cs="Arial"/>
          <w:sz w:val="20"/>
          <w:szCs w:val="20"/>
        </w:rPr>
      </w:pPr>
      <w:r>
        <w:rPr>
          <w:rFonts w:ascii="Arial" w:eastAsia="Arial" w:hAnsi="Arial" w:cs="Arial"/>
          <w:sz w:val="20"/>
          <w:szCs w:val="20"/>
        </w:rPr>
        <w:t>Le prescripteur doit compléter les fiches de suivi (cf. annexe 1). En effet, la saisie des données des patients est indispensable afin d’améliorer les connaissances relatives au traitement dans l’indication du CPC et de garantir au mieux la sécurité des patients traités.</w:t>
      </w:r>
    </w:p>
    <w:p w14:paraId="76D4C105" w14:textId="77777777" w:rsidR="00A75BD0" w:rsidRDefault="00A75BD0">
      <w:pPr>
        <w:ind w:right="45"/>
        <w:rPr>
          <w:rFonts w:ascii="Arial" w:eastAsia="Arial" w:hAnsi="Arial" w:cs="Arial"/>
          <w:sz w:val="20"/>
          <w:szCs w:val="20"/>
        </w:rPr>
      </w:pPr>
    </w:p>
    <w:p w14:paraId="5AFDD1EE" w14:textId="77777777" w:rsidR="00A75BD0" w:rsidRDefault="009D4DA5">
      <w:pPr>
        <w:spacing w:before="120"/>
        <w:ind w:right="46"/>
        <w:rPr>
          <w:rFonts w:ascii="Arial" w:eastAsia="Arial" w:hAnsi="Arial" w:cs="Arial"/>
          <w:sz w:val="20"/>
          <w:szCs w:val="20"/>
          <w:u w:val="single"/>
        </w:rPr>
      </w:pPr>
      <w:r>
        <w:rPr>
          <w:rFonts w:ascii="Arial" w:eastAsia="Arial" w:hAnsi="Arial" w:cs="Arial"/>
          <w:sz w:val="20"/>
          <w:szCs w:val="20"/>
          <w:u w:val="single"/>
        </w:rPr>
        <w:t xml:space="preserve">Initiation </w:t>
      </w:r>
    </w:p>
    <w:p w14:paraId="566B6DB4" w14:textId="77777777" w:rsidR="00A75BD0" w:rsidRDefault="009D4DA5">
      <w:pPr>
        <w:pBdr>
          <w:top w:val="nil"/>
          <w:left w:val="nil"/>
          <w:bottom w:val="nil"/>
          <w:right w:val="nil"/>
          <w:between w:val="nil"/>
        </w:pBdr>
        <w:spacing w:before="120" w:after="0" w:line="240" w:lineRule="auto"/>
        <w:ind w:right="46"/>
        <w:jc w:val="both"/>
        <w:rPr>
          <w:rFonts w:ascii="Arial" w:eastAsia="Arial" w:hAnsi="Arial" w:cs="Arial"/>
          <w:color w:val="000000"/>
          <w:sz w:val="20"/>
          <w:szCs w:val="20"/>
        </w:rPr>
      </w:pPr>
      <w:r>
        <w:rPr>
          <w:rFonts w:ascii="Arial" w:eastAsia="Arial" w:hAnsi="Arial" w:cs="Arial"/>
          <w:color w:val="000000"/>
          <w:sz w:val="20"/>
          <w:szCs w:val="20"/>
        </w:rPr>
        <w:t>Le prescripteur :</w:t>
      </w:r>
    </w:p>
    <w:p w14:paraId="725C6ED9" w14:textId="77777777" w:rsidR="00A75BD0" w:rsidRDefault="009D4DA5" w:rsidP="0BA40188">
      <w:pPr>
        <w:keepLines/>
        <w:numPr>
          <w:ilvl w:val="0"/>
          <w:numId w:val="23"/>
        </w:numPr>
        <w:spacing w:after="0" w:line="240" w:lineRule="auto"/>
        <w:ind w:right="45"/>
        <w:jc w:val="both"/>
        <w:rPr>
          <w:rFonts w:ascii="Arial" w:eastAsia="Arial" w:hAnsi="Arial" w:cs="Arial"/>
          <w:sz w:val="20"/>
          <w:szCs w:val="20"/>
          <w:lang w:val="fr-FR"/>
        </w:rPr>
      </w:pPr>
      <w:r w:rsidRPr="0BA40188">
        <w:rPr>
          <w:rFonts w:ascii="Arial" w:eastAsia="Arial" w:hAnsi="Arial" w:cs="Arial"/>
          <w:sz w:val="20"/>
          <w:szCs w:val="20"/>
          <w:lang w:val="fr-FR"/>
        </w:rPr>
        <w:t>prend connaissance du présent CPC et vérifie les critères de prescription du bevacizumab dans ce cadre,</w:t>
      </w:r>
    </w:p>
    <w:p w14:paraId="5F158094" w14:textId="77777777" w:rsidR="00A75BD0" w:rsidRDefault="009D4DA5" w:rsidP="0BA40188">
      <w:pPr>
        <w:keepLines/>
        <w:numPr>
          <w:ilvl w:val="0"/>
          <w:numId w:val="23"/>
        </w:numPr>
        <w:spacing w:after="0" w:line="240" w:lineRule="auto"/>
        <w:ind w:right="45"/>
        <w:jc w:val="both"/>
        <w:rPr>
          <w:rFonts w:ascii="Arial" w:eastAsia="Arial" w:hAnsi="Arial" w:cs="Arial"/>
          <w:sz w:val="20"/>
          <w:szCs w:val="20"/>
          <w:lang w:val="fr-FR"/>
        </w:rPr>
      </w:pPr>
      <w:r w:rsidRPr="0BA40188">
        <w:rPr>
          <w:rFonts w:ascii="Arial" w:eastAsia="Arial" w:hAnsi="Arial" w:cs="Arial"/>
          <w:sz w:val="20"/>
          <w:szCs w:val="20"/>
          <w:lang w:val="fr-FR"/>
        </w:rPr>
        <w:t>vérifie l’absence d’une contre-indication au traitement (se référer aux contre-indications en section 1 “Les médicaments” de ce PUT-SP et aux RCP</w:t>
      </w:r>
      <w:r w:rsidRPr="0BA40188">
        <w:rPr>
          <w:sz w:val="20"/>
          <w:szCs w:val="20"/>
          <w:lang w:val="fr-FR"/>
        </w:rPr>
        <w:t>(1)</w:t>
      </w:r>
      <w:r w:rsidRPr="0BA40188">
        <w:rPr>
          <w:rFonts w:ascii="Arial" w:eastAsia="Arial" w:hAnsi="Arial" w:cs="Arial"/>
          <w:sz w:val="20"/>
          <w:szCs w:val="20"/>
          <w:lang w:val="fr-FR"/>
        </w:rPr>
        <w:t xml:space="preserve"> des AMM des médicaments concernés),</w:t>
      </w:r>
    </w:p>
    <w:p w14:paraId="56F29072" w14:textId="77777777" w:rsidR="00A75BD0" w:rsidRDefault="009D4DA5" w:rsidP="0BA40188">
      <w:pPr>
        <w:keepLines/>
        <w:numPr>
          <w:ilvl w:val="0"/>
          <w:numId w:val="23"/>
        </w:numPr>
        <w:spacing w:after="0" w:line="240" w:lineRule="auto"/>
        <w:ind w:right="45"/>
        <w:jc w:val="both"/>
        <w:rPr>
          <w:rFonts w:ascii="Arial" w:eastAsia="Arial" w:hAnsi="Arial" w:cs="Arial"/>
          <w:sz w:val="20"/>
          <w:szCs w:val="20"/>
          <w:lang w:val="fr-FR"/>
        </w:rPr>
      </w:pPr>
      <w:r w:rsidRPr="0BA40188">
        <w:rPr>
          <w:rFonts w:ascii="Arial" w:eastAsia="Arial" w:hAnsi="Arial" w:cs="Arial"/>
          <w:sz w:val="20"/>
          <w:szCs w:val="20"/>
          <w:lang w:val="fr-FR"/>
        </w:rPr>
        <w:t xml:space="preserve">informe le patient (ou son représentant légal ou la personne de confiance qu’il a désignée) de la non-conformité de la prescription par rapport à l’AMM, des risques encourus, des contraintes et des bénéfices susceptibles d’être apportés par ce médicament, et s’assure de la bonne compréhension de ces informations, </w:t>
      </w:r>
    </w:p>
    <w:p w14:paraId="329C47B9" w14:textId="77777777" w:rsidR="00A75BD0" w:rsidRDefault="009D4DA5" w:rsidP="0BA40188">
      <w:pPr>
        <w:keepLines/>
        <w:numPr>
          <w:ilvl w:val="0"/>
          <w:numId w:val="23"/>
        </w:numPr>
        <w:spacing w:after="0" w:line="240" w:lineRule="auto"/>
        <w:ind w:right="45"/>
        <w:jc w:val="both"/>
        <w:rPr>
          <w:rFonts w:ascii="Arial" w:eastAsia="Arial" w:hAnsi="Arial" w:cs="Arial"/>
          <w:sz w:val="20"/>
          <w:szCs w:val="20"/>
          <w:lang w:val="fr-FR"/>
        </w:rPr>
      </w:pPr>
      <w:r w:rsidRPr="0BA40188">
        <w:rPr>
          <w:rFonts w:ascii="Arial" w:eastAsia="Arial" w:hAnsi="Arial" w:cs="Arial"/>
          <w:sz w:val="20"/>
          <w:szCs w:val="20"/>
          <w:lang w:val="fr-FR"/>
        </w:rPr>
        <w:t xml:space="preserve">remet au patient (ou à son représentant légal ou à la personne de confiance qu’il a désignée) la note d’information destinée au patient (annexe 3 et annexe 4), </w:t>
      </w:r>
    </w:p>
    <w:p w14:paraId="307843AC" w14:textId="77777777" w:rsidR="00A75BD0" w:rsidRDefault="009D4DA5" w:rsidP="0BA40188">
      <w:pPr>
        <w:keepLines/>
        <w:numPr>
          <w:ilvl w:val="0"/>
          <w:numId w:val="23"/>
        </w:numPr>
        <w:spacing w:after="0" w:line="240" w:lineRule="auto"/>
        <w:ind w:right="45"/>
        <w:jc w:val="both"/>
        <w:rPr>
          <w:rFonts w:ascii="Arial" w:eastAsia="Arial" w:hAnsi="Arial" w:cs="Arial"/>
          <w:sz w:val="20"/>
          <w:szCs w:val="20"/>
          <w:lang w:val="fr-FR"/>
        </w:rPr>
      </w:pPr>
      <w:r w:rsidRPr="0BA40188">
        <w:rPr>
          <w:rFonts w:ascii="Arial" w:eastAsia="Arial" w:hAnsi="Arial" w:cs="Arial"/>
          <w:sz w:val="20"/>
          <w:szCs w:val="20"/>
          <w:lang w:val="fr-FR"/>
        </w:rPr>
        <w:t>informe le patient des conditions de prise en charge du traitement par l’assurance maladie</w:t>
      </w:r>
    </w:p>
    <w:p w14:paraId="10C8F18F" w14:textId="77777777" w:rsidR="00A75BD0" w:rsidRDefault="009D4DA5" w:rsidP="0BA40188">
      <w:pPr>
        <w:keepLines/>
        <w:numPr>
          <w:ilvl w:val="0"/>
          <w:numId w:val="23"/>
        </w:numPr>
        <w:spacing w:after="0" w:line="240" w:lineRule="auto"/>
        <w:ind w:right="45"/>
        <w:jc w:val="both"/>
        <w:rPr>
          <w:rFonts w:ascii="Arial" w:eastAsia="Arial" w:hAnsi="Arial" w:cs="Arial"/>
          <w:sz w:val="20"/>
          <w:szCs w:val="20"/>
          <w:lang w:val="fr-FR"/>
        </w:rPr>
      </w:pPr>
      <w:r w:rsidRPr="0BA40188">
        <w:rPr>
          <w:rFonts w:ascii="Arial" w:eastAsia="Arial" w:hAnsi="Arial" w:cs="Arial"/>
          <w:sz w:val="20"/>
          <w:szCs w:val="20"/>
          <w:lang w:val="fr-FR"/>
        </w:rPr>
        <w:t xml:space="preserve">porte sur l’ordonnance la mention « </w:t>
      </w:r>
      <w:r w:rsidRPr="0BA40188">
        <w:rPr>
          <w:rFonts w:ascii="Arial" w:eastAsia="Arial" w:hAnsi="Arial" w:cs="Arial"/>
          <w:sz w:val="20"/>
          <w:szCs w:val="20"/>
          <w:u w:val="single"/>
          <w:lang w:val="fr-FR"/>
        </w:rPr>
        <w:t>Prescription au titre d’un accès compassionnel en dehors du cadre d’une autorisation de mise sur le marché</w:t>
      </w:r>
      <w:r w:rsidRPr="0BA40188">
        <w:rPr>
          <w:rFonts w:ascii="Arial" w:eastAsia="Arial" w:hAnsi="Arial" w:cs="Arial"/>
          <w:sz w:val="20"/>
          <w:szCs w:val="20"/>
          <w:lang w:val="fr-FR"/>
        </w:rPr>
        <w:t xml:space="preserve"> »,</w:t>
      </w:r>
    </w:p>
    <w:p w14:paraId="07E7A6C9" w14:textId="77777777" w:rsidR="00A75BD0" w:rsidRDefault="009D4DA5" w:rsidP="0BA40188">
      <w:pPr>
        <w:keepLines/>
        <w:numPr>
          <w:ilvl w:val="0"/>
          <w:numId w:val="23"/>
        </w:numPr>
        <w:spacing w:after="0" w:line="240" w:lineRule="auto"/>
        <w:ind w:right="45"/>
        <w:jc w:val="both"/>
        <w:rPr>
          <w:rFonts w:ascii="Arial" w:eastAsia="Arial" w:hAnsi="Arial" w:cs="Arial"/>
          <w:sz w:val="20"/>
          <w:szCs w:val="20"/>
          <w:lang w:val="fr-FR"/>
        </w:rPr>
      </w:pPr>
      <w:r w:rsidRPr="0BA40188">
        <w:rPr>
          <w:rFonts w:ascii="Arial" w:eastAsia="Arial" w:hAnsi="Arial" w:cs="Arial"/>
          <w:sz w:val="20"/>
          <w:szCs w:val="20"/>
          <w:lang w:val="fr-FR"/>
        </w:rPr>
        <w:t xml:space="preserve">informe, si possible, le médecin traitant du patient, </w:t>
      </w:r>
    </w:p>
    <w:p w14:paraId="5CF62A76" w14:textId="77777777" w:rsidR="00A75BD0" w:rsidRDefault="009D4DA5" w:rsidP="0BA40188">
      <w:pPr>
        <w:keepLines/>
        <w:numPr>
          <w:ilvl w:val="0"/>
          <w:numId w:val="23"/>
        </w:numPr>
        <w:spacing w:after="0" w:line="240" w:lineRule="auto"/>
        <w:ind w:right="45"/>
        <w:jc w:val="both"/>
        <w:rPr>
          <w:rFonts w:ascii="Arial" w:eastAsia="Arial" w:hAnsi="Arial" w:cs="Arial"/>
          <w:sz w:val="20"/>
          <w:szCs w:val="20"/>
          <w:lang w:val="fr-FR"/>
        </w:rPr>
      </w:pPr>
      <w:r w:rsidRPr="0BA40188">
        <w:rPr>
          <w:rFonts w:ascii="Arial" w:eastAsia="Arial" w:hAnsi="Arial" w:cs="Arial"/>
          <w:sz w:val="20"/>
          <w:szCs w:val="20"/>
          <w:lang w:val="fr-FR"/>
        </w:rPr>
        <w:t>remplit la fiche d’initiation de traitement (annexe 1),</w:t>
      </w:r>
    </w:p>
    <w:p w14:paraId="6AC7C89B" w14:textId="77777777" w:rsidR="00A75BD0" w:rsidRDefault="009D4DA5" w:rsidP="0BA40188">
      <w:pPr>
        <w:keepLines/>
        <w:numPr>
          <w:ilvl w:val="0"/>
          <w:numId w:val="23"/>
        </w:numPr>
        <w:spacing w:after="0" w:line="240" w:lineRule="auto"/>
        <w:ind w:right="1112"/>
        <w:jc w:val="both"/>
        <w:rPr>
          <w:rFonts w:ascii="Arial" w:eastAsia="Arial" w:hAnsi="Arial" w:cs="Arial"/>
          <w:sz w:val="20"/>
          <w:szCs w:val="20"/>
          <w:lang w:val="fr-FR"/>
        </w:rPr>
      </w:pPr>
      <w:r w:rsidRPr="0BA40188">
        <w:rPr>
          <w:rFonts w:ascii="Arial" w:eastAsia="Arial" w:hAnsi="Arial" w:cs="Arial"/>
          <w:sz w:val="20"/>
          <w:szCs w:val="20"/>
          <w:lang w:val="fr-FR"/>
        </w:rPr>
        <w:t>motive sa prescription dans le dossier médical du patient et</w:t>
      </w:r>
      <w:r w:rsidRPr="0BA40188">
        <w:rPr>
          <w:lang w:val="fr-FR"/>
        </w:rPr>
        <w:t xml:space="preserve"> </w:t>
      </w:r>
      <w:r w:rsidRPr="0BA40188">
        <w:rPr>
          <w:rFonts w:ascii="Arial" w:eastAsia="Arial" w:hAnsi="Arial" w:cs="Arial"/>
          <w:sz w:val="20"/>
          <w:szCs w:val="20"/>
          <w:lang w:val="fr-FR"/>
        </w:rPr>
        <w:t xml:space="preserve">inscrit la procédure suivie dans le dossier médical. </w:t>
      </w:r>
    </w:p>
    <w:p w14:paraId="0D67D70D" w14:textId="77777777" w:rsidR="00A75BD0" w:rsidRDefault="00A75BD0">
      <w:pPr>
        <w:rPr>
          <w:rFonts w:ascii="Arial" w:eastAsia="Arial" w:hAnsi="Arial" w:cs="Arial"/>
          <w:sz w:val="20"/>
          <w:szCs w:val="20"/>
        </w:rPr>
      </w:pPr>
    </w:p>
    <w:p w14:paraId="63B1C132" w14:textId="77777777" w:rsidR="00A75BD0" w:rsidRDefault="009D4DA5">
      <w:pPr>
        <w:spacing w:before="120"/>
        <w:ind w:right="46"/>
        <w:rPr>
          <w:rFonts w:ascii="Arial" w:eastAsia="Arial" w:hAnsi="Arial" w:cs="Arial"/>
          <w:sz w:val="20"/>
          <w:szCs w:val="20"/>
          <w:u w:val="single"/>
        </w:rPr>
      </w:pPr>
      <w:bookmarkStart w:id="5" w:name="bookmark=id.3dy6vkm" w:colFirst="0" w:colLast="0"/>
      <w:bookmarkEnd w:id="5"/>
      <w:r>
        <w:rPr>
          <w:rFonts w:ascii="Arial" w:eastAsia="Arial" w:hAnsi="Arial" w:cs="Arial"/>
          <w:sz w:val="20"/>
          <w:szCs w:val="20"/>
          <w:u w:val="single"/>
        </w:rPr>
        <w:t xml:space="preserve">Suivi </w:t>
      </w:r>
    </w:p>
    <w:p w14:paraId="354D9333" w14:textId="77777777" w:rsidR="00A75BD0" w:rsidRDefault="009D4DA5" w:rsidP="0BA40188">
      <w:pPr>
        <w:ind w:right="45"/>
        <w:jc w:val="both"/>
        <w:rPr>
          <w:rFonts w:ascii="Arial" w:eastAsia="Arial" w:hAnsi="Arial" w:cs="Arial"/>
          <w:sz w:val="20"/>
          <w:szCs w:val="20"/>
          <w:lang w:val="fr-FR"/>
        </w:rPr>
      </w:pPr>
      <w:r w:rsidRPr="0BA40188">
        <w:rPr>
          <w:rFonts w:ascii="Arial" w:eastAsia="Arial" w:hAnsi="Arial" w:cs="Arial"/>
          <w:sz w:val="20"/>
          <w:szCs w:val="20"/>
          <w:lang w:val="fr-FR"/>
        </w:rPr>
        <w:t xml:space="preserve">Les patients sont régulièrement suivis à partir de la visite d’initiation et pour toute la durée du traitement. Le suivi est réalisé </w:t>
      </w:r>
      <w:r w:rsidRPr="0BA40188">
        <w:rPr>
          <w:rFonts w:ascii="Arial" w:eastAsia="Arial" w:hAnsi="Arial" w:cs="Arial"/>
          <w:sz w:val="20"/>
          <w:szCs w:val="20"/>
          <w:u w:val="single"/>
          <w:lang w:val="fr-FR"/>
        </w:rPr>
        <w:t>lors de chaque perfusion de bevacizumab. (cf. calendrier de suivi)</w:t>
      </w:r>
      <w:r w:rsidRPr="0BA40188">
        <w:rPr>
          <w:rFonts w:ascii="Arial" w:eastAsia="Arial" w:hAnsi="Arial" w:cs="Arial"/>
          <w:i/>
          <w:iCs/>
          <w:color w:val="7030A0"/>
          <w:sz w:val="20"/>
          <w:szCs w:val="20"/>
          <w:lang w:val="fr-FR"/>
        </w:rPr>
        <w:t>.</w:t>
      </w:r>
      <w:r w:rsidRPr="0BA40188">
        <w:rPr>
          <w:rFonts w:ascii="Arial" w:eastAsia="Arial" w:hAnsi="Arial" w:cs="Arial"/>
          <w:sz w:val="20"/>
          <w:szCs w:val="20"/>
          <w:lang w:val="fr-FR"/>
        </w:rPr>
        <w:t xml:space="preserve"> Le médecin prescripteur collecte les données de suivi prévues dans les fiches de suivi (annexe 1). Le patient maintient le suivi prévu pour la maladie de Rendu-Osler auprès du centre expert en dehors des perfusions de bevacizumab. Le prescripteur transmet également au patient une fiche de surveillance des épistaxis pour aider ce dernier à suivre l’évolution de ces saignements (Annexe 7).</w:t>
      </w:r>
    </w:p>
    <w:p w14:paraId="7C14E4EA"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En cas de survenue d’un effet indésirable, le prescripteur le déclare dès que possible, au Centre régional de Pharmacovigilance dont il dépend géographiquement ou via le portail de signalement du Ministère de la Santé (voir modalités de déclaration des effets indésirables en annexe 5) en mentionnant que le patient est traité au titre du CPC.</w:t>
      </w:r>
    </w:p>
    <w:p w14:paraId="489ED999" w14:textId="77777777" w:rsidR="00A75BD0" w:rsidRDefault="009D4DA5">
      <w:pPr>
        <w:ind w:right="45"/>
      </w:pPr>
      <w:r w:rsidRPr="0BA40188">
        <w:rPr>
          <w:rFonts w:ascii="Arial" w:eastAsia="Arial" w:hAnsi="Arial" w:cs="Arial"/>
          <w:sz w:val="20"/>
          <w:szCs w:val="20"/>
          <w:lang w:val="fr-FR"/>
        </w:rPr>
        <w:t xml:space="preserve">En cas d’arrêt de traitement lié à la survenue d’un effet indésirable, une déclaration devra être faite par le prescripteur au CRPV dont il dépend ou via le portail de signalement du Ministère de la Santé. </w:t>
      </w:r>
    </w:p>
    <w:p w14:paraId="110E8E56" w14:textId="77777777" w:rsidR="00A75BD0" w:rsidRDefault="00A75BD0">
      <w:pPr>
        <w:rPr>
          <w:rFonts w:ascii="Arial" w:eastAsia="Arial" w:hAnsi="Arial" w:cs="Arial"/>
          <w:sz w:val="20"/>
          <w:szCs w:val="20"/>
          <w:u w:val="single"/>
        </w:rPr>
      </w:pPr>
    </w:p>
    <w:p w14:paraId="76774537" w14:textId="77777777" w:rsidR="00A75BD0" w:rsidRDefault="009D4DA5">
      <w:pPr>
        <w:rPr>
          <w:rFonts w:ascii="Arial" w:eastAsia="Arial" w:hAnsi="Arial" w:cs="Arial"/>
          <w:i/>
          <w:color w:val="9933FF"/>
          <w:sz w:val="20"/>
          <w:szCs w:val="20"/>
        </w:rPr>
      </w:pPr>
      <w:r>
        <w:rPr>
          <w:rFonts w:ascii="Arial Narrow" w:eastAsia="Arial Narrow" w:hAnsi="Arial Narrow" w:cs="Arial Narrow"/>
          <w:color w:val="2E75B5"/>
          <w:sz w:val="26"/>
          <w:szCs w:val="26"/>
        </w:rPr>
        <w:t>Rôle du pharmacien</w:t>
      </w:r>
      <w:r>
        <w:rPr>
          <w:rFonts w:ascii="Arial" w:eastAsia="Arial" w:hAnsi="Arial" w:cs="Arial"/>
          <w:b/>
          <w:sz w:val="20"/>
          <w:szCs w:val="20"/>
        </w:rPr>
        <w:t xml:space="preserve"> </w:t>
      </w:r>
    </w:p>
    <w:p w14:paraId="58A7563A" w14:textId="77777777" w:rsidR="00A75BD0" w:rsidRDefault="009D4DA5">
      <w:pPr>
        <w:rPr>
          <w:rFonts w:ascii="Arial" w:eastAsia="Arial" w:hAnsi="Arial" w:cs="Arial"/>
          <w:sz w:val="20"/>
          <w:szCs w:val="20"/>
        </w:rPr>
      </w:pPr>
      <w:r>
        <w:rPr>
          <w:rFonts w:ascii="Arial" w:eastAsia="Arial" w:hAnsi="Arial" w:cs="Arial"/>
          <w:sz w:val="20"/>
          <w:szCs w:val="20"/>
        </w:rPr>
        <w:t xml:space="preserve">Le pharmacien prend connaissance du CPC et assure la dispensation du médicament sur prescription du médecin. </w:t>
      </w:r>
    </w:p>
    <w:p w14:paraId="26A3C3AB" w14:textId="77777777" w:rsidR="00A75BD0" w:rsidRDefault="00A75BD0">
      <w:pPr>
        <w:jc w:val="both"/>
        <w:rPr>
          <w:rFonts w:ascii="Arial" w:eastAsia="Arial" w:hAnsi="Arial" w:cs="Arial"/>
          <w:sz w:val="20"/>
          <w:szCs w:val="20"/>
        </w:rPr>
      </w:pPr>
    </w:p>
    <w:p w14:paraId="73962D5E" w14:textId="77777777" w:rsidR="00A75BD0" w:rsidRDefault="009D4DA5" w:rsidP="0BA40188">
      <w:pPr>
        <w:jc w:val="both"/>
        <w:rPr>
          <w:rFonts w:ascii="Arial" w:eastAsia="Arial" w:hAnsi="Arial" w:cs="Arial"/>
          <w:b/>
          <w:bCs/>
          <w:sz w:val="20"/>
          <w:szCs w:val="20"/>
          <w:lang w:val="fr-FR"/>
        </w:rPr>
      </w:pPr>
      <w:r w:rsidRPr="0BA40188">
        <w:rPr>
          <w:rFonts w:ascii="Arial" w:eastAsia="Arial" w:hAnsi="Arial" w:cs="Arial"/>
          <w:sz w:val="20"/>
          <w:szCs w:val="20"/>
          <w:lang w:val="fr-FR"/>
        </w:rPr>
        <w:t>En cas de survenue d’un effet indésirable, le pharmacien le déclare dès que possible, au Centre régional de Pharmacovigilance dont il dépend géographiquement ou via le portail de signalement du Ministère de la Santé (voir modalités de déclaration des effets indésirables en annexe 5) en mentionnant que le patient est traité au titre du CPC.</w:t>
      </w:r>
    </w:p>
    <w:p w14:paraId="63575C78" w14:textId="77777777" w:rsidR="00A75BD0" w:rsidRDefault="00A75BD0">
      <w:pPr>
        <w:jc w:val="center"/>
        <w:rPr>
          <w:rFonts w:ascii="Arial" w:eastAsia="Arial" w:hAnsi="Arial" w:cs="Arial"/>
          <w:sz w:val="20"/>
          <w:szCs w:val="20"/>
        </w:rPr>
      </w:pPr>
    </w:p>
    <w:p w14:paraId="29834209" w14:textId="77777777" w:rsidR="00A75BD0" w:rsidRDefault="009D4DA5">
      <w:pPr>
        <w:rPr>
          <w:rFonts w:ascii="Arial" w:eastAsia="Arial" w:hAnsi="Arial" w:cs="Arial"/>
          <w:sz w:val="20"/>
          <w:szCs w:val="20"/>
          <w:u w:val="single"/>
        </w:rPr>
      </w:pPr>
      <w:r>
        <w:rPr>
          <w:rFonts w:ascii="Arial Narrow" w:eastAsia="Arial Narrow" w:hAnsi="Arial Narrow" w:cs="Arial Narrow"/>
          <w:color w:val="2E75B5"/>
          <w:sz w:val="26"/>
          <w:szCs w:val="26"/>
        </w:rPr>
        <w:t>Modalités de collecte et exploitation des données</w:t>
      </w:r>
      <w:r>
        <w:rPr>
          <w:rFonts w:ascii="Arial" w:eastAsia="Arial" w:hAnsi="Arial" w:cs="Arial"/>
          <w:sz w:val="20"/>
          <w:szCs w:val="20"/>
          <w:u w:val="single"/>
        </w:rPr>
        <w:t xml:space="preserve"> </w:t>
      </w:r>
    </w:p>
    <w:p w14:paraId="2B890FF7" w14:textId="77777777" w:rsidR="00A75BD0" w:rsidRDefault="009D4DA5" w:rsidP="0BA40188">
      <w:pPr>
        <w:pBdr>
          <w:top w:val="nil"/>
          <w:left w:val="nil"/>
          <w:bottom w:val="nil"/>
          <w:right w:val="nil"/>
          <w:between w:val="nil"/>
        </w:pBdr>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Dans le cadre de la prescription compassionnelle du bevacizumab, le médecin prescripteur recueille des informations sur les patients dont il assure le suivi et en particulier sur la sécurité d’emploi du médicament.</w:t>
      </w:r>
    </w:p>
    <w:p w14:paraId="44362F27" w14:textId="77777777" w:rsidR="00A75BD0" w:rsidRDefault="009D4DA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Il doit compléter régulièrement les fiches d’initiation et de suivi (annexe 1) et les renseigner dans le registre CIROCO. </w:t>
      </w:r>
    </w:p>
    <w:p w14:paraId="6DBBBC63" w14:textId="77777777" w:rsidR="00A75BD0" w:rsidRDefault="009D4DA5" w:rsidP="0BA40188">
      <w:pPr>
        <w:pBdr>
          <w:top w:val="nil"/>
          <w:left w:val="nil"/>
          <w:bottom w:val="nil"/>
          <w:right w:val="nil"/>
          <w:between w:val="nil"/>
        </w:pBdr>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xml:space="preserve">Le registre CIROCO, conçu par le centre de référence (Hospices Civils de Lyon) pour la maladie de Rendu-Osler, est un entrepôt de données accessible à tous les centres de compétence sur le territoire national depuis 2007. Il recense environ 8000 patients. Depuis 2009, les patients recevant du bevacizumab hors AMM sont inclus dans cette base, avec des informations détaillées sur leur suivi thérapeutique.Les données collectées par le prescripteur dans le contexte du CPC sont </w:t>
      </w:r>
      <w:r w:rsidRPr="0BA40188">
        <w:rPr>
          <w:rFonts w:ascii="Arial" w:eastAsia="Arial" w:hAnsi="Arial" w:cs="Arial"/>
          <w:sz w:val="20"/>
          <w:szCs w:val="20"/>
          <w:lang w:val="fr-FR"/>
        </w:rPr>
        <w:t>transmises</w:t>
      </w:r>
      <w:r w:rsidRPr="0BA40188">
        <w:rPr>
          <w:rFonts w:ascii="Arial" w:eastAsia="Arial" w:hAnsi="Arial" w:cs="Arial"/>
          <w:color w:val="000000" w:themeColor="text1"/>
          <w:sz w:val="20"/>
          <w:szCs w:val="20"/>
          <w:lang w:val="fr-FR"/>
        </w:rPr>
        <w:t xml:space="preserve"> et analysées par le(s) laboratoire(s) concerné(s)par le biais de leur sous-traitant ICTA, et font l’objet de rapports périodiques transmis à l’ANSM de façon annuelle ainsi qu’à la fin du CPC. Les résumés de ces rapports, validés par l’ANSM, sont publiés sur son site Internet : </w:t>
      </w:r>
      <w:hyperlink r:id="rId20">
        <w:r w:rsidRPr="0BA40188">
          <w:rPr>
            <w:rFonts w:ascii="Arial" w:eastAsia="Arial" w:hAnsi="Arial" w:cs="Arial"/>
            <w:color w:val="0562C1"/>
            <w:sz w:val="20"/>
            <w:szCs w:val="20"/>
            <w:u w:val="single"/>
            <w:lang w:val="fr-FR"/>
          </w:rPr>
          <w:t>www.ansm.sante.fr</w:t>
        </w:r>
      </w:hyperlink>
    </w:p>
    <w:p w14:paraId="56371E45" w14:textId="77777777" w:rsidR="00A75BD0" w:rsidRDefault="009D4DA5">
      <w:pPr>
        <w:pBdr>
          <w:top w:val="nil"/>
          <w:left w:val="nil"/>
          <w:bottom w:val="nil"/>
          <w:right w:val="nil"/>
          <w:between w:val="nil"/>
        </w:pBdr>
        <w:spacing w:line="240" w:lineRule="auto"/>
        <w:jc w:val="both"/>
        <w:rPr>
          <w:rFonts w:ascii="Arial" w:eastAsia="Arial" w:hAnsi="Arial" w:cs="Arial"/>
          <w:i/>
          <w:color w:val="9933FF"/>
          <w:sz w:val="20"/>
          <w:szCs w:val="20"/>
        </w:rPr>
      </w:pPr>
      <w:r>
        <w:rPr>
          <w:rFonts w:ascii="Arial" w:eastAsia="Arial" w:hAnsi="Arial" w:cs="Arial"/>
          <w:color w:val="000000"/>
          <w:sz w:val="20"/>
          <w:szCs w:val="20"/>
        </w:rPr>
        <w:t>Les laboratoires concernés privilégieront une élaboration conjointe de ces rapports et de leurs résumés</w:t>
      </w:r>
      <w:r>
        <w:rPr>
          <w:rFonts w:ascii="Arial" w:eastAsia="Arial" w:hAnsi="Arial" w:cs="Arial"/>
          <w:i/>
          <w:color w:val="9933FF"/>
          <w:sz w:val="20"/>
          <w:szCs w:val="20"/>
        </w:rPr>
        <w:t>.</w:t>
      </w:r>
    </w:p>
    <w:p w14:paraId="1B912418" w14:textId="77777777" w:rsidR="00A75BD0" w:rsidRDefault="00A75BD0">
      <w:pPr>
        <w:pBdr>
          <w:top w:val="nil"/>
          <w:left w:val="nil"/>
          <w:bottom w:val="nil"/>
          <w:right w:val="nil"/>
          <w:between w:val="nil"/>
        </w:pBdr>
        <w:spacing w:line="240" w:lineRule="auto"/>
        <w:jc w:val="both"/>
        <w:rPr>
          <w:rFonts w:ascii="Arial" w:eastAsia="Arial" w:hAnsi="Arial" w:cs="Arial"/>
          <w:color w:val="000000"/>
          <w:sz w:val="20"/>
          <w:szCs w:val="20"/>
        </w:rPr>
      </w:pPr>
    </w:p>
    <w:p w14:paraId="2A227D32" w14:textId="77777777" w:rsidR="00A75BD0" w:rsidRDefault="009D4DA5">
      <w:pPr>
        <w:rPr>
          <w:rFonts w:ascii="Arial Narrow" w:eastAsia="Arial Narrow" w:hAnsi="Arial Narrow" w:cs="Arial Narrow"/>
          <w:color w:val="2E75B5"/>
          <w:sz w:val="26"/>
          <w:szCs w:val="26"/>
        </w:rPr>
      </w:pPr>
      <w:r>
        <w:rPr>
          <w:rFonts w:ascii="Arial Narrow" w:eastAsia="Arial Narrow" w:hAnsi="Arial Narrow" w:cs="Arial Narrow"/>
          <w:color w:val="2E75B5"/>
          <w:sz w:val="26"/>
          <w:szCs w:val="26"/>
        </w:rPr>
        <w:t xml:space="preserve">Traitement des données personnelles </w:t>
      </w:r>
    </w:p>
    <w:p w14:paraId="08299DCA" w14:textId="77777777" w:rsidR="00A75BD0" w:rsidRDefault="009D4DA5">
      <w:pPr>
        <w:jc w:val="both"/>
        <w:rPr>
          <w:rFonts w:ascii="Arial" w:eastAsia="Arial" w:hAnsi="Arial" w:cs="Arial"/>
          <w:sz w:val="20"/>
          <w:szCs w:val="20"/>
        </w:rPr>
      </w:pPr>
      <w:r>
        <w:rPr>
          <w:rFonts w:ascii="Arial" w:eastAsia="Arial" w:hAnsi="Arial" w:cs="Arial"/>
          <w:sz w:val="20"/>
          <w:szCs w:val="20"/>
        </w:rPr>
        <w:t>Le traitement par un médicament dans le cadre de prescription compassionnelle avec un protocole d’utilisation thérapeutique et de suivi des patients (PUT-SP) implique le recueil de données personnelles concernant la santé des patients.</w:t>
      </w:r>
    </w:p>
    <w:p w14:paraId="3F9711D2" w14:textId="77777777" w:rsidR="00A75BD0" w:rsidRDefault="009D4DA5">
      <w:pPr>
        <w:jc w:val="both"/>
        <w:rPr>
          <w:rFonts w:ascii="Arial" w:eastAsia="Arial" w:hAnsi="Arial" w:cs="Arial"/>
          <w:i/>
          <w:color w:val="7030A0"/>
          <w:sz w:val="20"/>
          <w:szCs w:val="20"/>
        </w:rPr>
      </w:pPr>
      <w:r>
        <w:rPr>
          <w:rFonts w:ascii="Arial" w:eastAsia="Arial" w:hAnsi="Arial" w:cs="Arial"/>
          <w:sz w:val="20"/>
          <w:szCs w:val="20"/>
        </w:rPr>
        <w:t xml:space="preserve">Vous trouverez des informations complémentaires relatives au traitement des données personnelles dans l’annexe 4 : « </w:t>
      </w:r>
      <w:hyperlink w:anchor="_heading=h.26in1rg">
        <w:r>
          <w:rPr>
            <w:rFonts w:ascii="Arial" w:eastAsia="Arial" w:hAnsi="Arial" w:cs="Arial"/>
            <w:sz w:val="20"/>
            <w:szCs w:val="20"/>
          </w:rPr>
          <w:t>Note d’information sur le traitement des données personnelles</w:t>
        </w:r>
      </w:hyperlink>
      <w:r>
        <w:rPr>
          <w:rFonts w:ascii="Arial" w:eastAsia="Arial" w:hAnsi="Arial" w:cs="Arial"/>
          <w:sz w:val="20"/>
          <w:szCs w:val="20"/>
        </w:rPr>
        <w:t xml:space="preserve"> ».</w:t>
      </w:r>
      <w:r>
        <w:br w:type="page"/>
      </w:r>
    </w:p>
    <w:p w14:paraId="21936B0D" w14:textId="77777777" w:rsidR="00A75BD0" w:rsidRDefault="009D4DA5">
      <w:pPr>
        <w:pStyle w:val="Titre2"/>
        <w:numPr>
          <w:ilvl w:val="0"/>
          <w:numId w:val="26"/>
        </w:numPr>
        <w:rPr>
          <w:rFonts w:ascii="Arial Narrow" w:eastAsia="Arial Narrow" w:hAnsi="Arial Narrow" w:cs="Arial Narrow"/>
          <w:sz w:val="28"/>
          <w:szCs w:val="28"/>
        </w:rPr>
      </w:pPr>
      <w:bookmarkStart w:id="6" w:name="_heading=h.1t3h5sf" w:colFirst="0" w:colLast="0"/>
      <w:bookmarkEnd w:id="6"/>
      <w:r>
        <w:rPr>
          <w:rFonts w:ascii="Arial Narrow" w:eastAsia="Arial Narrow" w:hAnsi="Arial Narrow" w:cs="Arial Narrow"/>
          <w:sz w:val="28"/>
          <w:szCs w:val="28"/>
        </w:rPr>
        <w:t>ANNEXES</w:t>
      </w:r>
    </w:p>
    <w:p w14:paraId="2F7E8952" w14:textId="77777777" w:rsidR="00A75BD0" w:rsidRDefault="00A75BD0"/>
    <w:p w14:paraId="2466E017" w14:textId="77777777" w:rsidR="00A75BD0" w:rsidRDefault="009D4DA5">
      <w:pPr>
        <w:pStyle w:val="Titre2"/>
        <w:rPr>
          <w:rFonts w:ascii="Arial Narrow" w:eastAsia="Arial Narrow" w:hAnsi="Arial Narrow" w:cs="Arial Narrow"/>
          <w:b/>
          <w:sz w:val="28"/>
          <w:szCs w:val="28"/>
        </w:rPr>
      </w:pPr>
      <w:bookmarkStart w:id="7" w:name="_heading=h.4d34og8" w:colFirst="0" w:colLast="0"/>
      <w:bookmarkEnd w:id="7"/>
      <w:r>
        <w:rPr>
          <w:rFonts w:ascii="Arial Narrow" w:eastAsia="Arial Narrow" w:hAnsi="Arial Narrow" w:cs="Arial Narrow"/>
          <w:b/>
          <w:sz w:val="28"/>
          <w:szCs w:val="28"/>
        </w:rPr>
        <w:t xml:space="preserve">ANNEXE 1 : Fiches d’initiation et de suivi des patients et de collecte de données </w:t>
      </w:r>
    </w:p>
    <w:p w14:paraId="19AF88E8" w14:textId="77777777" w:rsidR="00A75BD0" w:rsidRDefault="00A75BD0">
      <w:pPr>
        <w:ind w:right="260"/>
        <w:jc w:val="center"/>
        <w:rPr>
          <w:rFonts w:ascii="Arial" w:eastAsia="Arial" w:hAnsi="Arial" w:cs="Arial"/>
          <w:sz w:val="20"/>
          <w:szCs w:val="20"/>
        </w:rPr>
      </w:pPr>
    </w:p>
    <w:p w14:paraId="7E23E8BF" w14:textId="77777777" w:rsidR="00A75BD0" w:rsidRDefault="009D4DA5">
      <w:pPr>
        <w:pBdr>
          <w:top w:val="single" w:sz="4" w:space="1" w:color="000000"/>
          <w:left w:val="single" w:sz="4" w:space="4" w:color="000000"/>
          <w:bottom w:val="single" w:sz="4" w:space="1" w:color="000000"/>
          <w:right w:val="single" w:sz="4" w:space="4" w:color="000000"/>
        </w:pBdr>
        <w:spacing w:line="240" w:lineRule="auto"/>
        <w:ind w:right="261"/>
        <w:jc w:val="center"/>
        <w:rPr>
          <w:rFonts w:ascii="Arial Narrow" w:eastAsia="Arial Narrow" w:hAnsi="Arial Narrow" w:cs="Arial Narrow"/>
          <w:b/>
          <w:color w:val="2E75B5"/>
          <w:sz w:val="28"/>
          <w:szCs w:val="28"/>
        </w:rPr>
      </w:pPr>
      <w:bookmarkStart w:id="8" w:name="bookmark=id.2s8eyo1" w:colFirst="0" w:colLast="0"/>
      <w:bookmarkEnd w:id="8"/>
      <w:r>
        <w:rPr>
          <w:rFonts w:ascii="Arial Narrow" w:eastAsia="Arial Narrow" w:hAnsi="Arial Narrow" w:cs="Arial Narrow"/>
          <w:b/>
          <w:color w:val="2E75B5"/>
          <w:sz w:val="28"/>
          <w:szCs w:val="28"/>
        </w:rPr>
        <w:t>Fiche de suivi de traitement (initiation, suivi, arrêt)</w:t>
      </w:r>
    </w:p>
    <w:p w14:paraId="42A4D7A1" w14:textId="77777777" w:rsidR="00A75BD0" w:rsidRDefault="009D4DA5" w:rsidP="0BA40188">
      <w:pPr>
        <w:pBdr>
          <w:top w:val="single" w:sz="4" w:space="1" w:color="000000"/>
          <w:left w:val="single" w:sz="4" w:space="4" w:color="000000"/>
          <w:bottom w:val="single" w:sz="4" w:space="1" w:color="000000"/>
          <w:right w:val="single" w:sz="4" w:space="4" w:color="000000"/>
        </w:pBdr>
        <w:spacing w:line="240" w:lineRule="auto"/>
        <w:ind w:right="261"/>
        <w:jc w:val="center"/>
        <w:rPr>
          <w:rFonts w:ascii="Arial Narrow" w:eastAsia="Arial Narrow" w:hAnsi="Arial Narrow" w:cs="Arial Narrow"/>
          <w:b/>
          <w:bCs/>
          <w:color w:val="2E75B5"/>
          <w:sz w:val="28"/>
          <w:szCs w:val="28"/>
          <w:lang w:val="fr-FR"/>
        </w:rPr>
      </w:pPr>
      <w:r w:rsidRPr="0BA40188">
        <w:rPr>
          <w:rFonts w:ascii="Arial Narrow" w:eastAsia="Arial Narrow" w:hAnsi="Arial Narrow" w:cs="Arial Narrow"/>
          <w:b/>
          <w:bCs/>
          <w:color w:val="2E75B5"/>
          <w:sz w:val="28"/>
          <w:szCs w:val="28"/>
          <w:lang w:val="fr-FR"/>
        </w:rPr>
        <w:t>Bevacizumab</w:t>
      </w:r>
    </w:p>
    <w:p w14:paraId="48F11939" w14:textId="77777777" w:rsidR="00A75BD0" w:rsidRDefault="009D4DA5">
      <w:pPr>
        <w:pBdr>
          <w:top w:val="single" w:sz="4" w:space="1" w:color="000000"/>
          <w:left w:val="single" w:sz="4" w:space="4" w:color="000000"/>
          <w:bottom w:val="single" w:sz="4" w:space="1" w:color="000000"/>
          <w:right w:val="single" w:sz="4" w:space="4" w:color="000000"/>
        </w:pBdr>
        <w:spacing w:line="240" w:lineRule="auto"/>
        <w:ind w:right="261"/>
        <w:jc w:val="center"/>
        <w:rPr>
          <w:rFonts w:ascii="Arial Narrow" w:eastAsia="Arial Narrow" w:hAnsi="Arial Narrow" w:cs="Arial Narrow"/>
          <w:b/>
          <w:color w:val="2E75B5"/>
          <w:sz w:val="28"/>
          <w:szCs w:val="28"/>
        </w:rPr>
        <w:sectPr w:rsidR="00A75BD0">
          <w:pgSz w:w="11920" w:h="16840"/>
          <w:pgMar w:top="1582" w:right="1100" w:bottom="0" w:left="1678" w:header="720" w:footer="720" w:gutter="0"/>
          <w:cols w:space="720"/>
        </w:sectPr>
      </w:pPr>
      <w:r>
        <w:rPr>
          <w:rFonts w:ascii="Arial Narrow" w:eastAsia="Arial Narrow" w:hAnsi="Arial Narrow" w:cs="Arial Narrow"/>
          <w:b/>
          <w:color w:val="2E75B5"/>
          <w:sz w:val="28"/>
          <w:szCs w:val="28"/>
        </w:rPr>
        <w:t>A remplir par le prescripteur</w:t>
      </w:r>
    </w:p>
    <w:p w14:paraId="64618276" w14:textId="77777777" w:rsidR="00A75BD0" w:rsidRDefault="00A75BD0">
      <w:pPr>
        <w:ind w:right="306"/>
        <w:jc w:val="center"/>
        <w:rPr>
          <w:rFonts w:ascii="Arial Narrow" w:eastAsia="Arial Narrow" w:hAnsi="Arial Narrow" w:cs="Arial Narrow"/>
          <w:b/>
          <w:sz w:val="28"/>
          <w:szCs w:val="28"/>
        </w:rPr>
        <w:sectPr w:rsidR="00A75BD0">
          <w:type w:val="continuous"/>
          <w:pgSz w:w="11920" w:h="16840"/>
          <w:pgMar w:top="1582" w:right="1100" w:bottom="0" w:left="1678" w:header="720" w:footer="720" w:gutter="0"/>
          <w:cols w:space="720"/>
        </w:sectPr>
      </w:pPr>
    </w:p>
    <w:p w14:paraId="0BD6D225" w14:textId="77777777" w:rsidR="00A75BD0" w:rsidRDefault="00A75BD0">
      <w:pPr>
        <w:widowControl w:val="0"/>
        <w:pBdr>
          <w:top w:val="nil"/>
          <w:left w:val="nil"/>
          <w:bottom w:val="nil"/>
          <w:right w:val="nil"/>
          <w:between w:val="nil"/>
        </w:pBdr>
        <w:spacing w:after="0" w:line="276" w:lineRule="auto"/>
        <w:rPr>
          <w:rFonts w:ascii="Arial Narrow" w:eastAsia="Arial Narrow" w:hAnsi="Arial Narrow" w:cs="Arial Narrow"/>
          <w:b/>
          <w:sz w:val="12"/>
          <w:szCs w:val="12"/>
        </w:rPr>
      </w:pPr>
    </w:p>
    <w:tbl>
      <w:tblPr>
        <w:tblStyle w:val="af3"/>
        <w:tblW w:w="104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234"/>
        <w:gridCol w:w="5251"/>
      </w:tblGrid>
      <w:tr w:rsidR="00A75BD0" w14:paraId="39E74377" w14:textId="77777777" w:rsidTr="0BA4018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485" w:type="dxa"/>
            <w:gridSpan w:val="2"/>
            <w:tcBorders>
              <w:top w:val="single" w:sz="4" w:space="0" w:color="000000" w:themeColor="text1"/>
            </w:tcBorders>
            <w:shd w:val="clear" w:color="auto" w:fill="CFE2F3"/>
          </w:tcPr>
          <w:p w14:paraId="4B4890C9" w14:textId="77777777" w:rsidR="00A75BD0" w:rsidRDefault="009D4DA5">
            <w:pPr>
              <w:rPr>
                <w:rFonts w:ascii="Arial Narrow" w:eastAsia="Arial Narrow" w:hAnsi="Arial Narrow" w:cs="Arial Narrow"/>
                <w:sz w:val="28"/>
                <w:szCs w:val="28"/>
              </w:rPr>
            </w:pPr>
            <w:r>
              <w:rPr>
                <w:color w:val="000000"/>
              </w:rPr>
              <w:t>Maladie de Rendu-Osler</w:t>
            </w:r>
          </w:p>
        </w:tc>
      </w:tr>
      <w:tr w:rsidR="00A75BD0" w14:paraId="40BD9B9C" w14:textId="77777777" w:rsidTr="0BA40188">
        <w:tc>
          <w:tcPr>
            <w:cnfStyle w:val="001000000000" w:firstRow="0" w:lastRow="0" w:firstColumn="1" w:lastColumn="0" w:oddVBand="0" w:evenVBand="0" w:oddHBand="0" w:evenHBand="0" w:firstRowFirstColumn="0" w:firstRowLastColumn="0" w:lastRowFirstColumn="0" w:lastRowLastColumn="0"/>
            <w:tcW w:w="5234" w:type="dxa"/>
            <w:shd w:val="clear" w:color="auto" w:fill="002060"/>
          </w:tcPr>
          <w:p w14:paraId="7813FAE7" w14:textId="77777777" w:rsidR="00A75BD0" w:rsidRDefault="009D4DA5">
            <w:pPr>
              <w:rPr>
                <w:color w:val="FFFFFF"/>
                <w:sz w:val="18"/>
                <w:szCs w:val="18"/>
              </w:rPr>
            </w:pPr>
            <w:r>
              <w:rPr>
                <w:color w:val="FFFFFF"/>
                <w:sz w:val="18"/>
                <w:szCs w:val="18"/>
              </w:rPr>
              <w:t>MÉDECIN PRESCRIPTEUR :</w:t>
            </w:r>
          </w:p>
          <w:p w14:paraId="318D657B" w14:textId="77777777" w:rsidR="00A75BD0" w:rsidRDefault="009D4DA5" w:rsidP="0BA40188">
            <w:pPr>
              <w:rPr>
                <w:rFonts w:ascii="Calibri" w:eastAsia="Calibri" w:hAnsi="Calibri" w:cs="Calibri"/>
                <w:color w:val="FFFFFF"/>
                <w:sz w:val="18"/>
                <w:szCs w:val="18"/>
                <w:lang w:val="fr-FR"/>
              </w:rPr>
            </w:pPr>
            <w:r w:rsidRPr="0BA40188">
              <w:rPr>
                <w:color w:val="FFFFFF" w:themeColor="background1"/>
                <w:sz w:val="18"/>
                <w:szCs w:val="18"/>
                <w:lang w:val="fr-FR"/>
              </w:rPr>
              <w:t xml:space="preserve">Email du médecin prescripteur : </w:t>
            </w:r>
          </w:p>
        </w:tc>
        <w:tc>
          <w:tcPr>
            <w:tcW w:w="5251" w:type="dxa"/>
            <w:shd w:val="clear" w:color="auto" w:fill="F7CBAC"/>
          </w:tcPr>
          <w:p w14:paraId="187AF960" w14:textId="77777777" w:rsidR="00A75BD0" w:rsidRDefault="009D4DA5" w:rsidP="0BA401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lang w:val="fr-FR"/>
              </w:rPr>
            </w:pPr>
            <w:r w:rsidRPr="0BA40188">
              <w:rPr>
                <w:sz w:val="18"/>
                <w:szCs w:val="18"/>
                <w:lang w:val="fr-FR"/>
              </w:rPr>
              <w:t>PATIENT ID                       Numéro CIROCO: ………………..</w:t>
            </w:r>
          </w:p>
        </w:tc>
      </w:tr>
    </w:tbl>
    <w:p w14:paraId="4507914E" w14:textId="77777777" w:rsidR="00A75BD0" w:rsidRDefault="00A75BD0">
      <w:pPr>
        <w:widowControl w:val="0"/>
        <w:pBdr>
          <w:top w:val="nil"/>
          <w:left w:val="nil"/>
          <w:bottom w:val="nil"/>
          <w:right w:val="nil"/>
          <w:between w:val="nil"/>
        </w:pBdr>
        <w:spacing w:after="0" w:line="276" w:lineRule="auto"/>
        <w:rPr>
          <w:sz w:val="10"/>
          <w:szCs w:val="10"/>
        </w:rPr>
      </w:pPr>
    </w:p>
    <w:tbl>
      <w:tblPr>
        <w:tblStyle w:val="af4"/>
        <w:tblW w:w="104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235"/>
        <w:gridCol w:w="5235"/>
      </w:tblGrid>
      <w:tr w:rsidR="00A75BD0" w14:paraId="773A9EF0" w14:textId="77777777" w:rsidTr="0BA40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14:paraId="4E5E2AD0" w14:textId="77777777" w:rsidR="00A75BD0" w:rsidRDefault="009D4DA5">
            <w:pPr>
              <w:rPr>
                <w:rFonts w:ascii="Calibri" w:eastAsia="Calibri" w:hAnsi="Calibri" w:cs="Calibri"/>
                <w:color w:val="0070C0"/>
                <w:sz w:val="18"/>
                <w:szCs w:val="18"/>
              </w:rPr>
            </w:pPr>
            <w:r>
              <w:rPr>
                <w:color w:val="0070C0"/>
                <w:sz w:val="18"/>
                <w:szCs w:val="18"/>
              </w:rPr>
              <w:t xml:space="preserve">Nom Prénom, spécialité, N°RPPS, lieu exercice : </w:t>
            </w:r>
          </w:p>
          <w:p w14:paraId="0D9D405D" w14:textId="77777777" w:rsidR="00A75BD0" w:rsidRDefault="00A75BD0">
            <w:pPr>
              <w:rPr>
                <w:rFonts w:ascii="Calibri" w:eastAsia="Calibri" w:hAnsi="Calibri" w:cs="Calibri"/>
                <w:sz w:val="18"/>
                <w:szCs w:val="18"/>
              </w:rPr>
            </w:pPr>
          </w:p>
          <w:p w14:paraId="64BAD83F" w14:textId="77777777" w:rsidR="00A75BD0" w:rsidRDefault="00A75BD0">
            <w:pPr>
              <w:rPr>
                <w:rFonts w:ascii="Calibri" w:eastAsia="Calibri" w:hAnsi="Calibri" w:cs="Calibri"/>
                <w:sz w:val="18"/>
                <w:szCs w:val="18"/>
              </w:rPr>
            </w:pPr>
          </w:p>
          <w:p w14:paraId="6F06C605" w14:textId="77777777" w:rsidR="00A75BD0" w:rsidRDefault="00A75BD0">
            <w:pPr>
              <w:rPr>
                <w:rFonts w:ascii="Calibri" w:eastAsia="Calibri" w:hAnsi="Calibri" w:cs="Calibri"/>
                <w:sz w:val="18"/>
                <w:szCs w:val="18"/>
              </w:rPr>
            </w:pPr>
          </w:p>
          <w:p w14:paraId="71E7A58D" w14:textId="77777777" w:rsidR="00A75BD0" w:rsidRDefault="00A75BD0">
            <w:pPr>
              <w:rPr>
                <w:rFonts w:ascii="Calibri" w:eastAsia="Calibri" w:hAnsi="Calibri" w:cs="Calibri"/>
                <w:sz w:val="18"/>
                <w:szCs w:val="18"/>
              </w:rPr>
            </w:pPr>
          </w:p>
          <w:p w14:paraId="5EC6F640" w14:textId="77777777" w:rsidR="00A75BD0" w:rsidRDefault="00A75BD0">
            <w:pPr>
              <w:rPr>
                <w:rFonts w:ascii="Calibri" w:eastAsia="Calibri" w:hAnsi="Calibri" w:cs="Calibri"/>
                <w:sz w:val="18"/>
                <w:szCs w:val="18"/>
              </w:rPr>
            </w:pPr>
          </w:p>
          <w:p w14:paraId="11E1E1F9" w14:textId="77777777" w:rsidR="00A75BD0" w:rsidRDefault="00A75BD0">
            <w:pPr>
              <w:rPr>
                <w:rFonts w:ascii="Calibri" w:eastAsia="Calibri" w:hAnsi="Calibri" w:cs="Calibri"/>
                <w:sz w:val="18"/>
                <w:szCs w:val="18"/>
              </w:rPr>
            </w:pPr>
          </w:p>
        </w:tc>
        <w:tc>
          <w:tcPr>
            <w:tcW w:w="5235" w:type="dxa"/>
            <w:tcBorders>
              <w:bottom w:val="single" w:sz="18" w:space="0" w:color="C55911"/>
            </w:tcBorders>
          </w:tcPr>
          <w:p w14:paraId="21A6D670" w14:textId="77777777" w:rsidR="00A75BD0" w:rsidRDefault="009D4DA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sz w:val="18"/>
                <w:szCs w:val="18"/>
              </w:rPr>
              <w:t>Initiales (Nom/Prénom) : _ _ _ / _ _             F ◻      M ◻</w:t>
            </w:r>
          </w:p>
          <w:p w14:paraId="187D5D62" w14:textId="77777777" w:rsidR="00A75BD0" w:rsidRDefault="009D4DA5" w:rsidP="0BA4018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lang w:val="fr-FR"/>
              </w:rPr>
            </w:pPr>
            <w:r w:rsidRPr="0BA40188">
              <w:rPr>
                <w:sz w:val="18"/>
                <w:szCs w:val="18"/>
                <w:lang w:val="fr-FR"/>
              </w:rPr>
              <w:t>Naissance (MM/AAAA) : __  __  / __  __  __  __</w:t>
            </w:r>
          </w:p>
          <w:p w14:paraId="1C743226" w14:textId="77777777" w:rsidR="00A75BD0" w:rsidRDefault="00A75BD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p>
          <w:p w14:paraId="30B4A277" w14:textId="77777777" w:rsidR="00A75BD0" w:rsidRDefault="009D4DA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sz w:val="18"/>
                <w:szCs w:val="18"/>
              </w:rPr>
              <w:t>Indication :  Atteinte hépatique            ◻</w:t>
            </w:r>
          </w:p>
          <w:p w14:paraId="1CC96DB9" w14:textId="77777777" w:rsidR="00A75BD0" w:rsidRDefault="009D4DA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sz w:val="18"/>
                <w:szCs w:val="18"/>
              </w:rPr>
              <w:t xml:space="preserve">                     Hémorragies digestives   ◻</w:t>
            </w:r>
          </w:p>
          <w:p w14:paraId="76831869" w14:textId="77777777" w:rsidR="00A75BD0" w:rsidRDefault="009D4DA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sz w:val="18"/>
                <w:szCs w:val="18"/>
              </w:rPr>
              <w:t xml:space="preserve">                     Hémorragies nasales       ◻</w:t>
            </w:r>
          </w:p>
          <w:p w14:paraId="1E4C7BEB" w14:textId="77777777" w:rsidR="00A75BD0" w:rsidRDefault="009D4DA5" w:rsidP="0BA40188">
            <w:pPr>
              <w:spacing w:before="120" w:after="12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lang w:val="fr-FR"/>
              </w:rPr>
            </w:pPr>
            <w:r w:rsidRPr="0BA40188">
              <w:rPr>
                <w:sz w:val="18"/>
                <w:szCs w:val="18"/>
                <w:lang w:val="fr-FR"/>
              </w:rPr>
              <w:t>Date 1</w:t>
            </w:r>
            <w:r w:rsidRPr="0BA40188">
              <w:rPr>
                <w:sz w:val="18"/>
                <w:szCs w:val="18"/>
                <w:vertAlign w:val="superscript"/>
                <w:lang w:val="fr-FR"/>
              </w:rPr>
              <w:t>ère</w:t>
            </w:r>
            <w:r w:rsidRPr="0BA40188">
              <w:rPr>
                <w:sz w:val="18"/>
                <w:szCs w:val="18"/>
                <w:lang w:val="fr-FR"/>
              </w:rPr>
              <w:t xml:space="preserve"> perfusion Bevacizumab :  _ _ / _ _ / 20 _ _ </w:t>
            </w:r>
          </w:p>
        </w:tc>
      </w:tr>
      <w:tr w:rsidR="00A75BD0" w14:paraId="65AF37CA" w14:textId="77777777" w:rsidTr="0BA40188">
        <w:tc>
          <w:tcPr>
            <w:cnfStyle w:val="001000000000" w:firstRow="0" w:lastRow="0" w:firstColumn="1" w:lastColumn="0" w:oddVBand="0" w:evenVBand="0" w:oddHBand="0" w:evenHBand="0" w:firstRowFirstColumn="0" w:firstRowLastColumn="0" w:lastRowFirstColumn="0" w:lastRowLastColumn="0"/>
            <w:tcW w:w="5235" w:type="dxa"/>
            <w:tcBorders>
              <w:right w:val="single" w:sz="18" w:space="0" w:color="C55911"/>
            </w:tcBorders>
          </w:tcPr>
          <w:p w14:paraId="1EF062B6" w14:textId="77777777" w:rsidR="00A75BD0" w:rsidRDefault="009D4DA5">
            <w:pPr>
              <w:rPr>
                <w:rFonts w:ascii="Calibri" w:eastAsia="Calibri" w:hAnsi="Calibri" w:cs="Calibri"/>
                <w:sz w:val="18"/>
                <w:szCs w:val="18"/>
              </w:rPr>
            </w:pPr>
            <w:r>
              <w:rPr>
                <w:sz w:val="18"/>
                <w:szCs w:val="18"/>
              </w:rPr>
              <w:t>Signature :</w:t>
            </w:r>
          </w:p>
          <w:p w14:paraId="0707ADF9" w14:textId="77777777" w:rsidR="00A75BD0" w:rsidRDefault="00A75BD0">
            <w:pPr>
              <w:rPr>
                <w:sz w:val="18"/>
                <w:szCs w:val="18"/>
              </w:rPr>
            </w:pPr>
          </w:p>
        </w:tc>
        <w:tc>
          <w:tcPr>
            <w:tcW w:w="5235" w:type="dxa"/>
            <w:tcBorders>
              <w:right w:val="single" w:sz="18" w:space="0" w:color="C55911"/>
            </w:tcBorders>
          </w:tcPr>
          <w:p w14:paraId="4CA9D25E" w14:textId="77777777" w:rsidR="00A75BD0" w:rsidRDefault="009D4DA5">
            <w:pPr>
              <w:cnfStyle w:val="000000000000" w:firstRow="0" w:lastRow="0" w:firstColumn="0" w:lastColumn="0" w:oddVBand="0" w:evenVBand="0" w:oddHBand="0" w:evenHBand="0" w:firstRowFirstColumn="0" w:firstRowLastColumn="0" w:lastRowFirstColumn="0" w:lastRowLastColumn="0"/>
              <w:rPr>
                <w:b/>
                <w:color w:val="0070C0"/>
                <w:sz w:val="18"/>
                <w:szCs w:val="18"/>
              </w:rPr>
            </w:pPr>
            <w:r>
              <w:rPr>
                <w:b/>
                <w:color w:val="0070C0"/>
                <w:sz w:val="18"/>
                <w:szCs w:val="18"/>
              </w:rPr>
              <w:t xml:space="preserve">Date de validation en RCP (si applicable) : </w:t>
            </w:r>
          </w:p>
          <w:p w14:paraId="29F840BC" w14:textId="77777777" w:rsidR="00A75BD0" w:rsidRDefault="00A75BD0">
            <w:pPr>
              <w:cnfStyle w:val="000000000000" w:firstRow="0" w:lastRow="0" w:firstColumn="0" w:lastColumn="0" w:oddVBand="0" w:evenVBand="0" w:oddHBand="0" w:evenHBand="0" w:firstRowFirstColumn="0" w:firstRowLastColumn="0" w:lastRowFirstColumn="0" w:lastRowLastColumn="0"/>
              <w:rPr>
                <w:b/>
                <w:color w:val="0070C0"/>
                <w:sz w:val="18"/>
                <w:szCs w:val="18"/>
              </w:rPr>
            </w:pPr>
          </w:p>
          <w:p w14:paraId="33D824F2" w14:textId="77777777" w:rsidR="00A75BD0" w:rsidRDefault="009D4D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8"/>
                <w:szCs w:val="18"/>
              </w:rPr>
            </w:pPr>
            <w:r>
              <w:rPr>
                <w:b/>
                <w:color w:val="0070C0"/>
                <w:sz w:val="18"/>
                <w:szCs w:val="18"/>
                <w:u w:val="single"/>
              </w:rPr>
              <w:t>|      |      |</w:t>
            </w:r>
            <w:r>
              <w:rPr>
                <w:b/>
                <w:color w:val="0070C0"/>
                <w:sz w:val="18"/>
                <w:szCs w:val="18"/>
              </w:rPr>
              <w:t xml:space="preserve"> </w:t>
            </w:r>
            <w:r>
              <w:rPr>
                <w:b/>
                <w:color w:val="0070C0"/>
                <w:sz w:val="18"/>
                <w:szCs w:val="18"/>
                <w:u w:val="single"/>
              </w:rPr>
              <w:t>|      |      |</w:t>
            </w:r>
            <w:r>
              <w:rPr>
                <w:b/>
                <w:color w:val="0070C0"/>
                <w:sz w:val="18"/>
                <w:szCs w:val="18"/>
              </w:rPr>
              <w:t xml:space="preserve"> 20</w:t>
            </w:r>
            <w:r>
              <w:rPr>
                <w:b/>
                <w:color w:val="0070C0"/>
                <w:sz w:val="18"/>
                <w:szCs w:val="18"/>
                <w:u w:val="single"/>
              </w:rPr>
              <w:t>|      |      |</w:t>
            </w:r>
          </w:p>
          <w:p w14:paraId="060E17AF" w14:textId="77777777" w:rsidR="00A75BD0" w:rsidRDefault="00A75BD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70C0"/>
                <w:sz w:val="18"/>
                <w:szCs w:val="18"/>
              </w:rPr>
            </w:pPr>
          </w:p>
        </w:tc>
      </w:tr>
    </w:tbl>
    <w:p w14:paraId="0DFC2876" w14:textId="77777777" w:rsidR="00A75BD0" w:rsidRDefault="009D4DA5">
      <w:pPr>
        <w:numPr>
          <w:ilvl w:val="0"/>
          <w:numId w:val="1"/>
        </w:numPr>
        <w:pBdr>
          <w:top w:val="nil"/>
          <w:left w:val="nil"/>
          <w:bottom w:val="single" w:sz="4" w:space="1" w:color="000000"/>
          <w:right w:val="nil"/>
          <w:between w:val="nil"/>
        </w:pBdr>
        <w:shd w:val="clear" w:color="auto" w:fill="F7CBAC"/>
        <w:spacing w:after="120"/>
        <w:ind w:left="425" w:hanging="357"/>
        <w:rPr>
          <w:smallCaps/>
          <w:color w:val="002060"/>
        </w:rPr>
      </w:pPr>
      <w:r>
        <w:rPr>
          <w:smallCaps/>
          <w:color w:val="002060"/>
        </w:rPr>
        <w:t xml:space="preserve">DONNÉES CLINIQUES ET BIOLOGIQUES LE JOUR DU TRAITEMENT : </w:t>
      </w:r>
    </w:p>
    <w:p w14:paraId="1DA8F5CF" w14:textId="77777777" w:rsidR="00A75BD0" w:rsidRDefault="009D4DA5" w:rsidP="0BA40188">
      <w:pPr>
        <w:spacing w:after="0"/>
        <w:rPr>
          <w:sz w:val="20"/>
          <w:szCs w:val="20"/>
          <w:lang w:val="fr-FR"/>
        </w:rPr>
      </w:pPr>
      <w:r>
        <w:rPr>
          <w:noProof/>
          <w:lang w:val="fr-FR"/>
        </w:rPr>
        <mc:AlternateContent>
          <mc:Choice Requires="wps">
            <w:drawing>
              <wp:anchor distT="0" distB="0" distL="118745" distR="118745" simplePos="0" relativeHeight="251658241" behindDoc="0" locked="0" layoutInCell="1" hidden="0" allowOverlap="1" wp14:anchorId="459E5DD6" wp14:editId="6782A9CA">
                <wp:simplePos x="0" y="0"/>
                <wp:positionH relativeFrom="margin">
                  <wp:posOffset>-45384</wp:posOffset>
                </wp:positionH>
                <wp:positionV relativeFrom="page">
                  <wp:posOffset>425768</wp:posOffset>
                </wp:positionV>
                <wp:extent cx="6771005" cy="379730"/>
                <wp:effectExtent l="0" t="0" r="0" b="0"/>
                <wp:wrapSquare wrapText="bothSides" distT="0" distB="0" distL="118745" distR="118745"/>
                <wp:docPr id="2146653932" name="Rectangle 2146653932"/>
                <wp:cNvGraphicFramePr/>
                <a:graphic xmlns:a="http://schemas.openxmlformats.org/drawingml/2006/main">
                  <a:graphicData uri="http://schemas.microsoft.com/office/word/2010/wordprocessingShape">
                    <wps:wsp>
                      <wps:cNvSpPr/>
                      <wps:spPr>
                        <a:xfrm>
                          <a:off x="2012885" y="3642523"/>
                          <a:ext cx="6666230" cy="274955"/>
                        </a:xfrm>
                        <a:prstGeom prst="rect">
                          <a:avLst/>
                        </a:prstGeom>
                        <a:solidFill>
                          <a:schemeClr val="accent1"/>
                        </a:solidFill>
                        <a:ln>
                          <a:noFill/>
                        </a:ln>
                      </wps:spPr>
                      <wps:txbx>
                        <w:txbxContent>
                          <w:p w14:paraId="0266642E" w14:textId="77777777" w:rsidR="00A75BD0" w:rsidRDefault="009D4DA5">
                            <w:pPr>
                              <w:spacing w:after="0" w:line="240" w:lineRule="auto"/>
                              <w:textDirection w:val="btLr"/>
                            </w:pPr>
                            <w:r>
                              <w:rPr>
                                <w:rFonts w:ascii="Arial" w:eastAsia="Arial" w:hAnsi="Arial" w:cs="Arial"/>
                                <w:smallCaps/>
                                <w:color w:val="FFFFFF"/>
                                <w:sz w:val="20"/>
                              </w:rPr>
                              <w:t>BEVACIZUMAB 25MG/ML, SOLUTION À DILUER POUR PERFUSION</w:t>
                            </w:r>
                          </w:p>
                        </w:txbxContent>
                      </wps:txbx>
                      <wps:bodyPr spcFirstLastPara="1" wrap="square" lIns="91425" tIns="45700" rIns="91425" bIns="45700" anchor="ctr" anchorCtr="0">
                        <a:noAutofit/>
                      </wps:bodyPr>
                    </wps:wsp>
                  </a:graphicData>
                </a:graphic>
              </wp:anchor>
            </w:drawing>
          </mc:Choice>
          <mc:Fallback>
            <w:pict>
              <v:rect w14:anchorId="459E5DD6" id="Rectangle 2146653932" o:spid="_x0000_s1026" style="position:absolute;margin-left:-3.55pt;margin-top:33.55pt;width:533.15pt;height:29.9pt;z-index:251658241;visibility:visible;mso-wrap-style:square;mso-wrap-distance-left:9.35pt;mso-wrap-distance-top:0;mso-wrap-distance-right:9.35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" fillcolor="#5b9bd5 [3204]" stroked="f">
                <v:textbox inset="2.53958mm,1.2694mm,2.53958mm,1.2694mm">
                  <w:txbxContent>
                    <w:p w14:paraId="0266642E" w14:textId="77777777" w:rsidR="00A75BD0" w:rsidRDefault="009D4DA5">
                      <w:pPr>
                        <w:spacing w:after="0" w:line="240" w:lineRule="auto"/>
                        <w:textDirection w:val="btLr"/>
                      </w:pPr>
                      <w:r>
                        <w:rPr>
                          <w:rFonts w:ascii="Arial" w:eastAsia="Arial" w:hAnsi="Arial" w:cs="Arial"/>
                          <w:smallCaps/>
                          <w:color w:val="FFFFFF"/>
                          <w:sz w:val="20"/>
                        </w:rPr>
                        <w:t>BEVACIZUMAB 25MG/ML, SOLUTION À DILUER POUR PERFUSION</w:t>
                      </w:r>
                    </w:p>
                  </w:txbxContent>
                </v:textbox>
                <w10:wrap type="square" anchorx="margin" anchory="page"/>
              </v:rect>
            </w:pict>
          </mc:Fallback>
        </mc:AlternateContent>
      </w:r>
      <w:r w:rsidRPr="0BA40188">
        <w:rPr>
          <w:b/>
          <w:bCs/>
          <w:lang w:val="fr-FR"/>
        </w:rPr>
        <w:t>Poids</w:t>
      </w:r>
      <w:r w:rsidRPr="0BA40188">
        <w:rPr>
          <w:lang w:val="fr-FR"/>
        </w:rPr>
        <w:t xml:space="preserve"> :   </w:t>
      </w:r>
      <w:r w:rsidRPr="0BA40188">
        <w:rPr>
          <w:sz w:val="20"/>
          <w:szCs w:val="20"/>
          <w:lang w:val="fr-FR"/>
        </w:rPr>
        <w:t>|</w:t>
      </w:r>
      <w:r w:rsidRPr="0BA40188">
        <w:rPr>
          <w:sz w:val="20"/>
          <w:szCs w:val="20"/>
          <w:u w:val="single"/>
          <w:lang w:val="fr-FR"/>
        </w:rPr>
        <w:t xml:space="preserve">    </w:t>
      </w:r>
      <w:r w:rsidRPr="0BA40188">
        <w:rPr>
          <w:sz w:val="20"/>
          <w:szCs w:val="20"/>
          <w:lang w:val="fr-FR"/>
        </w:rPr>
        <w:t>|</w:t>
      </w:r>
      <w:r w:rsidRPr="0BA40188">
        <w:rPr>
          <w:sz w:val="20"/>
          <w:szCs w:val="20"/>
          <w:u w:val="single"/>
          <w:lang w:val="fr-FR"/>
        </w:rPr>
        <w:t xml:space="preserve">    </w:t>
      </w:r>
      <w:r w:rsidRPr="0BA40188">
        <w:rPr>
          <w:sz w:val="20"/>
          <w:szCs w:val="20"/>
          <w:lang w:val="fr-FR"/>
        </w:rPr>
        <w:t>|</w:t>
      </w:r>
      <w:r w:rsidRPr="0BA40188">
        <w:rPr>
          <w:sz w:val="20"/>
          <w:szCs w:val="20"/>
          <w:u w:val="single"/>
          <w:lang w:val="fr-FR"/>
        </w:rPr>
        <w:t xml:space="preserve">    </w:t>
      </w:r>
      <w:r w:rsidRPr="0BA40188">
        <w:rPr>
          <w:sz w:val="20"/>
          <w:szCs w:val="20"/>
          <w:lang w:val="fr-FR"/>
        </w:rPr>
        <w:t xml:space="preserve">| </w:t>
      </w:r>
      <w:r w:rsidRPr="0BA40188">
        <w:rPr>
          <w:lang w:val="fr-FR"/>
        </w:rPr>
        <w:t xml:space="preserve">kg    -     </w:t>
      </w:r>
      <w:r w:rsidRPr="0BA40188">
        <w:rPr>
          <w:b/>
          <w:bCs/>
          <w:lang w:val="fr-FR"/>
        </w:rPr>
        <w:t>Taille</w:t>
      </w:r>
      <w:r w:rsidRPr="0BA40188">
        <w:rPr>
          <w:lang w:val="fr-FR"/>
        </w:rPr>
        <w:t xml:space="preserve"> :    </w:t>
      </w:r>
      <w:r w:rsidRPr="0BA40188">
        <w:rPr>
          <w:sz w:val="20"/>
          <w:szCs w:val="20"/>
          <w:lang w:val="fr-FR"/>
        </w:rPr>
        <w:t>|</w:t>
      </w:r>
      <w:r w:rsidRPr="0BA40188">
        <w:rPr>
          <w:sz w:val="20"/>
          <w:szCs w:val="20"/>
          <w:u w:val="single"/>
          <w:lang w:val="fr-FR"/>
        </w:rPr>
        <w:t xml:space="preserve">    </w:t>
      </w:r>
      <w:r w:rsidRPr="0BA40188">
        <w:rPr>
          <w:sz w:val="20"/>
          <w:szCs w:val="20"/>
          <w:lang w:val="fr-FR"/>
        </w:rPr>
        <w:t>|</w:t>
      </w:r>
      <w:r w:rsidRPr="0BA40188">
        <w:rPr>
          <w:sz w:val="20"/>
          <w:szCs w:val="20"/>
          <w:u w:val="single"/>
          <w:lang w:val="fr-FR"/>
        </w:rPr>
        <w:t xml:space="preserve">    </w:t>
      </w:r>
      <w:r w:rsidRPr="0BA40188">
        <w:rPr>
          <w:sz w:val="20"/>
          <w:szCs w:val="20"/>
          <w:lang w:val="fr-FR"/>
        </w:rPr>
        <w:t>|</w:t>
      </w:r>
      <w:r w:rsidRPr="0BA40188">
        <w:rPr>
          <w:sz w:val="20"/>
          <w:szCs w:val="20"/>
          <w:u w:val="single"/>
          <w:lang w:val="fr-FR"/>
        </w:rPr>
        <w:t xml:space="preserve">    </w:t>
      </w:r>
      <w:r w:rsidRPr="0BA40188">
        <w:rPr>
          <w:sz w:val="20"/>
          <w:szCs w:val="20"/>
          <w:lang w:val="fr-FR"/>
        </w:rPr>
        <w:t>| cm     -     Hémoglobine |    |    |    | g/dL     -</w:t>
      </w:r>
      <w:r>
        <w:rPr>
          <w:sz w:val="20"/>
          <w:szCs w:val="20"/>
        </w:rPr>
        <w:tab/>
      </w:r>
      <w:r w:rsidRPr="0BA40188">
        <w:rPr>
          <w:sz w:val="20"/>
          <w:szCs w:val="20"/>
          <w:lang w:val="fr-FR"/>
        </w:rPr>
        <w:t>Ferritine |    |    |    | µg/dL</w:t>
      </w:r>
    </w:p>
    <w:p w14:paraId="75EACFDA" w14:textId="77777777" w:rsidR="00A75BD0" w:rsidRDefault="009D4DA5">
      <w:pPr>
        <w:spacing w:after="0"/>
        <w:ind w:left="4"/>
      </w:pPr>
      <w:r>
        <w:rPr>
          <w:sz w:val="20"/>
          <w:szCs w:val="20"/>
        </w:rPr>
        <w:t xml:space="preserve">ASAT :   |    |    |    | UI/L    -    ALAT :   |    |    |    | UI/L </w:t>
      </w:r>
      <w:r>
        <w:t xml:space="preserve">  -   Gamma GT :  |    |    |    | UI/L     ◻</w:t>
      </w:r>
    </w:p>
    <w:p w14:paraId="4C34CD3D" w14:textId="77777777" w:rsidR="00A75BD0" w:rsidRDefault="009D4DA5">
      <w:pPr>
        <w:ind w:left="4"/>
      </w:pPr>
      <w:r>
        <w:rPr>
          <w:b/>
        </w:rPr>
        <w:t>Test de grossesse</w:t>
      </w:r>
      <w:r>
        <w:t> : négatif ◻     non applicable ◻</w:t>
      </w:r>
    </w:p>
    <w:p w14:paraId="20B27E7F" w14:textId="77777777" w:rsidR="00A75BD0" w:rsidRDefault="009D4DA5">
      <w:pPr>
        <w:ind w:left="4"/>
        <w:rPr>
          <w:color w:val="000000"/>
        </w:rPr>
      </w:pPr>
      <w:r>
        <w:rPr>
          <w:color w:val="000000"/>
          <w:sz w:val="20"/>
          <w:szCs w:val="20"/>
        </w:rPr>
        <w:t>Depuis la visite précédente (ou dans les 6 mois précédents si initiation) </w:t>
      </w:r>
    </w:p>
    <w:tbl>
      <w:tblPr>
        <w:tblStyle w:val="af5"/>
        <w:tblW w:w="10478" w:type="dxa"/>
        <w:tblInd w:w="-5" w:type="dxa"/>
        <w:tblBorders>
          <w:top w:val="nil"/>
          <w:left w:val="nil"/>
          <w:bottom w:val="nil"/>
          <w:right w:val="nil"/>
          <w:insideH w:val="single" w:sz="4" w:space="0" w:color="000000"/>
          <w:insideV w:val="single" w:sz="4" w:space="0" w:color="000000"/>
        </w:tblBorders>
        <w:tblLayout w:type="fixed"/>
        <w:tblLook w:val="04A0" w:firstRow="1" w:lastRow="0" w:firstColumn="1" w:lastColumn="0" w:noHBand="0" w:noVBand="1"/>
      </w:tblPr>
      <w:tblGrid>
        <w:gridCol w:w="2410"/>
        <w:gridCol w:w="2622"/>
        <w:gridCol w:w="3014"/>
        <w:gridCol w:w="2432"/>
      </w:tblGrid>
      <w:tr w:rsidR="00A75BD0" w14:paraId="4A30AC8A" w14:textId="77777777" w:rsidTr="0BA40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AAB7FBC" w14:textId="77777777" w:rsidR="00A75BD0" w:rsidRDefault="009D4DA5" w:rsidP="0BA40188">
            <w:pPr>
              <w:rPr>
                <w:rFonts w:ascii="Calibri" w:eastAsia="Calibri" w:hAnsi="Calibri" w:cs="Calibri"/>
                <w:sz w:val="20"/>
                <w:szCs w:val="20"/>
                <w:lang w:val="fr-FR"/>
              </w:rPr>
            </w:pPr>
            <w:r w:rsidRPr="0BA40188">
              <w:rPr>
                <w:sz w:val="20"/>
                <w:szCs w:val="20"/>
                <w:lang w:val="fr-FR"/>
              </w:rPr>
              <w:t>◻  Transfusion de CGR</w:t>
            </w:r>
          </w:p>
        </w:tc>
        <w:tc>
          <w:tcPr>
            <w:tcW w:w="2622" w:type="dxa"/>
          </w:tcPr>
          <w:p w14:paraId="205058F1" w14:textId="77777777" w:rsidR="00A75BD0" w:rsidRDefault="009D4DA5" w:rsidP="0BA4018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fr-FR"/>
              </w:rPr>
            </w:pPr>
            <w:r w:rsidRPr="0BA40188">
              <w:rPr>
                <w:sz w:val="20"/>
                <w:szCs w:val="20"/>
                <w:lang w:val="fr-FR"/>
              </w:rPr>
              <w:t>◻  Perfusion de Fer</w:t>
            </w:r>
          </w:p>
        </w:tc>
        <w:tc>
          <w:tcPr>
            <w:tcW w:w="3014" w:type="dxa"/>
          </w:tcPr>
          <w:p w14:paraId="4570E2F4" w14:textId="77777777" w:rsidR="00A75BD0" w:rsidRDefault="009D4DA5" w:rsidP="0BA4018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fr-FR"/>
              </w:rPr>
            </w:pPr>
            <w:r w:rsidRPr="0BA40188">
              <w:rPr>
                <w:sz w:val="20"/>
                <w:szCs w:val="20"/>
                <w:lang w:val="fr-FR"/>
              </w:rPr>
              <w:t>◻  Mélénas</w:t>
            </w:r>
          </w:p>
        </w:tc>
        <w:tc>
          <w:tcPr>
            <w:tcW w:w="2432" w:type="dxa"/>
          </w:tcPr>
          <w:p w14:paraId="16BF7679" w14:textId="77777777" w:rsidR="00A75BD0" w:rsidRDefault="009D4DA5" w:rsidP="0BA4018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fr-FR"/>
              </w:rPr>
            </w:pPr>
            <w:r w:rsidRPr="0BA40188">
              <w:rPr>
                <w:sz w:val="20"/>
                <w:szCs w:val="20"/>
                <w:lang w:val="fr-FR"/>
              </w:rPr>
              <w:t>◻  Examens cardiologique</w:t>
            </w:r>
          </w:p>
        </w:tc>
      </w:tr>
      <w:tr w:rsidR="00A75BD0" w14:paraId="36C74A57" w14:textId="77777777" w:rsidTr="0BA40188">
        <w:tc>
          <w:tcPr>
            <w:cnfStyle w:val="001000000000" w:firstRow="0" w:lastRow="0" w:firstColumn="1" w:lastColumn="0" w:oddVBand="0" w:evenVBand="0" w:oddHBand="0" w:evenHBand="0" w:firstRowFirstColumn="0" w:firstRowLastColumn="0" w:lastRowFirstColumn="0" w:lastRowLastColumn="0"/>
            <w:tcW w:w="2410" w:type="dxa"/>
          </w:tcPr>
          <w:p w14:paraId="485806E5" w14:textId="77777777" w:rsidR="00A75BD0" w:rsidRDefault="009D4DA5" w:rsidP="0BA40188">
            <w:pPr>
              <w:numPr>
                <w:ilvl w:val="0"/>
                <w:numId w:val="1"/>
              </w:numPr>
              <w:pBdr>
                <w:top w:val="nil"/>
                <w:left w:val="nil"/>
                <w:bottom w:val="nil"/>
                <w:right w:val="nil"/>
                <w:between w:val="nil"/>
              </w:pBdr>
              <w:spacing w:before="80" w:line="259" w:lineRule="auto"/>
              <w:ind w:left="176" w:hanging="176"/>
              <w:rPr>
                <w:rFonts w:ascii="Calibri" w:eastAsia="Calibri" w:hAnsi="Calibri" w:cs="Calibri"/>
                <w:color w:val="000000"/>
                <w:sz w:val="20"/>
                <w:szCs w:val="20"/>
                <w:lang w:val="fr-FR"/>
              </w:rPr>
            </w:pPr>
            <w:r w:rsidRPr="0BA40188">
              <w:rPr>
                <w:rFonts w:ascii="Calibri" w:eastAsia="Calibri" w:hAnsi="Calibri" w:cs="Calibri"/>
                <w:b w:val="0"/>
                <w:color w:val="000000" w:themeColor="text1"/>
                <w:sz w:val="20"/>
                <w:szCs w:val="20"/>
                <w:lang w:val="fr-FR"/>
              </w:rPr>
              <w:t xml:space="preserve">__ CGR le  _ _ / _ _ / _ _ </w:t>
            </w:r>
          </w:p>
          <w:p w14:paraId="740D5415" w14:textId="77777777" w:rsidR="00A75BD0" w:rsidRDefault="009D4DA5" w:rsidP="0BA40188">
            <w:pPr>
              <w:numPr>
                <w:ilvl w:val="0"/>
                <w:numId w:val="1"/>
              </w:numPr>
              <w:pBdr>
                <w:top w:val="nil"/>
                <w:left w:val="nil"/>
                <w:bottom w:val="nil"/>
                <w:right w:val="nil"/>
                <w:between w:val="nil"/>
              </w:pBdr>
              <w:spacing w:line="259" w:lineRule="auto"/>
              <w:ind w:left="175" w:hanging="175"/>
              <w:rPr>
                <w:rFonts w:ascii="Calibri" w:eastAsia="Calibri" w:hAnsi="Calibri" w:cs="Calibri"/>
                <w:color w:val="000000"/>
                <w:sz w:val="20"/>
                <w:szCs w:val="20"/>
                <w:lang w:val="fr-FR"/>
              </w:rPr>
            </w:pPr>
            <w:r w:rsidRPr="0BA40188">
              <w:rPr>
                <w:rFonts w:ascii="Calibri" w:eastAsia="Calibri" w:hAnsi="Calibri" w:cs="Calibri"/>
                <w:b w:val="0"/>
                <w:color w:val="000000" w:themeColor="text1"/>
                <w:sz w:val="20"/>
                <w:szCs w:val="20"/>
                <w:lang w:val="fr-FR"/>
              </w:rPr>
              <w:t xml:space="preserve">__ CGR le  _ _ / _ _ / _ _ </w:t>
            </w:r>
          </w:p>
          <w:p w14:paraId="3E5FA21D" w14:textId="77777777" w:rsidR="00A75BD0" w:rsidRDefault="009D4DA5" w:rsidP="0BA40188">
            <w:pPr>
              <w:numPr>
                <w:ilvl w:val="0"/>
                <w:numId w:val="1"/>
              </w:numPr>
              <w:pBdr>
                <w:top w:val="nil"/>
                <w:left w:val="nil"/>
                <w:bottom w:val="nil"/>
                <w:right w:val="nil"/>
                <w:between w:val="nil"/>
              </w:pBdr>
              <w:spacing w:line="259" w:lineRule="auto"/>
              <w:ind w:left="175" w:hanging="175"/>
              <w:rPr>
                <w:rFonts w:ascii="Calibri" w:eastAsia="Calibri" w:hAnsi="Calibri" w:cs="Calibri"/>
                <w:color w:val="000000"/>
                <w:sz w:val="20"/>
                <w:szCs w:val="20"/>
                <w:lang w:val="fr-FR"/>
              </w:rPr>
            </w:pPr>
            <w:r w:rsidRPr="0BA40188">
              <w:rPr>
                <w:rFonts w:ascii="Calibri" w:eastAsia="Calibri" w:hAnsi="Calibri" w:cs="Calibri"/>
                <w:b w:val="0"/>
                <w:color w:val="000000" w:themeColor="text1"/>
                <w:sz w:val="20"/>
                <w:szCs w:val="20"/>
                <w:lang w:val="fr-FR"/>
              </w:rPr>
              <w:t xml:space="preserve">__ CGR le  _ _ / _ _ / _ _ </w:t>
            </w:r>
          </w:p>
          <w:p w14:paraId="75DB0F5E" w14:textId="77777777" w:rsidR="00A75BD0" w:rsidRDefault="009D4DA5" w:rsidP="0BA40188">
            <w:pPr>
              <w:numPr>
                <w:ilvl w:val="0"/>
                <w:numId w:val="1"/>
              </w:numPr>
              <w:pBdr>
                <w:top w:val="nil"/>
                <w:left w:val="nil"/>
                <w:bottom w:val="nil"/>
                <w:right w:val="nil"/>
                <w:between w:val="nil"/>
              </w:pBdr>
              <w:spacing w:after="160" w:line="259" w:lineRule="auto"/>
              <w:ind w:left="175" w:hanging="175"/>
              <w:rPr>
                <w:rFonts w:ascii="Calibri" w:eastAsia="Calibri" w:hAnsi="Calibri" w:cs="Calibri"/>
                <w:color w:val="000000"/>
                <w:sz w:val="20"/>
                <w:szCs w:val="20"/>
                <w:lang w:val="fr-FR"/>
              </w:rPr>
            </w:pPr>
            <w:r w:rsidRPr="0BA40188">
              <w:rPr>
                <w:rFonts w:ascii="Calibri" w:eastAsia="Calibri" w:hAnsi="Calibri" w:cs="Calibri"/>
                <w:b w:val="0"/>
                <w:color w:val="000000" w:themeColor="text1"/>
                <w:sz w:val="20"/>
                <w:szCs w:val="20"/>
                <w:lang w:val="fr-FR"/>
              </w:rPr>
              <w:t xml:space="preserve">__ CGR le  _ _ / _ _ / _ _ </w:t>
            </w:r>
          </w:p>
          <w:p w14:paraId="6FE98B5F" w14:textId="77777777" w:rsidR="00A75BD0" w:rsidRDefault="00A75BD0">
            <w:pPr>
              <w:rPr>
                <w:rFonts w:ascii="Calibri" w:eastAsia="Calibri" w:hAnsi="Calibri" w:cs="Calibri"/>
                <w:sz w:val="20"/>
                <w:szCs w:val="20"/>
              </w:rPr>
            </w:pPr>
          </w:p>
        </w:tc>
        <w:tc>
          <w:tcPr>
            <w:tcW w:w="2622" w:type="dxa"/>
          </w:tcPr>
          <w:p w14:paraId="6D94B006" w14:textId="77777777" w:rsidR="00A75BD0" w:rsidRDefault="009D4DA5" w:rsidP="0BA40188">
            <w:pPr>
              <w:cnfStyle w:val="000000000000" w:firstRow="0" w:lastRow="0" w:firstColumn="0" w:lastColumn="0" w:oddVBand="0" w:evenVBand="0" w:oddHBand="0" w:evenHBand="0" w:firstRowFirstColumn="0" w:firstRowLastColumn="0" w:lastRowFirstColumn="0" w:lastRowLastColumn="0"/>
              <w:rPr>
                <w:sz w:val="20"/>
                <w:szCs w:val="20"/>
                <w:lang w:val="fr-FR"/>
              </w:rPr>
            </w:pPr>
            <w:r w:rsidRPr="0BA40188">
              <w:rPr>
                <w:sz w:val="20"/>
                <w:szCs w:val="20"/>
                <w:lang w:val="fr-FR"/>
              </w:rPr>
              <w:t>Date : le  _ _ / _ _ / _ _</w:t>
            </w:r>
          </w:p>
          <w:p w14:paraId="7C31C166" w14:textId="77777777" w:rsidR="00A75BD0" w:rsidRDefault="009D4DA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Traitement :</w:t>
            </w:r>
          </w:p>
          <w:p w14:paraId="1BD56390" w14:textId="77777777" w:rsidR="00A75BD0" w:rsidRDefault="009D4DA5" w:rsidP="0BA40188">
            <w:pPr>
              <w:spacing w:before="80"/>
              <w:cnfStyle w:val="000000000000" w:firstRow="0" w:lastRow="0" w:firstColumn="0" w:lastColumn="0" w:oddVBand="0" w:evenVBand="0" w:oddHBand="0" w:evenHBand="0" w:firstRowFirstColumn="0" w:firstRowLastColumn="0" w:lastRowFirstColumn="0" w:lastRowLastColumn="0"/>
              <w:rPr>
                <w:sz w:val="20"/>
                <w:szCs w:val="20"/>
                <w:lang w:val="fr-FR"/>
              </w:rPr>
            </w:pPr>
            <w:r w:rsidRPr="0BA40188">
              <w:rPr>
                <w:rFonts w:ascii="Cambria Math" w:eastAsia="Cambria Math" w:hAnsi="Cambria Math" w:cs="Cambria Math"/>
                <w:sz w:val="20"/>
                <w:szCs w:val="20"/>
                <w:lang w:val="fr-FR"/>
              </w:rPr>
              <w:t>◻</w:t>
            </w:r>
            <w:r w:rsidRPr="0BA40188">
              <w:rPr>
                <w:sz w:val="20"/>
                <w:szCs w:val="20"/>
                <w:lang w:val="fr-FR"/>
              </w:rPr>
              <w:t>Venofer ou génériques</w:t>
            </w:r>
          </w:p>
          <w:p w14:paraId="64594861" w14:textId="77777777" w:rsidR="00A75BD0" w:rsidRDefault="009D4DA5" w:rsidP="0BA40188">
            <w:pPr>
              <w:spacing w:before="80"/>
              <w:cnfStyle w:val="000000000000" w:firstRow="0" w:lastRow="0" w:firstColumn="0" w:lastColumn="0" w:oddVBand="0" w:evenVBand="0" w:oddHBand="0" w:evenHBand="0" w:firstRowFirstColumn="0" w:firstRowLastColumn="0" w:lastRowFirstColumn="0" w:lastRowLastColumn="0"/>
              <w:rPr>
                <w:sz w:val="20"/>
                <w:szCs w:val="20"/>
                <w:lang w:val="fr-FR"/>
              </w:rPr>
            </w:pPr>
            <w:r w:rsidRPr="0BA40188">
              <w:rPr>
                <w:rFonts w:ascii="Cambria Math" w:eastAsia="Cambria Math" w:hAnsi="Cambria Math" w:cs="Cambria Math"/>
                <w:sz w:val="20"/>
                <w:szCs w:val="20"/>
                <w:lang w:val="fr-FR"/>
              </w:rPr>
              <w:t>◻</w:t>
            </w:r>
            <w:r w:rsidRPr="0BA40188">
              <w:rPr>
                <w:sz w:val="20"/>
                <w:szCs w:val="20"/>
                <w:lang w:val="fr-FR"/>
              </w:rPr>
              <w:t xml:space="preserve"> Ferinject</w:t>
            </w:r>
          </w:p>
          <w:p w14:paraId="503A8C80" w14:textId="77777777" w:rsidR="00A75BD0" w:rsidRDefault="009D4DA5">
            <w:pPr>
              <w:spacing w:before="80"/>
              <w:cnfStyle w:val="000000000000" w:firstRow="0" w:lastRow="0" w:firstColumn="0" w:lastColumn="0" w:oddVBand="0" w:evenVBand="0" w:oddHBand="0" w:evenHBand="0" w:firstRowFirstColumn="0" w:firstRowLastColumn="0" w:lastRowFirstColumn="0" w:lastRowLastColumn="0"/>
            </w:pPr>
            <w:r>
              <w:rPr>
                <w:sz w:val="20"/>
                <w:szCs w:val="20"/>
              </w:rPr>
              <w:t>Dose : _ _ _ mg</w:t>
            </w:r>
          </w:p>
        </w:tc>
        <w:tc>
          <w:tcPr>
            <w:tcW w:w="3014" w:type="dxa"/>
          </w:tcPr>
          <w:p w14:paraId="712CED7A" w14:textId="77777777" w:rsidR="00A75BD0" w:rsidRDefault="009D4DA5">
            <w:pPr>
              <w:spacing w:before="80"/>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i/>
                <w:sz w:val="20"/>
                <w:szCs w:val="20"/>
              </w:rPr>
              <w:t>Date(s) événement(s) :</w:t>
            </w:r>
          </w:p>
          <w:p w14:paraId="639F5F7F" w14:textId="77777777" w:rsidR="00A75BD0" w:rsidRDefault="009D4D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sz w:val="20"/>
                <w:szCs w:val="20"/>
              </w:rPr>
              <w:t>-</w:t>
            </w:r>
          </w:p>
          <w:p w14:paraId="741F86D7" w14:textId="77777777" w:rsidR="00A75BD0" w:rsidRDefault="009D4D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sz w:val="20"/>
                <w:szCs w:val="20"/>
              </w:rPr>
              <w:t>-</w:t>
            </w:r>
          </w:p>
          <w:p w14:paraId="7884E209" w14:textId="77777777" w:rsidR="00A75BD0" w:rsidRDefault="009D4D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sz w:val="20"/>
                <w:szCs w:val="20"/>
              </w:rPr>
              <w:t>-</w:t>
            </w:r>
          </w:p>
        </w:tc>
        <w:tc>
          <w:tcPr>
            <w:tcW w:w="2432" w:type="dxa"/>
          </w:tcPr>
          <w:p w14:paraId="1CE05DE5" w14:textId="77777777" w:rsidR="00A75BD0" w:rsidRDefault="009D4DA5">
            <w:pPr>
              <w:spacing w:before="80"/>
              <w:cnfStyle w:val="000000000000" w:firstRow="0" w:lastRow="0" w:firstColumn="0" w:lastColumn="0" w:oddVBand="0" w:evenVBand="0" w:oddHBand="0" w:evenHBand="0" w:firstRowFirstColumn="0" w:firstRowLastColumn="0" w:lastRowFirstColumn="0" w:lastRowLastColumn="0"/>
              <w:rPr>
                <w:i/>
                <w:sz w:val="20"/>
                <w:szCs w:val="20"/>
              </w:rPr>
            </w:pPr>
            <w:r>
              <w:rPr>
                <w:sz w:val="20"/>
                <w:szCs w:val="20"/>
              </w:rPr>
              <w:t>Echocardiographie :</w:t>
            </w:r>
          </w:p>
          <w:p w14:paraId="667EDFF3" w14:textId="77777777" w:rsidR="00A75BD0" w:rsidRDefault="009D4DA5">
            <w:pPr>
              <w:spacing w:before="80"/>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Date examen :</w:t>
            </w:r>
            <w:r>
              <w:rPr>
                <w:sz w:val="20"/>
                <w:szCs w:val="20"/>
              </w:rPr>
              <w:t xml:space="preserve">  </w:t>
            </w:r>
          </w:p>
          <w:p w14:paraId="2C624B3D" w14:textId="77777777" w:rsidR="00A75BD0" w:rsidRDefault="009D4DA5">
            <w:pPr>
              <w:spacing w:before="8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sz w:val="20"/>
                <w:szCs w:val="20"/>
              </w:rPr>
              <w:t>_ _ / _ _ / _ _</w:t>
            </w:r>
          </w:p>
          <w:p w14:paraId="51ED3475" w14:textId="77777777" w:rsidR="00A75BD0" w:rsidRDefault="009D4DA5" w:rsidP="0BA40188">
            <w:pPr>
              <w:spacing w:before="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fr-FR"/>
              </w:rPr>
            </w:pPr>
            <w:r w:rsidRPr="0BA40188">
              <w:rPr>
                <w:sz w:val="20"/>
                <w:szCs w:val="20"/>
                <w:lang w:val="fr-FR"/>
              </w:rPr>
              <w:t>Index cardiaque:</w:t>
            </w:r>
          </w:p>
          <w:p w14:paraId="1402496B" w14:textId="77777777" w:rsidR="00A75BD0" w:rsidRDefault="009D4DA5" w:rsidP="0BA401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fr-FR"/>
              </w:rPr>
            </w:pPr>
            <w:r w:rsidRPr="0BA40188">
              <w:rPr>
                <w:sz w:val="20"/>
                <w:szCs w:val="20"/>
                <w:lang w:val="fr-FR"/>
              </w:rPr>
              <w:t>|</w:t>
            </w:r>
            <w:r w:rsidRPr="0BA40188">
              <w:rPr>
                <w:sz w:val="20"/>
                <w:szCs w:val="20"/>
                <w:u w:val="single"/>
                <w:lang w:val="fr-FR"/>
              </w:rPr>
              <w:t xml:space="preserve">    </w:t>
            </w:r>
            <w:r w:rsidRPr="0BA40188">
              <w:rPr>
                <w:sz w:val="20"/>
                <w:szCs w:val="20"/>
                <w:lang w:val="fr-FR"/>
              </w:rPr>
              <w:t>|</w:t>
            </w:r>
            <w:r w:rsidRPr="0BA40188">
              <w:rPr>
                <w:sz w:val="20"/>
                <w:szCs w:val="20"/>
                <w:u w:val="single"/>
                <w:lang w:val="fr-FR"/>
              </w:rPr>
              <w:t xml:space="preserve">    </w:t>
            </w:r>
            <w:r w:rsidRPr="0BA40188">
              <w:rPr>
                <w:sz w:val="20"/>
                <w:szCs w:val="20"/>
                <w:lang w:val="fr-FR"/>
              </w:rPr>
              <w:t>|,|</w:t>
            </w:r>
            <w:r w:rsidRPr="0BA40188">
              <w:rPr>
                <w:sz w:val="20"/>
                <w:szCs w:val="20"/>
                <w:u w:val="single"/>
                <w:lang w:val="fr-FR"/>
              </w:rPr>
              <w:t xml:space="preserve">    </w:t>
            </w:r>
            <w:r w:rsidRPr="0BA40188">
              <w:rPr>
                <w:sz w:val="20"/>
                <w:szCs w:val="20"/>
                <w:lang w:val="fr-FR"/>
              </w:rPr>
              <w:t xml:space="preserve">| </w:t>
            </w:r>
            <w:r w:rsidRPr="0BA40188">
              <w:rPr>
                <w:sz w:val="18"/>
                <w:szCs w:val="18"/>
                <w:lang w:val="fr-FR"/>
              </w:rPr>
              <w:t>L/min/m²</w:t>
            </w:r>
          </w:p>
        </w:tc>
      </w:tr>
    </w:tbl>
    <w:p w14:paraId="167BB57D" w14:textId="77777777" w:rsidR="00A75BD0" w:rsidRDefault="009D4DA5">
      <w:pPr>
        <w:spacing w:before="120" w:after="60"/>
        <w:rPr>
          <w:sz w:val="20"/>
          <w:szCs w:val="20"/>
        </w:rPr>
      </w:pPr>
      <w:r>
        <w:rPr>
          <w:b/>
          <w:sz w:val="20"/>
          <w:szCs w:val="20"/>
          <w:u w:val="single"/>
        </w:rPr>
        <w:t>Epistaxis</w:t>
      </w:r>
      <w:r>
        <w:rPr>
          <w:sz w:val="20"/>
          <w:szCs w:val="20"/>
        </w:rPr>
        <w:t> ◻ recueil grille(s) et</w:t>
      </w:r>
    </w:p>
    <w:p w14:paraId="22EE33A2" w14:textId="77777777" w:rsidR="00A75BD0" w:rsidRDefault="009D4DA5" w:rsidP="0BA40188">
      <w:pPr>
        <w:tabs>
          <w:tab w:val="left" w:pos="2410"/>
        </w:tabs>
        <w:spacing w:after="0"/>
        <w:rPr>
          <w:sz w:val="20"/>
          <w:szCs w:val="20"/>
          <w:lang w:val="fr-FR"/>
        </w:rPr>
      </w:pPr>
      <w:r w:rsidRPr="0BA40188">
        <w:rPr>
          <w:sz w:val="20"/>
          <w:szCs w:val="20"/>
          <w:lang w:val="fr-FR"/>
        </w:rPr>
        <w:t xml:space="preserve">                 Fréquence : </w:t>
      </w:r>
      <w:r>
        <w:tab/>
      </w:r>
      <w:r w:rsidRPr="0BA40188">
        <w:rPr>
          <w:sz w:val="20"/>
          <w:szCs w:val="20"/>
          <w:lang w:val="fr-FR"/>
        </w:rPr>
        <w:t xml:space="preserve">◻ Pluriquotidien   ◻ Quotidien   ◻ Plurihebdomadaire   ◻ Hebdomadaire </w:t>
      </w:r>
    </w:p>
    <w:p w14:paraId="273FA2AC" w14:textId="77777777" w:rsidR="00A75BD0" w:rsidRDefault="009D4DA5">
      <w:pPr>
        <w:tabs>
          <w:tab w:val="left" w:pos="2410"/>
        </w:tabs>
        <w:spacing w:after="120"/>
        <w:ind w:firstLine="708"/>
        <w:rPr>
          <w:sz w:val="20"/>
          <w:szCs w:val="20"/>
        </w:rPr>
      </w:pPr>
      <w:r>
        <w:rPr>
          <w:sz w:val="20"/>
          <w:szCs w:val="20"/>
        </w:rPr>
        <w:tab/>
        <w:t xml:space="preserve">◻Mensuel              ◻ Annuel        ◻ Occasionnel                ◻Autre : ________ </w:t>
      </w:r>
    </w:p>
    <w:p w14:paraId="4F506BA3" w14:textId="77777777" w:rsidR="00A75BD0" w:rsidRDefault="009D4DA5" w:rsidP="0BA40188">
      <w:pPr>
        <w:rPr>
          <w:sz w:val="20"/>
          <w:szCs w:val="20"/>
          <w:lang w:val="fr-FR"/>
        </w:rPr>
      </w:pPr>
      <w:r w:rsidRPr="0BA40188">
        <w:rPr>
          <w:lang w:val="fr-FR"/>
        </w:rPr>
        <w:t xml:space="preserve">     </w:t>
      </w:r>
      <w:r w:rsidRPr="0BA40188">
        <w:rPr>
          <w:b/>
          <w:bCs/>
          <w:sz w:val="20"/>
          <w:szCs w:val="20"/>
          <w:u w:val="single"/>
          <w:lang w:val="fr-FR"/>
        </w:rPr>
        <w:t>Evaluation clinique</w:t>
      </w:r>
      <w:r w:rsidRPr="0BA40188">
        <w:rPr>
          <w:sz w:val="20"/>
          <w:szCs w:val="20"/>
          <w:lang w:val="fr-FR"/>
        </w:rPr>
        <w:t> :  ◻ amélioration évidente   ◻ amélioration partielle   ◻ non réponse   ◻ aggravation   ◻ non évalué</w:t>
      </w:r>
    </w:p>
    <w:p w14:paraId="5B3E2D2C" w14:textId="77777777" w:rsidR="00A75BD0" w:rsidRDefault="009D4DA5">
      <w:pPr>
        <w:numPr>
          <w:ilvl w:val="0"/>
          <w:numId w:val="1"/>
        </w:numPr>
        <w:pBdr>
          <w:top w:val="nil"/>
          <w:left w:val="nil"/>
          <w:bottom w:val="single" w:sz="4" w:space="1" w:color="000000"/>
          <w:right w:val="nil"/>
          <w:between w:val="nil"/>
        </w:pBdr>
        <w:shd w:val="clear" w:color="auto" w:fill="F7CBAC"/>
        <w:spacing w:after="120"/>
        <w:ind w:left="425" w:hanging="357"/>
        <w:rPr>
          <w:smallCaps/>
          <w:color w:val="002060"/>
        </w:rPr>
      </w:pPr>
      <w:r>
        <w:rPr>
          <w:smallCaps/>
          <w:color w:val="002060"/>
        </w:rPr>
        <w:t>ADMINISTRATION DU TRAITEMENT</w:t>
      </w:r>
    </w:p>
    <w:p w14:paraId="7B57CC78" w14:textId="77777777" w:rsidR="00A75BD0" w:rsidRDefault="009D4DA5">
      <w:pPr>
        <w:tabs>
          <w:tab w:val="left" w:pos="5387"/>
        </w:tabs>
        <w:spacing w:before="160"/>
      </w:pPr>
      <w:r w:rsidRPr="0BA40188">
        <w:rPr>
          <w:b/>
          <w:bCs/>
          <w:color w:val="0070C0"/>
          <w:lang w:val="fr-FR"/>
        </w:rPr>
        <w:t>DATE DE LA PERFUSION</w:t>
      </w:r>
      <w:r w:rsidRPr="0BA40188">
        <w:rPr>
          <w:color w:val="0070C0"/>
          <w:lang w:val="fr-FR"/>
        </w:rPr>
        <w:t> </w:t>
      </w:r>
      <w:r w:rsidRPr="0BA40188">
        <w:rPr>
          <w:lang w:val="fr-FR"/>
        </w:rPr>
        <w:t xml:space="preserve">: </w:t>
      </w:r>
      <w:r w:rsidRPr="0BA40188">
        <w:rPr>
          <w:b/>
          <w:bCs/>
          <w:color w:val="0070C0"/>
          <w:sz w:val="20"/>
          <w:szCs w:val="20"/>
          <w:u w:val="single"/>
          <w:lang w:val="fr-FR"/>
        </w:rPr>
        <w:t>|      |      |</w:t>
      </w:r>
      <w:r w:rsidRPr="0BA40188">
        <w:rPr>
          <w:b/>
          <w:bCs/>
          <w:color w:val="0070C0"/>
          <w:sz w:val="20"/>
          <w:szCs w:val="20"/>
          <w:lang w:val="fr-FR"/>
        </w:rPr>
        <w:t xml:space="preserve"> </w:t>
      </w:r>
      <w:r w:rsidRPr="0BA40188">
        <w:rPr>
          <w:b/>
          <w:bCs/>
          <w:color w:val="0070C0"/>
          <w:sz w:val="20"/>
          <w:szCs w:val="20"/>
          <w:u w:val="single"/>
          <w:lang w:val="fr-FR"/>
        </w:rPr>
        <w:t>|      |      |</w:t>
      </w:r>
      <w:r w:rsidRPr="0BA40188">
        <w:rPr>
          <w:b/>
          <w:bCs/>
          <w:color w:val="0070C0"/>
          <w:sz w:val="20"/>
          <w:szCs w:val="20"/>
          <w:lang w:val="fr-FR"/>
        </w:rPr>
        <w:t xml:space="preserve"> 20</w:t>
      </w:r>
      <w:r w:rsidRPr="0BA40188">
        <w:rPr>
          <w:b/>
          <w:bCs/>
          <w:color w:val="0070C0"/>
          <w:sz w:val="20"/>
          <w:szCs w:val="20"/>
          <w:u w:val="single"/>
          <w:lang w:val="fr-FR"/>
        </w:rPr>
        <w:t xml:space="preserve">|      |      </w:t>
      </w:r>
      <w:r w:rsidRPr="0BA40188">
        <w:rPr>
          <w:color w:val="0070C0"/>
          <w:sz w:val="20"/>
          <w:szCs w:val="20"/>
          <w:u w:val="single"/>
          <w:lang w:val="fr-FR"/>
        </w:rPr>
        <w:t>|</w:t>
      </w:r>
      <w:r w:rsidRPr="0BA40188">
        <w:rPr>
          <w:color w:val="0070C0"/>
          <w:sz w:val="20"/>
          <w:szCs w:val="20"/>
          <w:lang w:val="fr-FR"/>
        </w:rPr>
        <w:t xml:space="preserve"> </w:t>
      </w:r>
      <w:r w:rsidRPr="0BA40188">
        <w:rPr>
          <w:sz w:val="20"/>
          <w:szCs w:val="20"/>
          <w:lang w:val="fr-FR"/>
        </w:rPr>
        <w:t>(date perfusion précédente :</w:t>
      </w:r>
      <w:r w:rsidRPr="0BA40188">
        <w:rPr>
          <w:sz w:val="20"/>
          <w:szCs w:val="20"/>
          <w:u w:val="single"/>
          <w:lang w:val="fr-FR"/>
        </w:rPr>
        <w:t xml:space="preserve"> </w:t>
      </w:r>
      <w:r w:rsidRPr="0BA40188">
        <w:rPr>
          <w:lang w:val="fr-FR"/>
        </w:rPr>
        <w:t>__  __  / __  __  / __  __  __  __)</w:t>
      </w:r>
    </w:p>
    <w:p w14:paraId="724C0F7A" w14:textId="77777777" w:rsidR="00A75BD0" w:rsidRDefault="009D4DA5">
      <w:pPr>
        <w:tabs>
          <w:tab w:val="left" w:pos="1276"/>
          <w:tab w:val="left" w:pos="3402"/>
          <w:tab w:val="left" w:pos="3969"/>
          <w:tab w:val="left" w:pos="4536"/>
          <w:tab w:val="left" w:pos="5103"/>
          <w:tab w:val="left" w:pos="5670"/>
          <w:tab w:val="left" w:pos="6237"/>
        </w:tabs>
        <w:spacing w:before="120" w:after="60" w:line="276" w:lineRule="auto"/>
        <w:ind w:right="-567"/>
        <w:rPr>
          <w:sz w:val="20"/>
          <w:szCs w:val="20"/>
        </w:rPr>
      </w:pPr>
      <w:r>
        <w:t xml:space="preserve">◻ </w:t>
      </w:r>
      <w:r>
        <w:rPr>
          <w:sz w:val="20"/>
          <w:szCs w:val="20"/>
        </w:rPr>
        <w:t xml:space="preserve">Schéma d’induction :       Perfusion </w:t>
      </w:r>
      <w:r>
        <w:rPr>
          <w:sz w:val="20"/>
          <w:szCs w:val="20"/>
        </w:rPr>
        <w:tab/>
      </w:r>
      <w:r>
        <w:t>◻</w:t>
      </w:r>
      <w:r>
        <w:rPr>
          <w:sz w:val="20"/>
          <w:szCs w:val="20"/>
        </w:rPr>
        <w:t xml:space="preserve"> 1 </w:t>
      </w:r>
      <w:r>
        <w:rPr>
          <w:sz w:val="20"/>
          <w:szCs w:val="20"/>
        </w:rPr>
        <w:tab/>
      </w:r>
      <w:r>
        <w:t>◻</w:t>
      </w:r>
      <w:r>
        <w:rPr>
          <w:sz w:val="20"/>
          <w:szCs w:val="20"/>
        </w:rPr>
        <w:t xml:space="preserve"> 2</w:t>
      </w:r>
      <w:r>
        <w:rPr>
          <w:sz w:val="20"/>
          <w:szCs w:val="20"/>
        </w:rPr>
        <w:tab/>
      </w:r>
      <w:r>
        <w:t>◻</w:t>
      </w:r>
      <w:r>
        <w:rPr>
          <w:sz w:val="20"/>
          <w:szCs w:val="20"/>
        </w:rPr>
        <w:t xml:space="preserve"> 3</w:t>
      </w:r>
      <w:r>
        <w:rPr>
          <w:sz w:val="20"/>
          <w:szCs w:val="20"/>
        </w:rPr>
        <w:tab/>
      </w:r>
      <w:r>
        <w:t>◻</w:t>
      </w:r>
      <w:r>
        <w:rPr>
          <w:sz w:val="20"/>
          <w:szCs w:val="20"/>
        </w:rPr>
        <w:t xml:space="preserve"> 4</w:t>
      </w:r>
      <w:r>
        <w:rPr>
          <w:sz w:val="20"/>
          <w:szCs w:val="20"/>
        </w:rPr>
        <w:tab/>
      </w:r>
      <w:r>
        <w:t>◻</w:t>
      </w:r>
      <w:r>
        <w:rPr>
          <w:sz w:val="20"/>
          <w:szCs w:val="20"/>
        </w:rPr>
        <w:t xml:space="preserve"> 5</w:t>
      </w:r>
      <w:r>
        <w:rPr>
          <w:sz w:val="20"/>
          <w:szCs w:val="20"/>
        </w:rPr>
        <w:tab/>
      </w:r>
      <w:r>
        <w:t>◻</w:t>
      </w:r>
      <w:r>
        <w:rPr>
          <w:sz w:val="20"/>
          <w:szCs w:val="20"/>
        </w:rPr>
        <w:t xml:space="preserve"> 6</w:t>
      </w:r>
    </w:p>
    <w:p w14:paraId="6AFAAD22" w14:textId="77777777" w:rsidR="00A75BD0" w:rsidRDefault="009D4DA5">
      <w:pPr>
        <w:tabs>
          <w:tab w:val="left" w:pos="1276"/>
          <w:tab w:val="left" w:pos="2410"/>
          <w:tab w:val="left" w:pos="3544"/>
          <w:tab w:val="left" w:pos="4678"/>
          <w:tab w:val="left" w:pos="5812"/>
        </w:tabs>
        <w:spacing w:before="120" w:line="276" w:lineRule="auto"/>
        <w:ind w:right="-567"/>
        <w:rPr>
          <w:sz w:val="20"/>
          <w:szCs w:val="20"/>
        </w:rPr>
      </w:pPr>
      <w:r>
        <w:t xml:space="preserve">◻ </w:t>
      </w:r>
      <w:r>
        <w:rPr>
          <w:sz w:val="20"/>
          <w:szCs w:val="20"/>
        </w:rPr>
        <w:t>Schéma d’entretien, préciser fréquence : _____________            Perfusion N° : ____</w:t>
      </w:r>
    </w:p>
    <w:p w14:paraId="2DD0EE42" w14:textId="77777777" w:rsidR="00A75BD0" w:rsidRDefault="009D4DA5" w:rsidP="0BA40188">
      <w:pPr>
        <w:tabs>
          <w:tab w:val="left" w:pos="2268"/>
          <w:tab w:val="left" w:pos="3544"/>
        </w:tabs>
        <w:ind w:right="306"/>
        <w:jc w:val="both"/>
        <w:rPr>
          <w:sz w:val="20"/>
          <w:szCs w:val="20"/>
          <w:lang w:val="fr-FR"/>
        </w:rPr>
      </w:pPr>
      <w:r w:rsidRPr="0BA40188">
        <w:rPr>
          <w:sz w:val="20"/>
          <w:szCs w:val="20"/>
          <w:lang w:val="fr-FR"/>
        </w:rPr>
        <w:t>Posologie :</w:t>
      </w:r>
      <w:r>
        <w:tab/>
      </w:r>
      <w:r w:rsidRPr="0BA40188">
        <w:rPr>
          <w:sz w:val="20"/>
          <w:szCs w:val="20"/>
          <w:lang w:val="fr-FR"/>
        </w:rPr>
        <w:t>◻ 5 mg/kg</w:t>
      </w:r>
      <w:r>
        <w:tab/>
      </w:r>
      <w:r w:rsidRPr="0BA40188">
        <w:rPr>
          <w:sz w:val="20"/>
          <w:szCs w:val="20"/>
          <w:lang w:val="fr-FR"/>
        </w:rPr>
        <w:t>◻ Autre : |</w:t>
      </w:r>
      <w:r w:rsidRPr="0BA40188">
        <w:rPr>
          <w:sz w:val="20"/>
          <w:szCs w:val="20"/>
          <w:u w:val="single"/>
          <w:lang w:val="fr-FR"/>
        </w:rPr>
        <w:t xml:space="preserve">    </w:t>
      </w:r>
      <w:r w:rsidRPr="0BA40188">
        <w:rPr>
          <w:sz w:val="20"/>
          <w:szCs w:val="20"/>
          <w:lang w:val="fr-FR"/>
        </w:rPr>
        <w:t>|</w:t>
      </w:r>
      <w:r w:rsidRPr="0BA40188">
        <w:rPr>
          <w:sz w:val="20"/>
          <w:szCs w:val="20"/>
          <w:u w:val="single"/>
          <w:lang w:val="fr-FR"/>
        </w:rPr>
        <w:t xml:space="preserve">    </w:t>
      </w:r>
      <w:r w:rsidRPr="0BA40188">
        <w:rPr>
          <w:sz w:val="20"/>
          <w:szCs w:val="20"/>
          <w:lang w:val="fr-FR"/>
        </w:rPr>
        <w:t>| mg/kg</w:t>
      </w:r>
    </w:p>
    <w:p w14:paraId="43512C06" w14:textId="148B1FEB" w:rsidR="00A75BD0" w:rsidRDefault="009D4DA5" w:rsidP="0BA40188">
      <w:pPr>
        <w:tabs>
          <w:tab w:val="left" w:pos="2280"/>
          <w:tab w:val="left" w:pos="3544"/>
        </w:tabs>
        <w:spacing w:before="120" w:after="80"/>
        <w:ind w:right="306"/>
        <w:rPr>
          <w:sz w:val="20"/>
          <w:szCs w:val="20"/>
          <w:lang w:val="fr-FR"/>
        </w:rPr>
      </w:pPr>
      <w:bookmarkStart w:id="9" w:name="_heading=h.gjdgxs"/>
      <w:bookmarkEnd w:id="9"/>
      <w:r w:rsidRPr="0BA40188">
        <w:rPr>
          <w:sz w:val="20"/>
          <w:szCs w:val="20"/>
          <w:lang w:val="fr-FR"/>
        </w:rPr>
        <w:t>Spécialité administrée</w:t>
      </w:r>
      <w:r w:rsidRPr="0BA40188">
        <w:rPr>
          <w:b/>
          <w:bCs/>
          <w:sz w:val="20"/>
          <w:szCs w:val="20"/>
          <w:lang w:val="fr-FR"/>
        </w:rPr>
        <w:t> :</w:t>
      </w:r>
      <w:r>
        <w:tab/>
      </w:r>
      <w:r>
        <w:tab/>
      </w:r>
      <w:r w:rsidRPr="0BA40188">
        <w:rPr>
          <w:sz w:val="20"/>
          <w:szCs w:val="20"/>
          <w:lang w:val="fr-FR"/>
        </w:rPr>
        <w:t>◻ Avastin</w:t>
      </w:r>
      <w:r w:rsidRPr="0BA40188">
        <w:rPr>
          <w:sz w:val="20"/>
          <w:szCs w:val="20"/>
          <w:vertAlign w:val="superscript"/>
          <w:lang w:val="fr-FR"/>
        </w:rPr>
        <w:t>®</w:t>
      </w:r>
      <w:r>
        <w:tab/>
      </w:r>
      <w:r w:rsidRPr="0BA40188">
        <w:rPr>
          <w:sz w:val="20"/>
          <w:szCs w:val="20"/>
          <w:lang w:val="fr-FR"/>
        </w:rPr>
        <w:t>◻ Aybintio</w:t>
      </w:r>
      <w:r w:rsidRPr="0BA40188">
        <w:rPr>
          <w:sz w:val="20"/>
          <w:szCs w:val="20"/>
          <w:vertAlign w:val="superscript"/>
          <w:lang w:val="fr-FR"/>
        </w:rPr>
        <w:t>®</w:t>
      </w:r>
      <w:r>
        <w:tab/>
      </w:r>
      <w:r w:rsidRPr="0BA40188">
        <w:rPr>
          <w:sz w:val="20"/>
          <w:szCs w:val="20"/>
          <w:lang w:val="fr-FR"/>
        </w:rPr>
        <w:t>◻ Mvasi</w:t>
      </w:r>
      <w:r w:rsidRPr="0BA40188">
        <w:rPr>
          <w:sz w:val="20"/>
          <w:szCs w:val="20"/>
          <w:vertAlign w:val="superscript"/>
          <w:lang w:val="fr-FR"/>
        </w:rPr>
        <w:t>®</w:t>
      </w:r>
      <w:r>
        <w:tab/>
      </w:r>
      <w:r>
        <w:tab/>
      </w:r>
      <w:r w:rsidRPr="0BA40188">
        <w:rPr>
          <w:sz w:val="20"/>
          <w:szCs w:val="20"/>
          <w:lang w:val="fr-FR"/>
        </w:rPr>
        <w:t>◻ Abevmy</w:t>
      </w:r>
      <w:r w:rsidRPr="0BA40188">
        <w:rPr>
          <w:sz w:val="20"/>
          <w:szCs w:val="20"/>
          <w:vertAlign w:val="superscript"/>
          <w:lang w:val="fr-FR"/>
        </w:rPr>
        <w:t>®</w:t>
      </w:r>
    </w:p>
    <w:p w14:paraId="1C12B80D" w14:textId="77777777" w:rsidR="00A75BD0" w:rsidRDefault="009D4DA5" w:rsidP="0BA40188">
      <w:pPr>
        <w:tabs>
          <w:tab w:val="left" w:pos="2280"/>
          <w:tab w:val="left" w:pos="3544"/>
        </w:tabs>
        <w:spacing w:before="120"/>
        <w:ind w:right="306"/>
        <w:rPr>
          <w:sz w:val="20"/>
          <w:szCs w:val="20"/>
          <w:lang w:val="fr-FR"/>
        </w:rPr>
      </w:pPr>
      <w:r>
        <w:rPr>
          <w:sz w:val="20"/>
          <w:szCs w:val="20"/>
        </w:rPr>
        <w:tab/>
      </w:r>
      <w:r w:rsidRPr="0BA40188">
        <w:rPr>
          <w:sz w:val="20"/>
          <w:szCs w:val="20"/>
          <w:lang w:val="fr-FR"/>
        </w:rPr>
        <w:t>◻ Vegzelma</w:t>
      </w:r>
      <w:r w:rsidRPr="0BA40188">
        <w:rPr>
          <w:sz w:val="20"/>
          <w:szCs w:val="20"/>
          <w:vertAlign w:val="superscript"/>
          <w:lang w:val="fr-FR"/>
        </w:rPr>
        <w:t>®</w:t>
      </w:r>
      <w:r>
        <w:rPr>
          <w:sz w:val="20"/>
          <w:szCs w:val="20"/>
        </w:rPr>
        <w:tab/>
      </w:r>
      <w:r w:rsidRPr="0BA40188">
        <w:rPr>
          <w:sz w:val="20"/>
          <w:szCs w:val="20"/>
          <w:lang w:val="fr-FR"/>
        </w:rPr>
        <w:t>◻ Zirabev</w:t>
      </w:r>
      <w:r w:rsidRPr="0BA40188">
        <w:rPr>
          <w:sz w:val="20"/>
          <w:szCs w:val="20"/>
          <w:vertAlign w:val="superscript"/>
          <w:lang w:val="fr-FR"/>
        </w:rPr>
        <w:t>®</w:t>
      </w:r>
      <w:r>
        <w:rPr>
          <w:sz w:val="20"/>
          <w:szCs w:val="20"/>
        </w:rPr>
        <w:tab/>
      </w:r>
      <w:r w:rsidRPr="0BA40188">
        <w:rPr>
          <w:sz w:val="20"/>
          <w:szCs w:val="20"/>
          <w:lang w:val="fr-FR"/>
        </w:rPr>
        <w:t>◻ Autre : _________</w:t>
      </w:r>
    </w:p>
    <w:p w14:paraId="152B8458" w14:textId="77777777" w:rsidR="00A75BD0" w:rsidRDefault="009D4DA5">
      <w:pPr>
        <w:numPr>
          <w:ilvl w:val="0"/>
          <w:numId w:val="1"/>
        </w:numPr>
        <w:pBdr>
          <w:top w:val="nil"/>
          <w:left w:val="nil"/>
          <w:bottom w:val="single" w:sz="4" w:space="1" w:color="000000"/>
          <w:right w:val="nil"/>
          <w:between w:val="nil"/>
        </w:pBdr>
        <w:shd w:val="clear" w:color="auto" w:fill="F7CBAC"/>
        <w:spacing w:after="120"/>
        <w:ind w:left="425" w:hanging="357"/>
        <w:rPr>
          <w:color w:val="002060"/>
        </w:rPr>
      </w:pPr>
      <w:r>
        <w:rPr>
          <w:color w:val="002060"/>
        </w:rPr>
        <w:t>TOLERANCE DU BEVACIZUMAB ET POURSUITE DU TRAITEMENT</w:t>
      </w:r>
    </w:p>
    <w:p w14:paraId="4180F198" w14:textId="5C345E5C" w:rsidR="00A75BD0" w:rsidRDefault="009D4DA5" w:rsidP="00795ACF">
      <w:pPr>
        <w:tabs>
          <w:tab w:val="left" w:pos="8409"/>
        </w:tabs>
        <w:spacing w:before="120" w:after="120" w:line="276" w:lineRule="auto"/>
        <w:ind w:right="-567"/>
        <w:rPr>
          <w:b/>
          <w:sz w:val="20"/>
          <w:szCs w:val="20"/>
        </w:rPr>
      </w:pPr>
      <w:r>
        <w:rPr>
          <w:sz w:val="20"/>
          <w:szCs w:val="20"/>
        </w:rPr>
        <w:t xml:space="preserve"> Le patient a-t-il présenté un effet indésirable ou une grossesse ?</w:t>
      </w:r>
      <w:r w:rsidR="00795ACF">
        <w:rPr>
          <w:sz w:val="20"/>
          <w:szCs w:val="20"/>
        </w:rPr>
        <w:tab/>
      </w:r>
    </w:p>
    <w:p w14:paraId="0AC134F4" w14:textId="77777777" w:rsidR="00A75BD0" w:rsidRDefault="009D4DA5" w:rsidP="0BA40188">
      <w:pPr>
        <w:tabs>
          <w:tab w:val="left" w:pos="1134"/>
        </w:tabs>
        <w:spacing w:after="60" w:line="276" w:lineRule="auto"/>
        <w:ind w:right="-567"/>
        <w:rPr>
          <w:sz w:val="20"/>
          <w:szCs w:val="20"/>
          <w:lang w:val="fr-FR"/>
        </w:rPr>
      </w:pPr>
      <w:r w:rsidRPr="0BA40188">
        <w:rPr>
          <w:sz w:val="20"/>
          <w:szCs w:val="20"/>
          <w:lang w:val="fr-FR"/>
        </w:rPr>
        <w:t xml:space="preserve">   ◻ NON   </w:t>
      </w:r>
      <w:r>
        <w:tab/>
      </w:r>
      <w:r w:rsidRPr="0BA40188">
        <w:rPr>
          <w:sz w:val="20"/>
          <w:szCs w:val="20"/>
          <w:lang w:val="fr-FR"/>
        </w:rPr>
        <w:t>◻ OUI, déclarer l’effet indésirable (cf modalités en Annexe 5</w:t>
      </w:r>
      <w:r w:rsidRPr="0BA40188">
        <w:rPr>
          <w:lang w:val="fr-FR"/>
        </w:rPr>
        <w:t xml:space="preserve">     </w:t>
      </w:r>
      <w:r>
        <w:tab/>
      </w:r>
    </w:p>
    <w:p w14:paraId="31193B39" w14:textId="77777777" w:rsidR="00A75BD0" w:rsidRDefault="009D4DA5" w:rsidP="0BA40188">
      <w:pPr>
        <w:tabs>
          <w:tab w:val="left" w:pos="6019"/>
        </w:tabs>
        <w:spacing w:after="60" w:line="276" w:lineRule="auto"/>
        <w:ind w:left="1134" w:right="-567"/>
        <w:rPr>
          <w:color w:val="FF0000"/>
          <w:lang w:val="fr-FR"/>
        </w:rPr>
      </w:pPr>
      <w:r w:rsidRPr="0BA40188">
        <w:rPr>
          <w:color w:val="FF0000"/>
          <w:lang w:val="fr-FR"/>
        </w:rPr>
        <w:t xml:space="preserve">SI ARRET DU TRAITEMENT PAR BEVACIZUMAB: </w:t>
      </w:r>
    </w:p>
    <w:p w14:paraId="3001D798" w14:textId="77777777" w:rsidR="00A75BD0" w:rsidRDefault="009D4DA5">
      <w:pPr>
        <w:tabs>
          <w:tab w:val="left" w:pos="1134"/>
          <w:tab w:val="left" w:pos="4678"/>
        </w:tabs>
        <w:spacing w:after="60" w:line="276" w:lineRule="auto"/>
        <w:ind w:right="-567"/>
        <w:rPr>
          <w:rFonts w:ascii="Arial Narrow" w:eastAsia="Arial Narrow" w:hAnsi="Arial Narrow" w:cs="Arial Narrow"/>
          <w:b/>
          <w:sz w:val="28"/>
          <w:szCs w:val="28"/>
        </w:rPr>
        <w:sectPr w:rsidR="00A75BD0">
          <w:pgSz w:w="11920" w:h="16840"/>
          <w:pgMar w:top="720" w:right="720" w:bottom="720" w:left="720" w:header="720" w:footer="720" w:gutter="0"/>
          <w:cols w:space="720"/>
        </w:sectPr>
      </w:pPr>
      <w:r>
        <w:rPr>
          <w:b/>
          <w:sz w:val="20"/>
          <w:szCs w:val="20"/>
          <w:u w:val="single"/>
        </w:rPr>
        <w:t>Raison arrêt</w:t>
      </w:r>
      <w:r>
        <w:rPr>
          <w:sz w:val="20"/>
          <w:szCs w:val="20"/>
        </w:rPr>
        <w:t xml:space="preserve"> : ◻ Amélioration clinique        ◻ Choix du patient        ◻ Inefficacité         ◻ Décès       ◻ Perdu de vue       ◻ Grossesse  </w:t>
      </w:r>
    </w:p>
    <w:p w14:paraId="51B8AC8C" w14:textId="77777777" w:rsidR="00A75BD0" w:rsidRDefault="009D4DA5">
      <w:pPr>
        <w:pStyle w:val="Titre2"/>
        <w:rPr>
          <w:rFonts w:ascii="Arial Narrow" w:eastAsia="Arial Narrow" w:hAnsi="Arial Narrow" w:cs="Arial Narrow"/>
          <w:b/>
          <w:sz w:val="28"/>
          <w:szCs w:val="28"/>
        </w:rPr>
      </w:pPr>
      <w:bookmarkStart w:id="10" w:name="_heading=h.17dp8vu" w:colFirst="0" w:colLast="0"/>
      <w:bookmarkEnd w:id="10"/>
      <w:r>
        <w:rPr>
          <w:rFonts w:ascii="Arial Narrow" w:eastAsia="Arial Narrow" w:hAnsi="Arial Narrow" w:cs="Arial Narrow"/>
          <w:b/>
          <w:sz w:val="28"/>
          <w:szCs w:val="28"/>
        </w:rPr>
        <w:t>ANNEXE 2 : Argumentaire et Références bibliographiques</w:t>
      </w:r>
    </w:p>
    <w:p w14:paraId="34C057E4" w14:textId="77777777" w:rsidR="00A75BD0" w:rsidRDefault="00A75BD0">
      <w:pPr>
        <w:ind w:right="260"/>
        <w:jc w:val="center"/>
        <w:rPr>
          <w:rFonts w:ascii="Arial" w:eastAsia="Arial" w:hAnsi="Arial" w:cs="Arial"/>
          <w:sz w:val="21"/>
          <w:szCs w:val="21"/>
        </w:rPr>
      </w:pPr>
    </w:p>
    <w:p w14:paraId="51F8A848"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La maladie de Rendu-Osler ou Télangiectasie Hémorragique Héréditaire (THH) concerne un individu sur 5000 à 8000 en France (Source Orphanet). Elle est caractérisée par l’existence d’épistaxis récidivantes, de télangiectasies cutanéomuqueuses et de malformations artérioveineuses (MAV) pulmonaires, hépatiques, neurologiques, digestives.</w:t>
      </w:r>
    </w:p>
    <w:p w14:paraId="4B5CC5EC" w14:textId="77777777" w:rsidR="00A75BD0" w:rsidRDefault="00A75BD0">
      <w:pPr>
        <w:ind w:left="-240"/>
        <w:jc w:val="both"/>
        <w:rPr>
          <w:rFonts w:ascii="Arial" w:eastAsia="Arial" w:hAnsi="Arial" w:cs="Arial"/>
          <w:sz w:val="20"/>
          <w:szCs w:val="20"/>
        </w:rPr>
      </w:pPr>
    </w:p>
    <w:p w14:paraId="4121BA90"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C’est une maladie rare de transmission autosomique dominante. Il existe différentes formes selon les mutations impliquées. Trois gènes sont associés à la maladie de Rendu-Osler : ENG codant pour l’endogline, ACVRL1 codant pour le récepteur de type 1 ALK1 et MAHD4 codant pour le facteur de transcription Smad4. Chacun de ces 3 gènes code pour des protéines impliquées dans les voies de signalisation de la superfamille du TGF.</w:t>
      </w:r>
    </w:p>
    <w:p w14:paraId="45FEF942" w14:textId="77777777" w:rsidR="00A75BD0" w:rsidRDefault="00A75BD0">
      <w:pPr>
        <w:ind w:left="-240"/>
        <w:jc w:val="both"/>
        <w:rPr>
          <w:rFonts w:ascii="Arial" w:eastAsia="Arial" w:hAnsi="Arial" w:cs="Arial"/>
          <w:sz w:val="20"/>
          <w:szCs w:val="20"/>
        </w:rPr>
      </w:pPr>
    </w:p>
    <w:p w14:paraId="61AD35BC"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 xml:space="preserve">Le traitement dépend des manifestations cliniques et repose actuellement sur le dépistage des malformations artério-veineuses viscérales et des mesures symptomatiques. La prise en charge comporte celle de l'anémie, la prévention et le traitement des épistaxis. La prise en charge des MAV est basée sur la radiologie interventionnelle. En cas de maladie hépatique associée à des complications cardiaques, une transplantation hépatique peut être nécessaire dans certains cas sévères. </w:t>
      </w:r>
    </w:p>
    <w:p w14:paraId="4CF3688E" w14:textId="77777777" w:rsidR="00A75BD0" w:rsidRDefault="00A75BD0">
      <w:pPr>
        <w:keepNext/>
        <w:ind w:right="306"/>
        <w:rPr>
          <w:rFonts w:ascii="Arial" w:eastAsia="Arial" w:hAnsi="Arial" w:cs="Arial"/>
          <w:b/>
          <w:strike/>
          <w:sz w:val="20"/>
          <w:szCs w:val="20"/>
        </w:rPr>
      </w:pPr>
    </w:p>
    <w:p w14:paraId="30FEE1B5" w14:textId="77777777" w:rsidR="00A75BD0" w:rsidRDefault="009D4DA5" w:rsidP="0BA40188">
      <w:pPr>
        <w:keepNext/>
        <w:ind w:left="-284" w:right="306"/>
        <w:rPr>
          <w:rFonts w:ascii="Arial" w:eastAsia="Arial" w:hAnsi="Arial" w:cs="Arial"/>
          <w:b/>
          <w:bCs/>
          <w:sz w:val="20"/>
          <w:szCs w:val="20"/>
          <w:lang w:val="fr-FR"/>
        </w:rPr>
      </w:pPr>
      <w:r w:rsidRPr="0BA40188">
        <w:rPr>
          <w:rFonts w:ascii="Arial" w:eastAsia="Arial" w:hAnsi="Arial" w:cs="Arial"/>
          <w:b/>
          <w:bCs/>
          <w:sz w:val="20"/>
          <w:szCs w:val="20"/>
          <w:lang w:val="fr-FR"/>
        </w:rPr>
        <w:t>Rationnel de l'utilisation de bevacizumab dans la Maladie de Rendu-Osler</w:t>
      </w:r>
    </w:p>
    <w:p w14:paraId="3D25B997" w14:textId="77777777" w:rsidR="00A75BD0" w:rsidRDefault="00A75BD0">
      <w:pPr>
        <w:keepNext/>
        <w:ind w:right="306"/>
        <w:rPr>
          <w:rFonts w:ascii="Arial" w:eastAsia="Arial" w:hAnsi="Arial" w:cs="Arial"/>
          <w:sz w:val="20"/>
          <w:szCs w:val="20"/>
        </w:rPr>
      </w:pPr>
    </w:p>
    <w:p w14:paraId="6B4DB1B7" w14:textId="77777777" w:rsidR="00A75BD0" w:rsidRDefault="009D4DA5" w:rsidP="0BA40188">
      <w:pPr>
        <w:ind w:left="-240"/>
        <w:jc w:val="both"/>
        <w:rPr>
          <w:rFonts w:ascii="Arial" w:eastAsia="Arial" w:hAnsi="Arial" w:cs="Arial"/>
          <w:strike/>
          <w:sz w:val="20"/>
          <w:szCs w:val="20"/>
          <w:lang w:val="fr-FR"/>
        </w:rPr>
      </w:pPr>
      <w:r w:rsidRPr="0BA40188">
        <w:rPr>
          <w:rFonts w:ascii="Arial" w:eastAsia="Arial" w:hAnsi="Arial" w:cs="Arial"/>
          <w:sz w:val="20"/>
          <w:szCs w:val="20"/>
          <w:lang w:val="fr-FR"/>
        </w:rPr>
        <w:t>Les gènes impliqués dans la maladie de Rendu-Osler ont un rôle important dans la balance angiogénique. Une hypothèse physiopathologique de la maladie est qu’il existe un dérèglement de la balance angiogénique associé à sa néoactivation.</w:t>
      </w:r>
      <w:r w:rsidRPr="0BA40188">
        <w:rPr>
          <w:lang w:val="fr-FR"/>
        </w:rPr>
        <w:t xml:space="preserve"> </w:t>
      </w:r>
      <w:r w:rsidRPr="0BA40188">
        <w:rPr>
          <w:rFonts w:ascii="Arial" w:eastAsia="Arial" w:hAnsi="Arial" w:cs="Arial"/>
          <w:sz w:val="20"/>
          <w:szCs w:val="20"/>
          <w:lang w:val="fr-FR"/>
        </w:rPr>
        <w:t>Ainsi les concentrations de TGF-beta et de VEGF circulant sont significativement augmentées. La dérégulation de ces facteurs angiogéniques clés amène à une prolifération anormale des cellules endothéliales. L’utilisation d’anticorps anti-VEGF pourrait donc permettre d’inhiber cette activation de l’angiogenèse et de retourner à un état quiescent.</w:t>
      </w:r>
      <w:r w:rsidRPr="0BA40188">
        <w:rPr>
          <w:rFonts w:ascii="Arial" w:eastAsia="Arial" w:hAnsi="Arial" w:cs="Arial"/>
          <w:strike/>
          <w:sz w:val="20"/>
          <w:szCs w:val="20"/>
          <w:lang w:val="fr-FR"/>
        </w:rPr>
        <w:t xml:space="preserve">  </w:t>
      </w:r>
    </w:p>
    <w:p w14:paraId="1EA7ADD9" w14:textId="77777777" w:rsidR="00A75BD0" w:rsidRDefault="00A75BD0">
      <w:pPr>
        <w:ind w:left="-240"/>
        <w:jc w:val="both"/>
        <w:rPr>
          <w:rFonts w:ascii="Arial" w:eastAsia="Arial" w:hAnsi="Arial" w:cs="Arial"/>
          <w:strike/>
          <w:sz w:val="20"/>
          <w:szCs w:val="20"/>
        </w:rPr>
      </w:pPr>
    </w:p>
    <w:p w14:paraId="21C514C2"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De rares données cliniques sur l’utilisation de bevacizumab en intra-veineux dans la maladie de Rendu-Osler viennent appuyer cette hypothèse. En effet, la bibliographie disponible à ce jour comporte 2 études de phase II et III et une trentaine de cas cliniques chez des patients présentant une atteinte hépatique ou des hémorragies nécessitant des transfusions itératives.</w:t>
      </w:r>
    </w:p>
    <w:p w14:paraId="20BA0F6D" w14:textId="77777777" w:rsidR="00A75BD0" w:rsidRDefault="00A75BD0">
      <w:pPr>
        <w:ind w:left="-240"/>
        <w:jc w:val="both"/>
        <w:rPr>
          <w:rFonts w:ascii="Arial" w:eastAsia="Arial" w:hAnsi="Arial" w:cs="Arial"/>
          <w:sz w:val="20"/>
          <w:szCs w:val="20"/>
        </w:rPr>
      </w:pPr>
    </w:p>
    <w:p w14:paraId="1CEE7DE0"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L’étude de phase II est une étude prospective ouverte non comparative évaluant l’efficacité et la tolérance d’Avastin administré par voie IV chez 25 patients porteurs d’une maladie de Rendu Osler avec atteinte hépatique et hyperdébit cardiaque. La dose d’Avastin était de 5 mg/kg tous les 14 jours avec un total de 6 injections. Les résultats publiés dans le JAMA</w:t>
      </w:r>
      <w:r w:rsidRPr="0BA40188">
        <w:rPr>
          <w:rFonts w:ascii="Arial" w:eastAsia="Arial" w:hAnsi="Arial" w:cs="Arial"/>
          <w:sz w:val="20"/>
          <w:szCs w:val="20"/>
          <w:vertAlign w:val="superscript"/>
          <w:lang w:val="fr-FR"/>
        </w:rPr>
        <w:t>1</w:t>
      </w:r>
      <w:r w:rsidRPr="0BA40188">
        <w:rPr>
          <w:rFonts w:ascii="Arial" w:eastAsia="Arial" w:hAnsi="Arial" w:cs="Arial"/>
          <w:sz w:val="20"/>
          <w:szCs w:val="20"/>
          <w:lang w:val="fr-FR"/>
        </w:rPr>
        <w:t>, ont mis en évidence plusieurs points :</w:t>
      </w:r>
    </w:p>
    <w:p w14:paraId="045FB379" w14:textId="77777777" w:rsidR="00A75BD0" w:rsidRDefault="009D4DA5" w:rsidP="0BA40188">
      <w:pPr>
        <w:numPr>
          <w:ilvl w:val="0"/>
          <w:numId w:val="15"/>
        </w:numPr>
        <w:spacing w:after="200" w:line="276" w:lineRule="auto"/>
        <w:jc w:val="both"/>
        <w:rPr>
          <w:rFonts w:ascii="Arial" w:eastAsia="Arial" w:hAnsi="Arial" w:cs="Arial"/>
          <w:sz w:val="20"/>
          <w:szCs w:val="20"/>
          <w:lang w:val="fr-FR"/>
        </w:rPr>
      </w:pPr>
      <w:r w:rsidRPr="0BA40188">
        <w:rPr>
          <w:rFonts w:ascii="Arial" w:eastAsia="Arial" w:hAnsi="Arial" w:cs="Arial"/>
          <w:sz w:val="20"/>
          <w:szCs w:val="20"/>
          <w:lang w:val="fr-FR"/>
        </w:rPr>
        <w:t xml:space="preserve">une amélioration significative de l’index cardiaque, trois mois après le début du traitement. confirmée à six mois </w:t>
      </w:r>
    </w:p>
    <w:p w14:paraId="6674EC2A" w14:textId="77777777" w:rsidR="00A75BD0" w:rsidRDefault="009D4DA5" w:rsidP="0BA40188">
      <w:pPr>
        <w:numPr>
          <w:ilvl w:val="0"/>
          <w:numId w:val="15"/>
        </w:numPr>
        <w:spacing w:after="200" w:line="276" w:lineRule="auto"/>
        <w:jc w:val="both"/>
        <w:rPr>
          <w:rFonts w:ascii="Arial" w:eastAsia="Arial" w:hAnsi="Arial" w:cs="Arial"/>
          <w:sz w:val="20"/>
          <w:szCs w:val="20"/>
          <w:lang w:val="fr-FR"/>
        </w:rPr>
      </w:pPr>
      <w:r w:rsidRPr="0BA40188">
        <w:rPr>
          <w:rFonts w:ascii="Arial" w:eastAsia="Arial" w:hAnsi="Arial" w:cs="Arial"/>
          <w:sz w:val="20"/>
          <w:szCs w:val="20"/>
          <w:lang w:val="fr-FR"/>
        </w:rPr>
        <w:t>une diminution de la durée moyenne des épistaxis (de 221 min/mois à 43 min/mois ; p = 0,008).</w:t>
      </w:r>
    </w:p>
    <w:p w14:paraId="2E9504D7" w14:textId="77777777" w:rsidR="00A75BD0" w:rsidRDefault="009D4DA5" w:rsidP="0BA40188">
      <w:pPr>
        <w:numPr>
          <w:ilvl w:val="0"/>
          <w:numId w:val="15"/>
        </w:numPr>
        <w:spacing w:after="200" w:line="276" w:lineRule="auto"/>
        <w:jc w:val="both"/>
        <w:rPr>
          <w:rFonts w:ascii="Arial" w:eastAsia="Arial" w:hAnsi="Arial" w:cs="Arial"/>
          <w:sz w:val="20"/>
          <w:szCs w:val="20"/>
          <w:lang w:val="fr-FR"/>
        </w:rPr>
      </w:pPr>
      <w:r w:rsidRPr="0BA40188">
        <w:rPr>
          <w:rFonts w:ascii="Arial" w:eastAsia="Arial" w:hAnsi="Arial" w:cs="Arial"/>
          <w:sz w:val="20"/>
          <w:szCs w:val="20"/>
          <w:lang w:val="fr-FR"/>
        </w:rPr>
        <w:t xml:space="preserve">une amélioration du score de qualité de vie compte tenu de l’effectif de cette étude, les données sur la tolérance restent restreintes. Aucun patient n’a présenté d’épisode thromboembolique, hémorragique, de perforation gastro-intestinale ou de syndrome d’encéphalopathie postérieure réversible. Sur un total de 89 évènements indésirables (EI), il y a eu 21 EI déclarés comme reliés au bevacizumab. Un patient a présenté une hypertension artérielle (HTA) de Grade 3 contrôlée sous traitement antihypertenseur et 21 patients ont eu au moins 1 EI possiblement relié au bevacizumab ; tous les EI sont survenus pendant les 90 jours après la première injection ; les EI rapportés étaient : céphalée, nausée et vomissement, asthénie, douleur abdominale, douleur musculaire, diarrhée et rash. </w:t>
      </w:r>
    </w:p>
    <w:p w14:paraId="25E77011" w14:textId="77777777" w:rsidR="00A75BD0" w:rsidRDefault="00A75BD0">
      <w:pPr>
        <w:ind w:left="-240"/>
        <w:jc w:val="both"/>
        <w:rPr>
          <w:rFonts w:ascii="Arial" w:eastAsia="Arial" w:hAnsi="Arial" w:cs="Arial"/>
          <w:sz w:val="20"/>
          <w:szCs w:val="20"/>
        </w:rPr>
      </w:pPr>
    </w:p>
    <w:p w14:paraId="3AC30C5A"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L’étude de phase II/III est une étude prospective, multicentrique, randomisée contre placebo et réalisée en double aveugle évaluant l’efficacité du bevacizumab sur les hémorragies sévères. 24 patients ont été inclus. Les résultats publiés dans le JIM</w:t>
      </w:r>
      <w:r w:rsidRPr="0BA40188">
        <w:rPr>
          <w:rFonts w:ascii="Arial" w:eastAsia="Arial" w:hAnsi="Arial" w:cs="Arial"/>
          <w:sz w:val="20"/>
          <w:szCs w:val="20"/>
          <w:vertAlign w:val="superscript"/>
          <w:lang w:val="fr-FR"/>
        </w:rPr>
        <w:t>41</w:t>
      </w:r>
      <w:r w:rsidRPr="0BA40188">
        <w:rPr>
          <w:rFonts w:ascii="Arial" w:eastAsia="Arial" w:hAnsi="Arial" w:cs="Arial"/>
          <w:sz w:val="20"/>
          <w:szCs w:val="20"/>
          <w:lang w:val="fr-FR"/>
        </w:rPr>
        <w:t>, ont mis en évidence plusieurs points :</w:t>
      </w:r>
    </w:p>
    <w:p w14:paraId="67BD99CE" w14:textId="77777777" w:rsidR="00A75BD0" w:rsidRDefault="00A75BD0">
      <w:pPr>
        <w:ind w:left="-240"/>
        <w:jc w:val="both"/>
        <w:rPr>
          <w:rFonts w:ascii="Arial" w:eastAsia="Arial" w:hAnsi="Arial" w:cs="Arial"/>
          <w:sz w:val="20"/>
          <w:szCs w:val="20"/>
        </w:rPr>
      </w:pPr>
    </w:p>
    <w:p w14:paraId="6FC26E1E"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 xml:space="preserve">63.6% des patients du groupe bevacizumab ont été considérés en succès de traitement contre 33,3% dans le groupe placebo. </w:t>
      </w:r>
    </w:p>
    <w:p w14:paraId="11075F86"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 xml:space="preserve">22 patients ont présenté des évènements indésirables (graves et non graves). Le nombre total d'évènements indésirables (graves et non graves) est de 102 (59 dans le groupe placebo dont 29 ont été reliés au traitement et 43 dans le groupe traité dont 23 ont été reliés au traitement). Le nombre moyen d'évènements déclarés par sujet était de 4,6 (min : 1; max : 11). Parmi ces 102 évènements indésirables, 10 évènements indésirables graves (3 dans le groupe placebo et 7 dans le groupe traité) ont été rapportés chez 8 patients. </w:t>
      </w:r>
    </w:p>
    <w:p w14:paraId="62E85D70" w14:textId="77777777" w:rsidR="00A75BD0" w:rsidRDefault="009D4DA5" w:rsidP="0BA40188">
      <w:pPr>
        <w:ind w:left="-240"/>
        <w:jc w:val="both"/>
        <w:rPr>
          <w:rFonts w:ascii="Arial" w:eastAsia="Arial" w:hAnsi="Arial" w:cs="Arial"/>
          <w:sz w:val="20"/>
          <w:szCs w:val="20"/>
          <w:lang w:val="fr-FR"/>
        </w:rPr>
      </w:pPr>
      <w:r w:rsidRPr="0BA40188">
        <w:rPr>
          <w:rFonts w:ascii="Arial" w:eastAsia="Arial" w:hAnsi="Arial" w:cs="Arial"/>
          <w:sz w:val="20"/>
          <w:szCs w:val="20"/>
          <w:lang w:val="fr-FR"/>
        </w:rPr>
        <w:t xml:space="preserve">Les évènements indésirables graves qui ont été reliés au traitement sont un abcès péri-anal, une récidive de glomérulonéphrite lupique chez une patiente traitée pour un lupus érythémateux disséminé et une bactériémie à </w:t>
      </w:r>
      <w:r w:rsidRPr="0BA40188">
        <w:rPr>
          <w:rFonts w:ascii="Arial" w:eastAsia="Arial" w:hAnsi="Arial" w:cs="Arial"/>
          <w:i/>
          <w:iCs/>
          <w:sz w:val="20"/>
          <w:szCs w:val="20"/>
          <w:lang w:val="fr-FR"/>
        </w:rPr>
        <w:t>Staphylococcus epidermidis</w:t>
      </w:r>
      <w:r w:rsidRPr="0BA40188">
        <w:rPr>
          <w:rFonts w:ascii="Arial" w:eastAsia="Arial" w:hAnsi="Arial" w:cs="Arial"/>
          <w:sz w:val="20"/>
          <w:szCs w:val="20"/>
          <w:lang w:val="fr-FR"/>
        </w:rPr>
        <w:t xml:space="preserve"> et </w:t>
      </w:r>
      <w:r w:rsidRPr="0BA40188">
        <w:rPr>
          <w:rFonts w:ascii="Arial" w:eastAsia="Arial" w:hAnsi="Arial" w:cs="Arial"/>
          <w:i/>
          <w:iCs/>
          <w:sz w:val="20"/>
          <w:szCs w:val="20"/>
          <w:lang w:val="fr-FR"/>
        </w:rPr>
        <w:t>hominis</w:t>
      </w:r>
      <w:r w:rsidRPr="0BA40188">
        <w:rPr>
          <w:rFonts w:ascii="Arial" w:eastAsia="Arial" w:hAnsi="Arial" w:cs="Arial"/>
          <w:sz w:val="20"/>
          <w:szCs w:val="20"/>
          <w:lang w:val="fr-FR"/>
        </w:rPr>
        <w:t>.</w:t>
      </w:r>
    </w:p>
    <w:p w14:paraId="07556FA7" w14:textId="77777777" w:rsidR="00A75BD0" w:rsidRDefault="00A75BD0">
      <w:pPr>
        <w:ind w:right="306"/>
        <w:rPr>
          <w:rFonts w:ascii="Arial" w:eastAsia="Arial" w:hAnsi="Arial" w:cs="Arial"/>
          <w:b/>
          <w:sz w:val="20"/>
          <w:szCs w:val="20"/>
        </w:rPr>
      </w:pPr>
    </w:p>
    <w:p w14:paraId="73A90499" w14:textId="77777777" w:rsidR="00A75BD0" w:rsidRDefault="00A75BD0">
      <w:pPr>
        <w:ind w:right="306"/>
        <w:rPr>
          <w:rFonts w:ascii="Arial" w:eastAsia="Arial" w:hAnsi="Arial" w:cs="Arial"/>
          <w:b/>
          <w:sz w:val="20"/>
          <w:szCs w:val="20"/>
        </w:rPr>
      </w:pPr>
    </w:p>
    <w:p w14:paraId="362264DB" w14:textId="77777777" w:rsidR="00A75BD0" w:rsidRDefault="00A75BD0">
      <w:pPr>
        <w:ind w:right="306"/>
        <w:rPr>
          <w:rFonts w:ascii="Arial" w:eastAsia="Arial" w:hAnsi="Arial" w:cs="Arial"/>
          <w:b/>
          <w:sz w:val="20"/>
          <w:szCs w:val="20"/>
        </w:rPr>
      </w:pPr>
    </w:p>
    <w:p w14:paraId="60840863" w14:textId="77777777" w:rsidR="00A75BD0" w:rsidRDefault="00A75BD0">
      <w:pPr>
        <w:ind w:right="306"/>
        <w:rPr>
          <w:rFonts w:ascii="Arial" w:eastAsia="Arial" w:hAnsi="Arial" w:cs="Arial"/>
          <w:b/>
          <w:sz w:val="20"/>
          <w:szCs w:val="20"/>
        </w:rPr>
      </w:pPr>
    </w:p>
    <w:p w14:paraId="4442AE35" w14:textId="77777777" w:rsidR="00A75BD0" w:rsidRDefault="00A75BD0">
      <w:pPr>
        <w:ind w:right="306"/>
        <w:rPr>
          <w:rFonts w:ascii="Arial" w:eastAsia="Arial" w:hAnsi="Arial" w:cs="Arial"/>
          <w:b/>
          <w:sz w:val="20"/>
          <w:szCs w:val="20"/>
        </w:rPr>
      </w:pPr>
    </w:p>
    <w:p w14:paraId="4D2204D7" w14:textId="77777777" w:rsidR="00A75BD0" w:rsidRDefault="00A75BD0">
      <w:pPr>
        <w:ind w:right="306"/>
        <w:rPr>
          <w:rFonts w:ascii="Arial" w:eastAsia="Arial" w:hAnsi="Arial" w:cs="Arial"/>
          <w:b/>
          <w:sz w:val="20"/>
          <w:szCs w:val="20"/>
        </w:rPr>
        <w:sectPr w:rsidR="00A75BD0">
          <w:pgSz w:w="11920" w:h="16840"/>
          <w:pgMar w:top="1582" w:right="1100" w:bottom="0" w:left="1678" w:header="720" w:footer="720" w:gutter="0"/>
          <w:cols w:space="720"/>
        </w:sectPr>
      </w:pPr>
    </w:p>
    <w:p w14:paraId="2D2080ED" w14:textId="77777777" w:rsidR="00A75BD0" w:rsidRDefault="009D4DA5" w:rsidP="0BA40188">
      <w:pPr>
        <w:keepLines/>
        <w:pBdr>
          <w:top w:val="nil"/>
          <w:left w:val="nil"/>
          <w:bottom w:val="nil"/>
          <w:right w:val="nil"/>
          <w:between w:val="nil"/>
        </w:pBdr>
        <w:spacing w:before="120" w:after="0" w:line="240" w:lineRule="auto"/>
        <w:ind w:right="306"/>
        <w:jc w:val="both"/>
        <w:rPr>
          <w:rFonts w:ascii="Arial" w:eastAsia="Arial" w:hAnsi="Arial" w:cs="Arial"/>
          <w:b/>
          <w:bCs/>
          <w:color w:val="000000"/>
          <w:sz w:val="20"/>
          <w:szCs w:val="20"/>
          <w:lang w:val="fr-FR"/>
        </w:rPr>
      </w:pPr>
      <w:r w:rsidRPr="0BA40188">
        <w:rPr>
          <w:rFonts w:ascii="Arial" w:eastAsia="Arial" w:hAnsi="Arial" w:cs="Arial"/>
          <w:b/>
          <w:bCs/>
          <w:color w:val="000000" w:themeColor="text1"/>
          <w:sz w:val="20"/>
          <w:szCs w:val="20"/>
          <w:lang w:val="fr-FR"/>
        </w:rPr>
        <w:t>Résumé des données publiées sur l’utilisation du bevacizumab dans la maladie de Rendu-Osler en administration IV</w:t>
      </w:r>
    </w:p>
    <w:tbl>
      <w:tblPr>
        <w:tblStyle w:val="af6"/>
        <w:tblW w:w="14933" w:type="dxa"/>
        <w:tblInd w:w="-252" w:type="dxa"/>
        <w:tblBorders>
          <w:top w:val="single" w:sz="4" w:space="0" w:color="000000"/>
          <w:left w:val="single" w:sz="4" w:space="0" w:color="000000"/>
          <w:bottom w:val="single" w:sz="2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3"/>
        <w:gridCol w:w="3685"/>
        <w:gridCol w:w="992"/>
        <w:gridCol w:w="993"/>
        <w:gridCol w:w="992"/>
        <w:gridCol w:w="567"/>
        <w:gridCol w:w="1134"/>
        <w:gridCol w:w="567"/>
        <w:gridCol w:w="4730"/>
      </w:tblGrid>
      <w:tr w:rsidR="00A75BD0" w14:paraId="30490EB5" w14:textId="77777777" w:rsidTr="0BA40188">
        <w:trPr>
          <w:trHeight w:val="340"/>
        </w:trPr>
        <w:tc>
          <w:tcPr>
            <w:tcW w:w="1273" w:type="dxa"/>
            <w:tcBorders>
              <w:bottom w:val="single" w:sz="4" w:space="0" w:color="000000" w:themeColor="text1"/>
            </w:tcBorders>
            <w:tcMar>
              <w:left w:w="28" w:type="dxa"/>
              <w:right w:w="28" w:type="dxa"/>
            </w:tcMar>
          </w:tcPr>
          <w:p w14:paraId="52FECF40" w14:textId="77777777" w:rsidR="00A75BD0" w:rsidRDefault="009D4DA5" w:rsidP="0BA40188">
            <w:pPr>
              <w:ind w:right="306"/>
              <w:rPr>
                <w:b/>
                <w:bCs/>
                <w:color w:val="005A9E"/>
                <w:sz w:val="18"/>
                <w:szCs w:val="18"/>
                <w:lang w:val="fr-FR"/>
              </w:rPr>
            </w:pPr>
            <w:r w:rsidRPr="0BA40188">
              <w:rPr>
                <w:b/>
                <w:bCs/>
                <w:color w:val="005A9E"/>
                <w:sz w:val="18"/>
                <w:szCs w:val="18"/>
                <w:lang w:val="fr-FR"/>
              </w:rPr>
              <w:t>Authors</w:t>
            </w:r>
          </w:p>
        </w:tc>
        <w:tc>
          <w:tcPr>
            <w:tcW w:w="3685" w:type="dxa"/>
            <w:tcBorders>
              <w:bottom w:val="single" w:sz="4" w:space="0" w:color="000000" w:themeColor="text1"/>
            </w:tcBorders>
            <w:tcMar>
              <w:left w:w="28" w:type="dxa"/>
              <w:right w:w="28" w:type="dxa"/>
            </w:tcMar>
          </w:tcPr>
          <w:p w14:paraId="1461AB36" w14:textId="77777777" w:rsidR="00A75BD0" w:rsidRDefault="009D4DA5" w:rsidP="0BA40188">
            <w:pPr>
              <w:ind w:right="306"/>
              <w:rPr>
                <w:b/>
                <w:bCs/>
                <w:color w:val="005A9E"/>
                <w:sz w:val="18"/>
                <w:szCs w:val="18"/>
                <w:lang w:val="fr-FR"/>
              </w:rPr>
            </w:pPr>
            <w:r w:rsidRPr="0BA40188">
              <w:rPr>
                <w:b/>
                <w:bCs/>
                <w:color w:val="005A9E"/>
                <w:sz w:val="18"/>
                <w:szCs w:val="18"/>
                <w:lang w:val="fr-FR"/>
              </w:rPr>
              <w:t>Study description</w:t>
            </w:r>
          </w:p>
        </w:tc>
        <w:tc>
          <w:tcPr>
            <w:tcW w:w="1985" w:type="dxa"/>
            <w:gridSpan w:val="2"/>
            <w:tcBorders>
              <w:bottom w:val="single" w:sz="4" w:space="0" w:color="000000" w:themeColor="text1"/>
            </w:tcBorders>
            <w:tcMar>
              <w:left w:w="28" w:type="dxa"/>
              <w:right w:w="28" w:type="dxa"/>
            </w:tcMar>
          </w:tcPr>
          <w:p w14:paraId="01F1EBBF" w14:textId="77777777" w:rsidR="00A75BD0" w:rsidRDefault="009D4DA5">
            <w:pPr>
              <w:ind w:right="114"/>
              <w:rPr>
                <w:b/>
                <w:color w:val="005A9E"/>
                <w:sz w:val="18"/>
                <w:szCs w:val="18"/>
              </w:rPr>
            </w:pPr>
            <w:r>
              <w:rPr>
                <w:b/>
                <w:color w:val="005A9E"/>
                <w:sz w:val="18"/>
                <w:szCs w:val="18"/>
              </w:rPr>
              <w:t>Dosage</w:t>
            </w:r>
          </w:p>
        </w:tc>
        <w:tc>
          <w:tcPr>
            <w:tcW w:w="992" w:type="dxa"/>
            <w:tcBorders>
              <w:bottom w:val="single" w:sz="4" w:space="0" w:color="000000" w:themeColor="text1"/>
            </w:tcBorders>
            <w:tcMar>
              <w:left w:w="28" w:type="dxa"/>
              <w:right w:w="28" w:type="dxa"/>
            </w:tcMar>
          </w:tcPr>
          <w:p w14:paraId="38EDA98C" w14:textId="77777777" w:rsidR="00A75BD0" w:rsidRDefault="009D4DA5" w:rsidP="0BA40188">
            <w:pPr>
              <w:rPr>
                <w:b/>
                <w:bCs/>
                <w:color w:val="005A9E"/>
                <w:sz w:val="18"/>
                <w:szCs w:val="18"/>
                <w:lang w:val="fr-FR"/>
              </w:rPr>
            </w:pPr>
            <w:r w:rsidRPr="0BA40188">
              <w:rPr>
                <w:b/>
                <w:bCs/>
                <w:color w:val="005A9E"/>
                <w:sz w:val="18"/>
                <w:szCs w:val="18"/>
                <w:lang w:val="fr-FR"/>
              </w:rPr>
              <w:t>Follow-up (months)</w:t>
            </w:r>
          </w:p>
        </w:tc>
        <w:tc>
          <w:tcPr>
            <w:tcW w:w="2268" w:type="dxa"/>
            <w:gridSpan w:val="3"/>
            <w:tcBorders>
              <w:bottom w:val="single" w:sz="4" w:space="0" w:color="000000" w:themeColor="text1"/>
            </w:tcBorders>
            <w:tcMar>
              <w:left w:w="0" w:type="dxa"/>
              <w:right w:w="0" w:type="dxa"/>
            </w:tcMar>
          </w:tcPr>
          <w:p w14:paraId="108E2B51" w14:textId="77777777" w:rsidR="00A75BD0" w:rsidRDefault="009D4DA5" w:rsidP="0BA40188">
            <w:pPr>
              <w:rPr>
                <w:b/>
                <w:bCs/>
                <w:color w:val="005A9E"/>
                <w:sz w:val="18"/>
                <w:szCs w:val="18"/>
                <w:lang w:val="fr-FR"/>
              </w:rPr>
            </w:pPr>
            <w:r w:rsidRPr="0BA40188">
              <w:rPr>
                <w:b/>
                <w:bCs/>
                <w:color w:val="005A9E"/>
                <w:sz w:val="18"/>
                <w:szCs w:val="18"/>
                <w:lang w:val="fr-FR"/>
              </w:rPr>
              <w:t>Evaluation criteria</w:t>
            </w:r>
          </w:p>
        </w:tc>
        <w:tc>
          <w:tcPr>
            <w:tcW w:w="4730" w:type="dxa"/>
            <w:tcBorders>
              <w:bottom w:val="single" w:sz="4" w:space="0" w:color="000000" w:themeColor="text1"/>
            </w:tcBorders>
            <w:tcMar>
              <w:left w:w="28" w:type="dxa"/>
              <w:right w:w="28" w:type="dxa"/>
            </w:tcMar>
          </w:tcPr>
          <w:p w14:paraId="39208989" w14:textId="77777777" w:rsidR="00A75BD0" w:rsidRDefault="009D4DA5" w:rsidP="0BA40188">
            <w:pPr>
              <w:ind w:right="166"/>
              <w:jc w:val="both"/>
              <w:rPr>
                <w:b/>
                <w:bCs/>
                <w:color w:val="005A9E"/>
                <w:sz w:val="18"/>
                <w:szCs w:val="18"/>
                <w:lang w:val="fr-FR"/>
              </w:rPr>
            </w:pPr>
            <w:r w:rsidRPr="0BA40188">
              <w:rPr>
                <w:b/>
                <w:bCs/>
                <w:color w:val="005A9E"/>
                <w:sz w:val="18"/>
                <w:szCs w:val="18"/>
                <w:lang w:val="fr-FR"/>
              </w:rPr>
              <w:t>results</w:t>
            </w:r>
          </w:p>
        </w:tc>
      </w:tr>
      <w:tr w:rsidR="00A75BD0" w14:paraId="316B163D" w14:textId="77777777" w:rsidTr="0BA40188">
        <w:trPr>
          <w:trHeight w:val="433"/>
        </w:trPr>
        <w:tc>
          <w:tcPr>
            <w:tcW w:w="14933" w:type="dxa"/>
            <w:gridSpan w:val="9"/>
            <w:tcBorders>
              <w:bottom w:val="single" w:sz="4" w:space="0" w:color="000000" w:themeColor="text1"/>
            </w:tcBorders>
            <w:shd w:val="clear" w:color="auto" w:fill="FFFF00"/>
            <w:tcMar>
              <w:left w:w="28" w:type="dxa"/>
              <w:right w:w="28" w:type="dxa"/>
            </w:tcMar>
          </w:tcPr>
          <w:p w14:paraId="7DC60998" w14:textId="77777777" w:rsidR="00A75BD0" w:rsidRDefault="009D4DA5" w:rsidP="0BA40188">
            <w:pPr>
              <w:ind w:right="114"/>
              <w:jc w:val="both"/>
              <w:rPr>
                <w:b/>
                <w:bCs/>
                <w:color w:val="005A9E"/>
                <w:sz w:val="18"/>
                <w:szCs w:val="18"/>
                <w:lang w:val="fr-FR"/>
              </w:rPr>
            </w:pPr>
            <w:r w:rsidRPr="0BA40188">
              <w:rPr>
                <w:b/>
                <w:bCs/>
                <w:color w:val="005A9E"/>
                <w:sz w:val="18"/>
                <w:szCs w:val="18"/>
                <w:lang w:val="fr-FR"/>
              </w:rPr>
              <w:t>Propective Studies</w:t>
            </w:r>
          </w:p>
        </w:tc>
      </w:tr>
      <w:tr w:rsidR="00A75BD0" w:rsidRPr="007428DF" w14:paraId="0082368F" w14:textId="77777777" w:rsidTr="0BA40188">
        <w:trPr>
          <w:trHeight w:val="1587"/>
        </w:trPr>
        <w:tc>
          <w:tcPr>
            <w:tcW w:w="1273" w:type="dxa"/>
            <w:tcBorders>
              <w:bottom w:val="single" w:sz="4" w:space="0" w:color="000000" w:themeColor="text1"/>
            </w:tcBorders>
            <w:tcMar>
              <w:left w:w="28" w:type="dxa"/>
              <w:right w:w="28" w:type="dxa"/>
            </w:tcMar>
          </w:tcPr>
          <w:p w14:paraId="7440EC1D" w14:textId="77777777" w:rsidR="00A75BD0" w:rsidRDefault="008853BF">
            <w:pPr>
              <w:ind w:right="306"/>
              <w:rPr>
                <w:color w:val="0563C1"/>
                <w:sz w:val="18"/>
                <w:szCs w:val="18"/>
                <w:u w:val="single"/>
              </w:rPr>
            </w:pPr>
            <w:hyperlink r:id="rId21">
              <w:r w:rsidR="009D4DA5">
                <w:rPr>
                  <w:color w:val="0563C1"/>
                  <w:sz w:val="18"/>
                  <w:szCs w:val="18"/>
                  <w:u w:val="single"/>
                </w:rPr>
                <w:t>Dupuis-Girod, 2012</w:t>
              </w:r>
            </w:hyperlink>
            <w:r w:rsidR="009D4DA5">
              <w:rPr>
                <w:color w:val="0563C1"/>
                <w:sz w:val="18"/>
                <w:szCs w:val="18"/>
                <w:u w:val="single"/>
              </w:rPr>
              <w:t xml:space="preserve"> </w:t>
            </w:r>
          </w:p>
          <w:p w14:paraId="79AEF916" w14:textId="77777777" w:rsidR="00A75BD0" w:rsidRDefault="009D4DA5">
            <w:pPr>
              <w:ind w:right="306"/>
              <w:rPr>
                <w:color w:val="005A9E"/>
                <w:sz w:val="18"/>
                <w:szCs w:val="18"/>
              </w:rPr>
            </w:pPr>
            <w:r>
              <w:rPr>
                <w:color w:val="005A9E"/>
                <w:sz w:val="18"/>
                <w:szCs w:val="18"/>
              </w:rPr>
              <w:t>NCT00843440</w:t>
            </w:r>
          </w:p>
        </w:tc>
        <w:tc>
          <w:tcPr>
            <w:tcW w:w="3685" w:type="dxa"/>
            <w:tcBorders>
              <w:bottom w:val="single" w:sz="4" w:space="0" w:color="000000" w:themeColor="text1"/>
            </w:tcBorders>
            <w:tcMar>
              <w:left w:w="28" w:type="dxa"/>
              <w:right w:w="28" w:type="dxa"/>
            </w:tcMar>
          </w:tcPr>
          <w:p w14:paraId="4896B834" w14:textId="77777777" w:rsidR="00A75BD0" w:rsidRPr="002F6A24" w:rsidRDefault="009D4DA5">
            <w:pPr>
              <w:rPr>
                <w:b/>
                <w:color w:val="005A9E"/>
                <w:sz w:val="18"/>
                <w:szCs w:val="18"/>
                <w:lang w:val="en-US"/>
              </w:rPr>
            </w:pPr>
            <w:r w:rsidRPr="002F6A24">
              <w:rPr>
                <w:b/>
                <w:color w:val="005A9E"/>
                <w:sz w:val="18"/>
                <w:szCs w:val="18"/>
                <w:lang w:val="en-US"/>
              </w:rPr>
              <w:t>Phase II open label</w:t>
            </w:r>
          </w:p>
          <w:p w14:paraId="59257C6E" w14:textId="77777777" w:rsidR="00A75BD0" w:rsidRPr="002F6A24" w:rsidRDefault="009D4DA5">
            <w:pPr>
              <w:rPr>
                <w:b/>
                <w:color w:val="005A9E"/>
                <w:sz w:val="18"/>
                <w:szCs w:val="18"/>
                <w:lang w:val="en-US"/>
              </w:rPr>
            </w:pPr>
            <w:r w:rsidRPr="002F6A24">
              <w:rPr>
                <w:color w:val="005A9E"/>
                <w:sz w:val="18"/>
                <w:szCs w:val="18"/>
                <w:lang w:val="en-US"/>
              </w:rPr>
              <w:t>N=25</w:t>
            </w:r>
            <w:r w:rsidRPr="002F6A24">
              <w:rPr>
                <w:color w:val="005A9E"/>
                <w:sz w:val="18"/>
                <w:szCs w:val="18"/>
                <w:lang w:val="en-US"/>
              </w:rPr>
              <w:br/>
              <w:t xml:space="preserve">-Aged 35-68 y (median 59y) </w:t>
            </w:r>
            <w:r w:rsidRPr="002F6A24">
              <w:rPr>
                <w:color w:val="005A9E"/>
                <w:sz w:val="18"/>
                <w:szCs w:val="18"/>
                <w:lang w:val="en-US"/>
              </w:rPr>
              <w:br/>
              <w:t>-High Cardiac Index (CI&gt; 3,9 L/min/m</w:t>
            </w:r>
            <w:r w:rsidRPr="002F6A24">
              <w:rPr>
                <w:color w:val="005A9E"/>
                <w:sz w:val="18"/>
                <w:szCs w:val="18"/>
                <w:vertAlign w:val="superscript"/>
                <w:lang w:val="en-US"/>
              </w:rPr>
              <w:t>2</w:t>
            </w:r>
            <w:r w:rsidRPr="002F6A24">
              <w:rPr>
                <w:color w:val="005A9E"/>
                <w:sz w:val="18"/>
                <w:szCs w:val="18"/>
                <w:lang w:val="en-US"/>
              </w:rPr>
              <w:t xml:space="preserve"> men and 3,6 L/min/m</w:t>
            </w:r>
            <w:r w:rsidRPr="002F6A24">
              <w:rPr>
                <w:color w:val="005A9E"/>
                <w:sz w:val="18"/>
                <w:szCs w:val="18"/>
                <w:vertAlign w:val="superscript"/>
                <w:lang w:val="en-US"/>
              </w:rPr>
              <w:t xml:space="preserve">2 </w:t>
            </w:r>
            <w:r w:rsidRPr="002F6A24">
              <w:rPr>
                <w:color w:val="005A9E"/>
                <w:sz w:val="18"/>
                <w:szCs w:val="18"/>
                <w:lang w:val="en-US"/>
              </w:rPr>
              <w:t>women)</w:t>
            </w:r>
          </w:p>
          <w:p w14:paraId="0E236420" w14:textId="77777777" w:rsidR="00A75BD0" w:rsidRDefault="008853BF" w:rsidP="0BA40188">
            <w:pPr>
              <w:rPr>
                <w:color w:val="005A9E"/>
                <w:sz w:val="18"/>
                <w:szCs w:val="18"/>
                <w:lang w:val="fr-FR"/>
              </w:rPr>
            </w:pPr>
            <w:sdt>
              <w:sdtPr>
                <w:tag w:val="goog_rdk_0"/>
                <w:id w:val="461829077"/>
              </w:sdtPr>
              <w:sdtEndPr/>
              <w:sdtContent>
                <w:r w:rsidR="009D4DA5" w:rsidRPr="0BA40188">
                  <w:rPr>
                    <w:rFonts w:ascii="Arial Unicode MS" w:eastAsia="Arial Unicode MS" w:hAnsi="Arial Unicode MS" w:cs="Arial Unicode MS"/>
                    <w:color w:val="005A9E"/>
                    <w:sz w:val="18"/>
                    <w:szCs w:val="18"/>
                    <w:lang w:val="fr-FR"/>
                  </w:rPr>
                  <w:t>-Dyspnea (≥ grade 2 NYHA)</w:t>
                </w:r>
              </w:sdtContent>
            </w:sdt>
          </w:p>
        </w:tc>
        <w:tc>
          <w:tcPr>
            <w:tcW w:w="1985" w:type="dxa"/>
            <w:gridSpan w:val="2"/>
            <w:tcBorders>
              <w:bottom w:val="single" w:sz="4" w:space="0" w:color="000000" w:themeColor="text1"/>
            </w:tcBorders>
            <w:tcMar>
              <w:left w:w="28" w:type="dxa"/>
              <w:right w:w="28" w:type="dxa"/>
            </w:tcMar>
          </w:tcPr>
          <w:p w14:paraId="7EC4E322" w14:textId="77777777" w:rsidR="00A75BD0" w:rsidRPr="002F6A24" w:rsidRDefault="009D4DA5">
            <w:pPr>
              <w:ind w:right="114"/>
              <w:rPr>
                <w:color w:val="005A9E"/>
                <w:sz w:val="18"/>
                <w:szCs w:val="18"/>
                <w:lang w:val="en-US"/>
              </w:rPr>
            </w:pPr>
            <w:r w:rsidRPr="002F6A24">
              <w:rPr>
                <w:color w:val="005A9E"/>
                <w:sz w:val="18"/>
                <w:szCs w:val="18"/>
                <w:lang w:val="en-US"/>
              </w:rPr>
              <w:t xml:space="preserve">5 mg/kg IV/2 weeks </w:t>
            </w:r>
          </w:p>
          <w:p w14:paraId="624A8271" w14:textId="77777777" w:rsidR="00A75BD0" w:rsidRPr="002F6A24" w:rsidRDefault="009D4DA5">
            <w:pPr>
              <w:ind w:right="114"/>
              <w:rPr>
                <w:color w:val="005A9E"/>
                <w:sz w:val="18"/>
                <w:szCs w:val="18"/>
                <w:lang w:val="en-US"/>
              </w:rPr>
            </w:pPr>
            <w:r w:rsidRPr="002F6A24">
              <w:rPr>
                <w:color w:val="005A9E"/>
                <w:sz w:val="18"/>
                <w:szCs w:val="18"/>
                <w:lang w:val="en-US"/>
              </w:rPr>
              <w:t>6 injections (2.5 months)</w:t>
            </w:r>
          </w:p>
          <w:p w14:paraId="5F7B02E3" w14:textId="77777777" w:rsidR="00A75BD0" w:rsidRPr="002F6A24" w:rsidRDefault="00A75BD0">
            <w:pPr>
              <w:ind w:right="114"/>
              <w:rPr>
                <w:color w:val="005A9E"/>
                <w:sz w:val="18"/>
                <w:szCs w:val="18"/>
                <w:lang w:val="en-US"/>
              </w:rPr>
            </w:pPr>
          </w:p>
        </w:tc>
        <w:tc>
          <w:tcPr>
            <w:tcW w:w="992" w:type="dxa"/>
            <w:tcBorders>
              <w:bottom w:val="single" w:sz="4" w:space="0" w:color="000000" w:themeColor="text1"/>
            </w:tcBorders>
            <w:tcMar>
              <w:left w:w="28" w:type="dxa"/>
              <w:right w:w="28" w:type="dxa"/>
            </w:tcMar>
          </w:tcPr>
          <w:p w14:paraId="0D2AB681" w14:textId="77777777" w:rsidR="00A75BD0" w:rsidRDefault="009D4DA5">
            <w:pPr>
              <w:rPr>
                <w:color w:val="005A9E"/>
                <w:sz w:val="18"/>
                <w:szCs w:val="18"/>
              </w:rPr>
            </w:pPr>
            <w:r>
              <w:rPr>
                <w:color w:val="005A9E"/>
                <w:sz w:val="18"/>
                <w:szCs w:val="18"/>
              </w:rPr>
              <w:t>12</w:t>
            </w:r>
          </w:p>
        </w:tc>
        <w:tc>
          <w:tcPr>
            <w:tcW w:w="2268" w:type="dxa"/>
            <w:gridSpan w:val="3"/>
            <w:tcBorders>
              <w:bottom w:val="single" w:sz="4" w:space="0" w:color="000000" w:themeColor="text1"/>
            </w:tcBorders>
            <w:tcMar>
              <w:left w:w="0" w:type="dxa"/>
              <w:right w:w="0" w:type="dxa"/>
            </w:tcMar>
          </w:tcPr>
          <w:p w14:paraId="3AA825E4" w14:textId="77777777" w:rsidR="00A75BD0" w:rsidRPr="002F6A24" w:rsidRDefault="009D4DA5">
            <w:pPr>
              <w:numPr>
                <w:ilvl w:val="0"/>
                <w:numId w:val="9"/>
              </w:numPr>
              <w:ind w:left="142" w:hanging="142"/>
              <w:rPr>
                <w:color w:val="005A9E"/>
                <w:sz w:val="18"/>
                <w:szCs w:val="18"/>
                <w:lang w:val="en-US"/>
              </w:rPr>
            </w:pPr>
            <w:r w:rsidRPr="002F6A24">
              <w:rPr>
                <w:color w:val="005A9E"/>
                <w:sz w:val="18"/>
                <w:szCs w:val="18"/>
                <w:lang w:val="en-US"/>
              </w:rPr>
              <w:t>Cardiac index at 3 months (echo cardiography)</w:t>
            </w:r>
          </w:p>
          <w:p w14:paraId="5FC26A0D" w14:textId="77777777" w:rsidR="00A75BD0" w:rsidRDefault="009D4DA5" w:rsidP="0BA40188">
            <w:pPr>
              <w:numPr>
                <w:ilvl w:val="0"/>
                <w:numId w:val="9"/>
              </w:numPr>
              <w:rPr>
                <w:color w:val="005A9E"/>
                <w:sz w:val="18"/>
                <w:szCs w:val="18"/>
                <w:lang w:val="fr-FR"/>
              </w:rPr>
            </w:pPr>
            <w:r w:rsidRPr="0BA40188">
              <w:rPr>
                <w:color w:val="005A9E"/>
                <w:sz w:val="18"/>
                <w:szCs w:val="18"/>
                <w:lang w:val="fr-FR"/>
              </w:rPr>
              <w:t>Epistaxis (Mean duration)</w:t>
            </w:r>
          </w:p>
          <w:p w14:paraId="406B66D7" w14:textId="77777777" w:rsidR="00A75BD0" w:rsidRDefault="009D4DA5" w:rsidP="0BA40188">
            <w:pPr>
              <w:numPr>
                <w:ilvl w:val="0"/>
                <w:numId w:val="9"/>
              </w:numPr>
              <w:ind w:left="142" w:hanging="142"/>
              <w:rPr>
                <w:color w:val="005A9E"/>
                <w:sz w:val="18"/>
                <w:szCs w:val="18"/>
                <w:lang w:val="fr-FR"/>
              </w:rPr>
            </w:pPr>
            <w:r w:rsidRPr="0BA40188">
              <w:rPr>
                <w:color w:val="005A9E"/>
                <w:sz w:val="18"/>
                <w:szCs w:val="18"/>
                <w:lang w:val="fr-FR"/>
              </w:rPr>
              <w:t>Hemoglobinemia and blood transfusion</w:t>
            </w:r>
          </w:p>
          <w:p w14:paraId="73551214" w14:textId="77777777" w:rsidR="00A75BD0" w:rsidRDefault="009D4DA5" w:rsidP="0BA40188">
            <w:pPr>
              <w:numPr>
                <w:ilvl w:val="0"/>
                <w:numId w:val="9"/>
              </w:numPr>
              <w:rPr>
                <w:color w:val="005A9E"/>
                <w:sz w:val="18"/>
                <w:szCs w:val="18"/>
                <w:lang w:val="fr-FR"/>
              </w:rPr>
            </w:pPr>
            <w:r w:rsidRPr="0BA40188">
              <w:rPr>
                <w:color w:val="005A9E"/>
                <w:sz w:val="18"/>
                <w:szCs w:val="18"/>
                <w:lang w:val="fr-FR"/>
              </w:rPr>
              <w:t>Quality of life (SF36)</w:t>
            </w:r>
          </w:p>
        </w:tc>
        <w:tc>
          <w:tcPr>
            <w:tcW w:w="4730" w:type="dxa"/>
            <w:tcBorders>
              <w:bottom w:val="single" w:sz="4" w:space="0" w:color="000000" w:themeColor="text1"/>
            </w:tcBorders>
            <w:tcMar>
              <w:left w:w="28" w:type="dxa"/>
              <w:right w:w="28" w:type="dxa"/>
            </w:tcMar>
          </w:tcPr>
          <w:p w14:paraId="21A39083" w14:textId="77777777" w:rsidR="00A75BD0" w:rsidRPr="002F6A24" w:rsidRDefault="009D4DA5">
            <w:pPr>
              <w:keepLines/>
              <w:numPr>
                <w:ilvl w:val="0"/>
                <w:numId w:val="17"/>
              </w:numPr>
              <w:ind w:left="176" w:right="166" w:hanging="17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mean CI (5,01 to 4,2 L/min/m</w:t>
            </w:r>
            <w:r w:rsidRPr="002F6A24">
              <w:rPr>
                <w:color w:val="005A9E"/>
                <w:sz w:val="18"/>
                <w:szCs w:val="18"/>
                <w:vertAlign w:val="superscript"/>
                <w:lang w:val="en-US"/>
              </w:rPr>
              <w:t>2</w:t>
            </w:r>
            <w:r w:rsidRPr="002F6A24">
              <w:rPr>
                <w:color w:val="005A9E"/>
                <w:sz w:val="18"/>
                <w:szCs w:val="18"/>
                <w:lang w:val="en-US"/>
              </w:rPr>
              <w:t xml:space="preserve"> at 3 months, p &lt; 0,001</w:t>
            </w:r>
          </w:p>
          <w:p w14:paraId="1AEBC630" w14:textId="77777777" w:rsidR="00A75BD0" w:rsidRPr="002F6A24" w:rsidRDefault="009D4DA5">
            <w:pPr>
              <w:keepLines/>
              <w:numPr>
                <w:ilvl w:val="0"/>
                <w:numId w:val="17"/>
              </w:numPr>
              <w:ind w:left="176" w:right="166" w:hanging="17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epistaxis: 221 to 43 min/month at 6 month (p = 0,008).</w:t>
            </w:r>
          </w:p>
          <w:p w14:paraId="621ED5AF" w14:textId="77777777" w:rsidR="00A75BD0" w:rsidRDefault="009D4DA5" w:rsidP="0BA40188">
            <w:pPr>
              <w:keepLines/>
              <w:numPr>
                <w:ilvl w:val="0"/>
                <w:numId w:val="17"/>
              </w:numPr>
              <w:ind w:left="176" w:right="166" w:hanging="176"/>
              <w:jc w:val="both"/>
              <w:rPr>
                <w:color w:val="005A9E"/>
                <w:sz w:val="18"/>
                <w:szCs w:val="18"/>
                <w:lang w:val="fr-FR"/>
              </w:rPr>
            </w:pPr>
            <w:r w:rsidRPr="0BA40188">
              <w:rPr>
                <w:color w:val="005A9E"/>
                <w:sz w:val="18"/>
                <w:szCs w:val="18"/>
                <w:lang w:val="fr-FR"/>
              </w:rPr>
              <w:t>QoL improvement</w:t>
            </w:r>
          </w:p>
          <w:p w14:paraId="53F887E5" w14:textId="77777777" w:rsidR="00A75BD0" w:rsidRPr="002F6A24" w:rsidRDefault="009D4DA5">
            <w:pPr>
              <w:keepLines/>
              <w:numPr>
                <w:ilvl w:val="0"/>
                <w:numId w:val="17"/>
              </w:numPr>
              <w:ind w:left="176" w:right="166" w:hanging="176"/>
              <w:jc w:val="both"/>
              <w:rPr>
                <w:color w:val="005A9E"/>
                <w:sz w:val="18"/>
                <w:szCs w:val="18"/>
                <w:lang w:val="en-US"/>
              </w:rPr>
            </w:pPr>
            <w:r w:rsidRPr="002F6A24">
              <w:rPr>
                <w:color w:val="005A9E"/>
                <w:sz w:val="18"/>
                <w:szCs w:val="18"/>
                <w:lang w:val="en-US"/>
              </w:rPr>
              <w:t>Safety: 2 cases of high blood pressure Grade 3</w:t>
            </w:r>
          </w:p>
        </w:tc>
      </w:tr>
      <w:tr w:rsidR="00A75BD0" w:rsidRPr="007428DF" w14:paraId="6B779907" w14:textId="77777777" w:rsidTr="0BA40188">
        <w:trPr>
          <w:trHeight w:val="1370"/>
        </w:trPr>
        <w:tc>
          <w:tcPr>
            <w:tcW w:w="1273" w:type="dxa"/>
            <w:tcBorders>
              <w:bottom w:val="single" w:sz="4" w:space="0" w:color="000000" w:themeColor="text1"/>
            </w:tcBorders>
            <w:tcMar>
              <w:left w:w="28" w:type="dxa"/>
              <w:right w:w="28" w:type="dxa"/>
            </w:tcMar>
          </w:tcPr>
          <w:p w14:paraId="1E73C1AD" w14:textId="77777777" w:rsidR="00A75BD0" w:rsidRDefault="009D4DA5">
            <w:pPr>
              <w:ind w:right="306"/>
              <w:rPr>
                <w:color w:val="0563C1"/>
                <w:sz w:val="18"/>
                <w:szCs w:val="18"/>
                <w:u w:val="single"/>
              </w:rPr>
            </w:pPr>
            <w:r>
              <w:rPr>
                <w:color w:val="0563C1"/>
                <w:sz w:val="18"/>
                <w:szCs w:val="18"/>
                <w:u w:val="single"/>
              </w:rPr>
              <w:t xml:space="preserve">Dupuis-Girod, </w:t>
            </w:r>
          </w:p>
          <w:p w14:paraId="59D9C664" w14:textId="77777777" w:rsidR="00A75BD0" w:rsidRDefault="009D4DA5">
            <w:pPr>
              <w:ind w:right="306"/>
              <w:rPr>
                <w:color w:val="0563C1"/>
                <w:sz w:val="18"/>
                <w:szCs w:val="18"/>
                <w:u w:val="single"/>
              </w:rPr>
            </w:pPr>
            <w:r>
              <w:rPr>
                <w:color w:val="0563C1"/>
                <w:sz w:val="18"/>
                <w:szCs w:val="18"/>
                <w:u w:val="single"/>
              </w:rPr>
              <w:t xml:space="preserve">2023 </w:t>
            </w:r>
          </w:p>
          <w:p w14:paraId="129CC6AE" w14:textId="77777777" w:rsidR="00A75BD0" w:rsidRDefault="009D4DA5" w:rsidP="0BA40188">
            <w:pPr>
              <w:ind w:right="306"/>
              <w:rPr>
                <w:color w:val="0563C1"/>
                <w:u w:val="single"/>
                <w:lang w:val="fr-FR"/>
              </w:rPr>
            </w:pPr>
            <w:r w:rsidRPr="0BA40188">
              <w:rPr>
                <w:color w:val="0563C1"/>
                <w:sz w:val="18"/>
                <w:szCs w:val="18"/>
                <w:u w:val="single"/>
                <w:lang w:val="fr-FR"/>
              </w:rPr>
              <w:t>(</w:t>
            </w:r>
            <w:r w:rsidRPr="0BA40188">
              <w:rPr>
                <w:rFonts w:ascii="Bookman Old Style" w:eastAsia="Bookman Old Style" w:hAnsi="Bookman Old Style" w:cs="Bookman Old Style"/>
                <w:sz w:val="14"/>
                <w:szCs w:val="14"/>
                <w:lang w:val="fr-FR"/>
              </w:rPr>
              <w:t>doi: 10.1111/joim.13714</w:t>
            </w:r>
            <w:r w:rsidRPr="0BA40188">
              <w:rPr>
                <w:color w:val="0563C1"/>
                <w:sz w:val="18"/>
                <w:szCs w:val="18"/>
                <w:u w:val="single"/>
                <w:lang w:val="fr-FR"/>
              </w:rPr>
              <w:t>)</w:t>
            </w:r>
          </w:p>
          <w:p w14:paraId="237EC300" w14:textId="77777777" w:rsidR="00A75BD0" w:rsidRDefault="009D4DA5">
            <w:pPr>
              <w:ind w:right="306"/>
              <w:rPr>
                <w:color w:val="005A9E"/>
                <w:sz w:val="18"/>
                <w:szCs w:val="18"/>
              </w:rPr>
            </w:pPr>
            <w:r>
              <w:rPr>
                <w:color w:val="005A9E"/>
                <w:sz w:val="18"/>
                <w:szCs w:val="18"/>
              </w:rPr>
              <w:t>NCT03227263</w:t>
            </w:r>
          </w:p>
        </w:tc>
        <w:tc>
          <w:tcPr>
            <w:tcW w:w="3685" w:type="dxa"/>
            <w:tcBorders>
              <w:bottom w:val="single" w:sz="4" w:space="0" w:color="000000" w:themeColor="text1"/>
            </w:tcBorders>
            <w:tcMar>
              <w:left w:w="28" w:type="dxa"/>
              <w:right w:w="28" w:type="dxa"/>
            </w:tcMar>
          </w:tcPr>
          <w:p w14:paraId="510B9CE8" w14:textId="77777777" w:rsidR="00A75BD0" w:rsidRPr="002F6A24" w:rsidRDefault="009D4DA5">
            <w:pPr>
              <w:jc w:val="both"/>
              <w:rPr>
                <w:b/>
                <w:color w:val="005A9E"/>
                <w:sz w:val="18"/>
                <w:szCs w:val="18"/>
                <w:lang w:val="en-US"/>
              </w:rPr>
            </w:pPr>
            <w:r w:rsidRPr="002F6A24">
              <w:rPr>
                <w:b/>
                <w:color w:val="005A9E"/>
                <w:sz w:val="18"/>
                <w:szCs w:val="18"/>
                <w:lang w:val="en-US"/>
              </w:rPr>
              <w:t>Phase II/III double blind</w:t>
            </w:r>
          </w:p>
          <w:p w14:paraId="458F5C2E" w14:textId="77777777" w:rsidR="00A75BD0" w:rsidRPr="002F6A24" w:rsidRDefault="009D4DA5">
            <w:pPr>
              <w:rPr>
                <w:b/>
                <w:color w:val="005A9E"/>
                <w:sz w:val="18"/>
                <w:szCs w:val="18"/>
                <w:lang w:val="en-US"/>
              </w:rPr>
            </w:pPr>
            <w:r w:rsidRPr="002F6A24">
              <w:rPr>
                <w:b/>
                <w:color w:val="005A9E"/>
                <w:sz w:val="18"/>
                <w:szCs w:val="18"/>
                <w:lang w:val="en-US"/>
              </w:rPr>
              <w:t>4 nationals centers</w:t>
            </w:r>
          </w:p>
          <w:p w14:paraId="27D019C5" w14:textId="77777777" w:rsidR="00A75BD0" w:rsidRPr="002F6A24" w:rsidRDefault="009D4DA5">
            <w:pPr>
              <w:rPr>
                <w:color w:val="005A9E"/>
                <w:sz w:val="18"/>
                <w:szCs w:val="18"/>
                <w:lang w:val="en-US"/>
              </w:rPr>
            </w:pPr>
            <w:r w:rsidRPr="002F6A24">
              <w:rPr>
                <w:color w:val="005A9E"/>
                <w:sz w:val="18"/>
                <w:szCs w:val="18"/>
                <w:lang w:val="en-US"/>
              </w:rPr>
              <w:t>N=24</w:t>
            </w:r>
          </w:p>
          <w:p w14:paraId="757951DC" w14:textId="77777777" w:rsidR="00A75BD0" w:rsidRPr="002F6A24" w:rsidRDefault="009D4DA5">
            <w:pPr>
              <w:rPr>
                <w:color w:val="005A9E"/>
                <w:sz w:val="18"/>
                <w:szCs w:val="18"/>
                <w:lang w:val="en-US"/>
              </w:rPr>
            </w:pPr>
            <w:r w:rsidRPr="002F6A24">
              <w:rPr>
                <w:color w:val="005A9E"/>
                <w:sz w:val="18"/>
                <w:szCs w:val="18"/>
                <w:lang w:val="en-US"/>
              </w:rPr>
              <w:t>-Aged 42-80 y (median 60y)</w:t>
            </w:r>
          </w:p>
        </w:tc>
        <w:tc>
          <w:tcPr>
            <w:tcW w:w="1985" w:type="dxa"/>
            <w:gridSpan w:val="2"/>
            <w:tcBorders>
              <w:bottom w:val="single" w:sz="4" w:space="0" w:color="000000" w:themeColor="text1"/>
            </w:tcBorders>
            <w:tcMar>
              <w:left w:w="28" w:type="dxa"/>
              <w:right w:w="28" w:type="dxa"/>
            </w:tcMar>
          </w:tcPr>
          <w:p w14:paraId="4A466712" w14:textId="77777777" w:rsidR="00A75BD0" w:rsidRPr="002F6A24" w:rsidRDefault="009D4DA5">
            <w:pPr>
              <w:ind w:right="114"/>
              <w:rPr>
                <w:color w:val="005A9E"/>
                <w:sz w:val="18"/>
                <w:szCs w:val="18"/>
                <w:lang w:val="en-US"/>
              </w:rPr>
            </w:pPr>
            <w:r w:rsidRPr="002F6A24">
              <w:rPr>
                <w:color w:val="005A9E"/>
                <w:sz w:val="18"/>
                <w:szCs w:val="18"/>
                <w:lang w:val="en-US"/>
              </w:rPr>
              <w:t xml:space="preserve">5 mg/kg IV/2 weeks </w:t>
            </w:r>
          </w:p>
          <w:p w14:paraId="09ED0B03" w14:textId="77777777" w:rsidR="00A75BD0" w:rsidRPr="002F6A24" w:rsidRDefault="009D4DA5">
            <w:pPr>
              <w:ind w:right="114"/>
              <w:rPr>
                <w:color w:val="005A9E"/>
                <w:sz w:val="18"/>
                <w:szCs w:val="18"/>
                <w:lang w:val="en-US"/>
              </w:rPr>
            </w:pPr>
            <w:r w:rsidRPr="002F6A24">
              <w:rPr>
                <w:color w:val="005A9E"/>
                <w:sz w:val="18"/>
                <w:szCs w:val="18"/>
                <w:lang w:val="en-US"/>
              </w:rPr>
              <w:t>6 injections (2.5 months)</w:t>
            </w:r>
          </w:p>
        </w:tc>
        <w:tc>
          <w:tcPr>
            <w:tcW w:w="992" w:type="dxa"/>
            <w:tcBorders>
              <w:bottom w:val="single" w:sz="4" w:space="0" w:color="000000" w:themeColor="text1"/>
            </w:tcBorders>
            <w:tcMar>
              <w:left w:w="28" w:type="dxa"/>
              <w:right w:w="28" w:type="dxa"/>
            </w:tcMar>
          </w:tcPr>
          <w:p w14:paraId="65CC3406" w14:textId="77777777" w:rsidR="00A75BD0" w:rsidRDefault="009D4DA5">
            <w:pPr>
              <w:rPr>
                <w:color w:val="005A9E"/>
                <w:sz w:val="18"/>
                <w:szCs w:val="18"/>
              </w:rPr>
            </w:pPr>
            <w:r>
              <w:rPr>
                <w:color w:val="005A9E"/>
                <w:sz w:val="18"/>
                <w:szCs w:val="18"/>
              </w:rPr>
              <w:t>6</w:t>
            </w:r>
          </w:p>
        </w:tc>
        <w:tc>
          <w:tcPr>
            <w:tcW w:w="2268" w:type="dxa"/>
            <w:gridSpan w:val="3"/>
            <w:tcBorders>
              <w:bottom w:val="single" w:sz="4" w:space="0" w:color="000000" w:themeColor="text1"/>
            </w:tcBorders>
            <w:tcMar>
              <w:left w:w="0" w:type="dxa"/>
              <w:right w:w="0" w:type="dxa"/>
            </w:tcMar>
          </w:tcPr>
          <w:p w14:paraId="65F4C463" w14:textId="77777777" w:rsidR="00A75BD0" w:rsidRDefault="009D4DA5">
            <w:pPr>
              <w:numPr>
                <w:ilvl w:val="0"/>
                <w:numId w:val="9"/>
              </w:numPr>
              <w:ind w:left="142" w:hanging="142"/>
              <w:rPr>
                <w:color w:val="005A9E"/>
                <w:sz w:val="18"/>
                <w:szCs w:val="18"/>
              </w:rPr>
            </w:pPr>
            <w:r>
              <w:rPr>
                <w:color w:val="005A9E"/>
                <w:sz w:val="18"/>
                <w:szCs w:val="18"/>
              </w:rPr>
              <w:t>Blood transfusion</w:t>
            </w:r>
          </w:p>
          <w:p w14:paraId="7A1EED9E" w14:textId="77777777" w:rsidR="00A75BD0" w:rsidRDefault="009D4DA5" w:rsidP="0BA40188">
            <w:pPr>
              <w:numPr>
                <w:ilvl w:val="0"/>
                <w:numId w:val="9"/>
              </w:numPr>
              <w:ind w:left="142" w:hanging="142"/>
              <w:rPr>
                <w:color w:val="005A9E"/>
                <w:sz w:val="18"/>
                <w:szCs w:val="18"/>
                <w:lang w:val="fr-FR"/>
              </w:rPr>
            </w:pPr>
            <w:r w:rsidRPr="0BA40188">
              <w:rPr>
                <w:color w:val="005A9E"/>
                <w:sz w:val="18"/>
                <w:szCs w:val="18"/>
                <w:lang w:val="fr-FR"/>
              </w:rPr>
              <w:t>Iron infusion</w:t>
            </w:r>
          </w:p>
          <w:p w14:paraId="0F8EB692" w14:textId="77777777" w:rsidR="00A75BD0" w:rsidRDefault="009D4DA5" w:rsidP="0BA40188">
            <w:pPr>
              <w:numPr>
                <w:ilvl w:val="0"/>
                <w:numId w:val="9"/>
              </w:numPr>
              <w:ind w:left="142" w:hanging="142"/>
              <w:rPr>
                <w:color w:val="005A9E"/>
                <w:sz w:val="18"/>
                <w:szCs w:val="18"/>
                <w:lang w:val="fr-FR"/>
              </w:rPr>
            </w:pPr>
            <w:r w:rsidRPr="0BA40188">
              <w:rPr>
                <w:color w:val="005A9E"/>
                <w:sz w:val="18"/>
                <w:szCs w:val="18"/>
                <w:lang w:val="fr-FR"/>
              </w:rPr>
              <w:t xml:space="preserve">Hemoglobinemia </w:t>
            </w:r>
          </w:p>
          <w:p w14:paraId="70FEAF5D" w14:textId="77777777" w:rsidR="00A75BD0" w:rsidRDefault="009D4DA5" w:rsidP="0BA40188">
            <w:pPr>
              <w:numPr>
                <w:ilvl w:val="0"/>
                <w:numId w:val="9"/>
              </w:numPr>
              <w:rPr>
                <w:color w:val="005A9E"/>
                <w:sz w:val="18"/>
                <w:szCs w:val="18"/>
                <w:lang w:val="fr-FR"/>
              </w:rPr>
            </w:pPr>
            <w:r w:rsidRPr="0BA40188">
              <w:rPr>
                <w:color w:val="005A9E"/>
                <w:sz w:val="18"/>
                <w:szCs w:val="18"/>
                <w:lang w:val="fr-FR"/>
              </w:rPr>
              <w:t>Epistaxis (Mean duration)</w:t>
            </w:r>
          </w:p>
          <w:p w14:paraId="759A890E" w14:textId="77777777" w:rsidR="00A75BD0" w:rsidRDefault="009D4DA5" w:rsidP="0BA40188">
            <w:pPr>
              <w:numPr>
                <w:ilvl w:val="0"/>
                <w:numId w:val="9"/>
              </w:numPr>
              <w:ind w:left="142" w:hanging="142"/>
              <w:rPr>
                <w:color w:val="005A9E"/>
                <w:sz w:val="18"/>
                <w:szCs w:val="18"/>
                <w:lang w:val="fr-FR"/>
              </w:rPr>
            </w:pPr>
            <w:r w:rsidRPr="0BA40188">
              <w:rPr>
                <w:color w:val="005A9E"/>
                <w:sz w:val="18"/>
                <w:szCs w:val="18"/>
                <w:lang w:val="fr-FR"/>
              </w:rPr>
              <w:t>Quality of life (SF36)</w:t>
            </w:r>
          </w:p>
          <w:p w14:paraId="4488CB1B" w14:textId="77777777" w:rsidR="00A75BD0" w:rsidRDefault="009D4DA5">
            <w:pPr>
              <w:numPr>
                <w:ilvl w:val="0"/>
                <w:numId w:val="9"/>
              </w:numPr>
              <w:ind w:left="142" w:hanging="142"/>
              <w:rPr>
                <w:color w:val="005A9E"/>
                <w:sz w:val="18"/>
                <w:szCs w:val="18"/>
              </w:rPr>
            </w:pPr>
            <w:r>
              <w:rPr>
                <w:color w:val="005A9E"/>
                <w:sz w:val="18"/>
                <w:szCs w:val="18"/>
              </w:rPr>
              <w:t>AE</w:t>
            </w:r>
          </w:p>
        </w:tc>
        <w:tc>
          <w:tcPr>
            <w:tcW w:w="4730" w:type="dxa"/>
            <w:tcBorders>
              <w:bottom w:val="single" w:sz="4" w:space="0" w:color="000000" w:themeColor="text1"/>
            </w:tcBorders>
            <w:tcMar>
              <w:left w:w="28" w:type="dxa"/>
              <w:right w:w="28" w:type="dxa"/>
            </w:tcMar>
          </w:tcPr>
          <w:p w14:paraId="4EE4AFBD" w14:textId="77777777" w:rsidR="00A75BD0" w:rsidRPr="002F6A24" w:rsidRDefault="009D4DA5">
            <w:pPr>
              <w:keepLines/>
              <w:numPr>
                <w:ilvl w:val="0"/>
                <w:numId w:val="17"/>
              </w:numPr>
              <w:ind w:left="114" w:right="166" w:hanging="114"/>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50% of blood transfusion: 63.6% of patients treated by bevacizumab versus 33.3% of patients treated by placebo.</w:t>
            </w:r>
          </w:p>
          <w:p w14:paraId="3636B2D6" w14:textId="77777777" w:rsidR="00A75BD0" w:rsidRPr="002F6A24" w:rsidRDefault="009D4DA5">
            <w:pPr>
              <w:keepLines/>
              <w:numPr>
                <w:ilvl w:val="0"/>
                <w:numId w:val="17"/>
              </w:numPr>
              <w:ind w:left="114" w:right="166" w:hanging="114"/>
              <w:jc w:val="both"/>
              <w:rPr>
                <w:rFonts w:ascii="Cambria Math" w:eastAsia="Cambria Math" w:hAnsi="Cambria Math" w:cs="Cambria Math"/>
                <w:color w:val="005A9E"/>
                <w:sz w:val="18"/>
                <w:szCs w:val="18"/>
                <w:lang w:val="en-US"/>
              </w:rPr>
            </w:pPr>
            <w:r w:rsidRPr="002F6A24">
              <w:rPr>
                <w:color w:val="005A9E"/>
                <w:sz w:val="18"/>
                <w:szCs w:val="18"/>
                <w:lang w:val="en-US"/>
              </w:rPr>
              <w:t>Serious AE related to bevacizumab treatment are perianal abscess, lupus glomeruloneprhitis and S. epidermis and hominis bacteremia</w:t>
            </w:r>
          </w:p>
        </w:tc>
      </w:tr>
      <w:tr w:rsidR="00A75BD0" w:rsidRPr="007428DF" w14:paraId="140D0B5F" w14:textId="77777777" w:rsidTr="0BA40188">
        <w:trPr>
          <w:trHeight w:val="1252"/>
        </w:trPr>
        <w:tc>
          <w:tcPr>
            <w:tcW w:w="1273" w:type="dxa"/>
            <w:tcBorders>
              <w:bottom w:val="single" w:sz="4" w:space="0" w:color="000000" w:themeColor="text1"/>
            </w:tcBorders>
            <w:tcMar>
              <w:left w:w="28" w:type="dxa"/>
              <w:right w:w="28" w:type="dxa"/>
            </w:tcMar>
          </w:tcPr>
          <w:p w14:paraId="663680DA" w14:textId="77777777" w:rsidR="00A75BD0" w:rsidRDefault="008853BF">
            <w:pPr>
              <w:ind w:right="306"/>
              <w:rPr>
                <w:color w:val="005A9E"/>
                <w:sz w:val="18"/>
                <w:szCs w:val="18"/>
              </w:rPr>
            </w:pPr>
            <w:hyperlink r:id="rId22">
              <w:r w:rsidR="009D4DA5">
                <w:rPr>
                  <w:color w:val="0563C1"/>
                  <w:sz w:val="18"/>
                  <w:szCs w:val="18"/>
                  <w:u w:val="single"/>
                </w:rPr>
                <w:t>Thompson 2014</w:t>
              </w:r>
            </w:hyperlink>
          </w:p>
        </w:tc>
        <w:tc>
          <w:tcPr>
            <w:tcW w:w="3685" w:type="dxa"/>
            <w:tcBorders>
              <w:bottom w:val="single" w:sz="4" w:space="0" w:color="000000" w:themeColor="text1"/>
            </w:tcBorders>
            <w:tcMar>
              <w:left w:w="28" w:type="dxa"/>
              <w:right w:w="28" w:type="dxa"/>
            </w:tcMar>
          </w:tcPr>
          <w:p w14:paraId="53FA06D5" w14:textId="77777777" w:rsidR="00A75BD0" w:rsidRPr="002F6A24" w:rsidRDefault="009D4DA5">
            <w:pPr>
              <w:rPr>
                <w:b/>
                <w:color w:val="005A9E"/>
                <w:sz w:val="18"/>
                <w:szCs w:val="18"/>
                <w:lang w:val="en-US"/>
              </w:rPr>
            </w:pPr>
            <w:r w:rsidRPr="002F6A24">
              <w:rPr>
                <w:b/>
                <w:color w:val="005A9E"/>
                <w:sz w:val="18"/>
                <w:szCs w:val="18"/>
                <w:lang w:val="en-US"/>
              </w:rPr>
              <w:t>Prospective, open-label, non-comparative study</w:t>
            </w:r>
          </w:p>
          <w:p w14:paraId="39E4F8D7" w14:textId="77777777" w:rsidR="00A75BD0" w:rsidRDefault="009D4DA5">
            <w:pPr>
              <w:numPr>
                <w:ilvl w:val="0"/>
                <w:numId w:val="9"/>
              </w:numPr>
              <w:pBdr>
                <w:top w:val="nil"/>
                <w:left w:val="nil"/>
                <w:bottom w:val="nil"/>
                <w:right w:val="nil"/>
                <w:between w:val="nil"/>
              </w:pBdr>
              <w:spacing w:line="276" w:lineRule="auto"/>
              <w:rPr>
                <w:color w:val="005A9E"/>
                <w:sz w:val="18"/>
                <w:szCs w:val="18"/>
              </w:rPr>
            </w:pPr>
            <w:r>
              <w:rPr>
                <w:color w:val="005A9E"/>
                <w:sz w:val="18"/>
                <w:szCs w:val="18"/>
              </w:rPr>
              <w:t>N=6</w:t>
            </w:r>
          </w:p>
          <w:p w14:paraId="202B1352" w14:textId="77777777" w:rsidR="00A75BD0" w:rsidRDefault="009D4DA5" w:rsidP="0BA40188">
            <w:pPr>
              <w:numPr>
                <w:ilvl w:val="0"/>
                <w:numId w:val="9"/>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Aged 46 to 67 y (61 y)</w:t>
            </w:r>
          </w:p>
        </w:tc>
        <w:tc>
          <w:tcPr>
            <w:tcW w:w="1985" w:type="dxa"/>
            <w:gridSpan w:val="2"/>
            <w:tcBorders>
              <w:bottom w:val="single" w:sz="4" w:space="0" w:color="000000" w:themeColor="text1"/>
            </w:tcBorders>
            <w:tcMar>
              <w:left w:w="28" w:type="dxa"/>
              <w:right w:w="28" w:type="dxa"/>
            </w:tcMar>
          </w:tcPr>
          <w:p w14:paraId="2F90E1A5" w14:textId="77777777" w:rsidR="00A75BD0" w:rsidRDefault="009D4DA5" w:rsidP="0BA40188">
            <w:pPr>
              <w:ind w:right="114"/>
              <w:rPr>
                <w:color w:val="005A9E"/>
                <w:sz w:val="18"/>
                <w:szCs w:val="18"/>
                <w:lang w:val="fr-FR"/>
              </w:rPr>
            </w:pPr>
            <w:r w:rsidRPr="0BA40188">
              <w:rPr>
                <w:color w:val="005A9E"/>
                <w:sz w:val="18"/>
                <w:szCs w:val="18"/>
                <w:lang w:val="fr-FR"/>
              </w:rPr>
              <w:t xml:space="preserve">0.125 mg/kg /4 weeks </w:t>
            </w:r>
          </w:p>
          <w:p w14:paraId="642D3AE6" w14:textId="77777777" w:rsidR="00A75BD0" w:rsidRDefault="009D4DA5" w:rsidP="0BA40188">
            <w:pPr>
              <w:ind w:right="114"/>
              <w:rPr>
                <w:color w:val="005A9E"/>
                <w:sz w:val="18"/>
                <w:szCs w:val="18"/>
                <w:lang w:val="fr-FR"/>
              </w:rPr>
            </w:pPr>
            <w:r w:rsidRPr="0BA40188">
              <w:rPr>
                <w:color w:val="005A9E"/>
                <w:sz w:val="18"/>
                <w:szCs w:val="18"/>
                <w:lang w:val="fr-FR"/>
              </w:rPr>
              <w:t>total of six injections</w:t>
            </w:r>
          </w:p>
        </w:tc>
        <w:tc>
          <w:tcPr>
            <w:tcW w:w="992" w:type="dxa"/>
            <w:tcBorders>
              <w:bottom w:val="single" w:sz="4" w:space="0" w:color="000000" w:themeColor="text1"/>
            </w:tcBorders>
            <w:tcMar>
              <w:left w:w="28" w:type="dxa"/>
              <w:right w:w="28" w:type="dxa"/>
            </w:tcMar>
          </w:tcPr>
          <w:p w14:paraId="36398018" w14:textId="77777777" w:rsidR="00A75BD0" w:rsidRDefault="009D4DA5">
            <w:pPr>
              <w:rPr>
                <w:color w:val="005A9E"/>
                <w:sz w:val="18"/>
                <w:szCs w:val="18"/>
              </w:rPr>
            </w:pPr>
            <w:r>
              <w:rPr>
                <w:color w:val="005A9E"/>
                <w:sz w:val="18"/>
                <w:szCs w:val="18"/>
              </w:rPr>
              <w:t>3</w:t>
            </w:r>
          </w:p>
        </w:tc>
        <w:tc>
          <w:tcPr>
            <w:tcW w:w="2268" w:type="dxa"/>
            <w:gridSpan w:val="3"/>
            <w:tcBorders>
              <w:bottom w:val="single" w:sz="4" w:space="0" w:color="000000" w:themeColor="text1"/>
            </w:tcBorders>
            <w:tcMar>
              <w:left w:w="0" w:type="dxa"/>
              <w:right w:w="0" w:type="dxa"/>
            </w:tcMar>
          </w:tcPr>
          <w:p w14:paraId="56F3D9D5" w14:textId="77777777" w:rsidR="00A75BD0" w:rsidRDefault="009D4DA5" w:rsidP="0BA40188">
            <w:pPr>
              <w:numPr>
                <w:ilvl w:val="0"/>
                <w:numId w:val="28"/>
              </w:numPr>
              <w:ind w:left="142" w:hanging="142"/>
              <w:rPr>
                <w:color w:val="005A9E"/>
                <w:sz w:val="18"/>
                <w:szCs w:val="18"/>
                <w:lang w:val="fr-FR"/>
              </w:rPr>
            </w:pPr>
            <w:r w:rsidRPr="0BA40188">
              <w:rPr>
                <w:color w:val="005A9E"/>
                <w:sz w:val="18"/>
                <w:szCs w:val="18"/>
                <w:lang w:val="fr-FR"/>
              </w:rPr>
              <w:t>Epistaxis Severity Score (ESS)</w:t>
            </w:r>
          </w:p>
          <w:p w14:paraId="63F8944C" w14:textId="77777777" w:rsidR="00A75BD0" w:rsidRPr="002F6A24" w:rsidRDefault="009D4DA5">
            <w:pPr>
              <w:numPr>
                <w:ilvl w:val="0"/>
                <w:numId w:val="28"/>
              </w:numPr>
              <w:ind w:left="142" w:hanging="142"/>
              <w:rPr>
                <w:color w:val="005A9E"/>
                <w:sz w:val="18"/>
                <w:szCs w:val="18"/>
                <w:lang w:val="en-US"/>
              </w:rPr>
            </w:pPr>
            <w:r w:rsidRPr="002F6A24">
              <w:rPr>
                <w:color w:val="005A9E"/>
                <w:sz w:val="18"/>
                <w:szCs w:val="18"/>
                <w:lang w:val="en-US"/>
              </w:rPr>
              <w:t>Quality of life SNOT-20 and SF-36</w:t>
            </w:r>
          </w:p>
          <w:p w14:paraId="525E123B" w14:textId="77777777" w:rsidR="00A75BD0" w:rsidRDefault="009D4DA5" w:rsidP="0BA40188">
            <w:pPr>
              <w:numPr>
                <w:ilvl w:val="0"/>
                <w:numId w:val="28"/>
              </w:numPr>
              <w:ind w:left="142" w:hanging="142"/>
              <w:rPr>
                <w:color w:val="005A9E"/>
                <w:sz w:val="18"/>
                <w:szCs w:val="18"/>
                <w:lang w:val="fr-FR"/>
              </w:rPr>
            </w:pPr>
            <w:r w:rsidRPr="0BA40188">
              <w:rPr>
                <w:color w:val="005A9E"/>
                <w:sz w:val="18"/>
                <w:szCs w:val="18"/>
                <w:lang w:val="fr-FR"/>
              </w:rPr>
              <w:t>Hemoglobin</w:t>
            </w:r>
          </w:p>
          <w:p w14:paraId="7DEE4D7A" w14:textId="77777777" w:rsidR="00A75BD0" w:rsidRDefault="009D4DA5">
            <w:pPr>
              <w:numPr>
                <w:ilvl w:val="0"/>
                <w:numId w:val="28"/>
              </w:numPr>
              <w:ind w:left="142" w:hanging="142"/>
              <w:rPr>
                <w:color w:val="005A9E"/>
                <w:sz w:val="18"/>
                <w:szCs w:val="18"/>
              </w:rPr>
            </w:pPr>
            <w:r>
              <w:rPr>
                <w:color w:val="005A9E"/>
                <w:sz w:val="18"/>
                <w:szCs w:val="18"/>
              </w:rPr>
              <w:t>AE</w:t>
            </w:r>
          </w:p>
        </w:tc>
        <w:tc>
          <w:tcPr>
            <w:tcW w:w="4730" w:type="dxa"/>
            <w:tcBorders>
              <w:bottom w:val="single" w:sz="4" w:space="0" w:color="000000" w:themeColor="text1"/>
            </w:tcBorders>
            <w:tcMar>
              <w:left w:w="28" w:type="dxa"/>
              <w:right w:w="28" w:type="dxa"/>
            </w:tcMar>
          </w:tcPr>
          <w:p w14:paraId="3A1F3EAD" w14:textId="77777777" w:rsidR="00A75BD0" w:rsidRDefault="009D4DA5" w:rsidP="0BA40188">
            <w:p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ESS (from 7.2 to 3.3)</w:t>
            </w:r>
          </w:p>
          <w:p w14:paraId="5BB44857" w14:textId="77777777" w:rsidR="00A75BD0" w:rsidRDefault="009D4DA5" w:rsidP="0BA40188">
            <w:pPr>
              <w:ind w:right="166"/>
              <w:jc w:val="both"/>
              <w:rPr>
                <w:color w:val="005A9E"/>
                <w:sz w:val="18"/>
                <w:szCs w:val="18"/>
                <w:lang w:val="fr-FR"/>
              </w:rPr>
            </w:pPr>
            <w:r w:rsidRPr="0BA40188">
              <w:rPr>
                <w:rFonts w:ascii="Cambria Math" w:eastAsia="Cambria Math" w:hAnsi="Cambria Math" w:cs="Cambria Math"/>
                <w:color w:val="005A9E"/>
                <w:sz w:val="18"/>
                <w:szCs w:val="18"/>
                <w:lang w:val="fr-FR"/>
              </w:rPr>
              <w:t xml:space="preserve">↘ </w:t>
            </w:r>
            <w:r w:rsidRPr="0BA40188">
              <w:rPr>
                <w:color w:val="005A9E"/>
                <w:sz w:val="18"/>
                <w:szCs w:val="18"/>
                <w:lang w:val="fr-FR"/>
              </w:rPr>
              <w:t>Epistaxis (moderate to significant)</w:t>
            </w:r>
          </w:p>
          <w:p w14:paraId="2E48151D" w14:textId="77777777" w:rsidR="00A75BD0" w:rsidRPr="002F6A24" w:rsidRDefault="009D4DA5">
            <w:p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mental well-being and mental composite score of SF-36</w:t>
            </w:r>
          </w:p>
          <w:p w14:paraId="1E5EB568" w14:textId="77777777" w:rsidR="00A75BD0" w:rsidRPr="002F6A24" w:rsidRDefault="009D4DA5">
            <w:p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Hb (from 11 to 11.4 g/dL, not significant)</w:t>
            </w:r>
          </w:p>
          <w:p w14:paraId="32620F47" w14:textId="77777777" w:rsidR="00A75BD0" w:rsidRPr="002F6A24" w:rsidRDefault="009D4DA5">
            <w:pPr>
              <w:ind w:right="166"/>
              <w:jc w:val="both"/>
              <w:rPr>
                <w:color w:val="005A9E"/>
                <w:sz w:val="18"/>
                <w:szCs w:val="18"/>
                <w:lang w:val="en-US"/>
              </w:rPr>
            </w:pPr>
            <w:r w:rsidRPr="002F6A24">
              <w:rPr>
                <w:color w:val="005A9E"/>
                <w:sz w:val="18"/>
                <w:szCs w:val="18"/>
                <w:lang w:val="en-US"/>
              </w:rPr>
              <w:t xml:space="preserve"> AE : headache, change in taste sensation, diarrhea and diziness</w:t>
            </w:r>
          </w:p>
          <w:p w14:paraId="76F0EEFB" w14:textId="77777777" w:rsidR="00A75BD0" w:rsidRPr="002F6A24" w:rsidRDefault="00A75BD0">
            <w:pPr>
              <w:ind w:right="166"/>
              <w:jc w:val="both"/>
              <w:rPr>
                <w:rFonts w:ascii="Cambria Math" w:eastAsia="Cambria Math" w:hAnsi="Cambria Math" w:cs="Cambria Math"/>
                <w:color w:val="005A9E"/>
                <w:sz w:val="18"/>
                <w:szCs w:val="18"/>
                <w:lang w:val="en-US"/>
              </w:rPr>
            </w:pPr>
          </w:p>
        </w:tc>
      </w:tr>
      <w:tr w:rsidR="00A75BD0" w14:paraId="09D79A4F" w14:textId="77777777" w:rsidTr="0BA40188">
        <w:trPr>
          <w:trHeight w:val="433"/>
        </w:trPr>
        <w:tc>
          <w:tcPr>
            <w:tcW w:w="14933" w:type="dxa"/>
            <w:gridSpan w:val="9"/>
            <w:tcBorders>
              <w:bottom w:val="single" w:sz="4" w:space="0" w:color="000000" w:themeColor="text1"/>
            </w:tcBorders>
            <w:shd w:val="clear" w:color="auto" w:fill="FFFF00"/>
            <w:tcMar>
              <w:left w:w="28" w:type="dxa"/>
              <w:right w:w="28" w:type="dxa"/>
            </w:tcMar>
          </w:tcPr>
          <w:p w14:paraId="5379FC79" w14:textId="77777777" w:rsidR="00A75BD0" w:rsidRDefault="009D4DA5" w:rsidP="0BA40188">
            <w:pPr>
              <w:ind w:right="114"/>
              <w:jc w:val="both"/>
              <w:rPr>
                <w:b/>
                <w:bCs/>
                <w:color w:val="005A9E"/>
                <w:sz w:val="18"/>
                <w:szCs w:val="18"/>
                <w:lang w:val="fr-FR"/>
              </w:rPr>
            </w:pPr>
            <w:r w:rsidRPr="0BA40188">
              <w:rPr>
                <w:b/>
                <w:bCs/>
                <w:color w:val="005A9E"/>
                <w:sz w:val="18"/>
                <w:szCs w:val="18"/>
                <w:lang w:val="fr-FR"/>
              </w:rPr>
              <w:t>Retrospective Studies</w:t>
            </w:r>
          </w:p>
        </w:tc>
      </w:tr>
      <w:tr w:rsidR="00A75BD0" w14:paraId="41426333" w14:textId="77777777" w:rsidTr="0BA40188">
        <w:trPr>
          <w:trHeight w:val="2479"/>
        </w:trPr>
        <w:tc>
          <w:tcPr>
            <w:tcW w:w="1273" w:type="dxa"/>
            <w:tcBorders>
              <w:bottom w:val="single" w:sz="4" w:space="0" w:color="000000" w:themeColor="text1"/>
            </w:tcBorders>
            <w:tcMar>
              <w:left w:w="28" w:type="dxa"/>
              <w:right w:w="28" w:type="dxa"/>
            </w:tcMar>
          </w:tcPr>
          <w:p w14:paraId="2F476ED7" w14:textId="77777777" w:rsidR="00A75BD0" w:rsidRDefault="009D4DA5">
            <w:pPr>
              <w:ind w:right="306"/>
              <w:rPr>
                <w:color w:val="0563C1"/>
                <w:sz w:val="18"/>
                <w:szCs w:val="18"/>
                <w:u w:val="single"/>
              </w:rPr>
            </w:pPr>
            <w:r>
              <w:fldChar w:fldCharType="begin"/>
            </w:r>
            <w:r>
              <w:instrText xml:space="preserve"> HYPERLINK "https://doi.org/10.3324/haematol.2020.261859" </w:instrText>
            </w:r>
            <w:r>
              <w:fldChar w:fldCharType="separate"/>
            </w:r>
            <w:r>
              <w:rPr>
                <w:color w:val="0563C1"/>
                <w:sz w:val="18"/>
                <w:szCs w:val="18"/>
                <w:u w:val="single"/>
              </w:rPr>
              <w:t>Al-Samkari, 2020</w:t>
            </w:r>
          </w:p>
          <w:p w14:paraId="6273F30A" w14:textId="77777777" w:rsidR="00A75BD0" w:rsidRDefault="009D4DA5">
            <w:pPr>
              <w:ind w:right="306"/>
              <w:rPr>
                <w:color w:val="005A9E"/>
                <w:sz w:val="18"/>
                <w:szCs w:val="18"/>
              </w:rPr>
            </w:pPr>
            <w:r>
              <w:rPr>
                <w:color w:val="0563C1"/>
                <w:sz w:val="18"/>
                <w:szCs w:val="18"/>
                <w:u w:val="single"/>
              </w:rPr>
              <w:t>inHIBIT study</w:t>
            </w:r>
            <w:r>
              <w:fldChar w:fldCharType="end"/>
            </w:r>
          </w:p>
        </w:tc>
        <w:tc>
          <w:tcPr>
            <w:tcW w:w="3685" w:type="dxa"/>
            <w:tcBorders>
              <w:bottom w:val="single" w:sz="4" w:space="0" w:color="000000" w:themeColor="text1"/>
            </w:tcBorders>
            <w:tcMar>
              <w:left w:w="28" w:type="dxa"/>
              <w:right w:w="28" w:type="dxa"/>
            </w:tcMar>
          </w:tcPr>
          <w:p w14:paraId="153FA4AC" w14:textId="77777777" w:rsidR="00A75BD0" w:rsidRPr="002F6A24" w:rsidRDefault="009D4DA5">
            <w:pPr>
              <w:rPr>
                <w:color w:val="005A9E"/>
                <w:sz w:val="18"/>
                <w:szCs w:val="18"/>
                <w:lang w:val="en-US"/>
              </w:rPr>
            </w:pPr>
            <w:r w:rsidRPr="002F6A24">
              <w:rPr>
                <w:color w:val="005A9E"/>
                <w:sz w:val="18"/>
                <w:szCs w:val="18"/>
                <w:lang w:val="en-US"/>
              </w:rPr>
              <w:t>12 international centers</w:t>
            </w:r>
          </w:p>
          <w:p w14:paraId="459D0C63" w14:textId="77777777" w:rsidR="00A75BD0" w:rsidRPr="002F6A24" w:rsidRDefault="009D4DA5">
            <w:pPr>
              <w:rPr>
                <w:color w:val="005A9E"/>
                <w:sz w:val="18"/>
                <w:szCs w:val="18"/>
                <w:lang w:val="en-US"/>
              </w:rPr>
            </w:pPr>
            <w:r w:rsidRPr="002F6A24">
              <w:rPr>
                <w:color w:val="005A9E"/>
                <w:sz w:val="18"/>
                <w:szCs w:val="18"/>
                <w:lang w:val="en-US"/>
              </w:rPr>
              <w:t>238 patients</w:t>
            </w:r>
          </w:p>
          <w:p w14:paraId="34F10AC2" w14:textId="77777777" w:rsidR="00A75BD0" w:rsidRPr="002F6A24" w:rsidRDefault="009D4DA5">
            <w:pPr>
              <w:rPr>
                <w:color w:val="005A9E"/>
                <w:sz w:val="18"/>
                <w:szCs w:val="18"/>
                <w:lang w:val="en-US"/>
              </w:rPr>
            </w:pPr>
            <w:r w:rsidRPr="002F6A24">
              <w:rPr>
                <w:color w:val="005A9E"/>
                <w:sz w:val="18"/>
                <w:szCs w:val="18"/>
                <w:lang w:val="en-US"/>
              </w:rPr>
              <w:t>Aged 29-91 y (mean 63y)</w:t>
            </w:r>
          </w:p>
          <w:p w14:paraId="1E367152" w14:textId="77777777" w:rsidR="00A75BD0" w:rsidRPr="002F6A24" w:rsidRDefault="009D4DA5">
            <w:pPr>
              <w:rPr>
                <w:color w:val="005A9E"/>
                <w:sz w:val="18"/>
                <w:szCs w:val="18"/>
                <w:lang w:val="en-US"/>
              </w:rPr>
            </w:pPr>
            <w:r w:rsidRPr="002F6A24">
              <w:rPr>
                <w:color w:val="005A9E"/>
                <w:sz w:val="18"/>
                <w:szCs w:val="18"/>
                <w:lang w:val="en-US"/>
              </w:rPr>
              <w:t>From 2011 to 2019</w:t>
            </w:r>
          </w:p>
          <w:p w14:paraId="29A61D26" w14:textId="77777777" w:rsidR="00A75BD0" w:rsidRPr="002F6A24" w:rsidRDefault="00A75BD0">
            <w:pPr>
              <w:rPr>
                <w:color w:val="005A9E"/>
                <w:sz w:val="18"/>
                <w:szCs w:val="18"/>
                <w:lang w:val="en-US"/>
              </w:rPr>
            </w:pPr>
          </w:p>
          <w:p w14:paraId="64B903C8" w14:textId="77777777" w:rsidR="00A75BD0" w:rsidRPr="002F6A24" w:rsidRDefault="009D4DA5">
            <w:pPr>
              <w:rPr>
                <w:color w:val="005A9E"/>
                <w:sz w:val="18"/>
                <w:szCs w:val="18"/>
                <w:lang w:val="en-US"/>
              </w:rPr>
            </w:pPr>
            <w:r w:rsidRPr="002F6A24">
              <w:rPr>
                <w:color w:val="005A9E"/>
                <w:sz w:val="18"/>
                <w:szCs w:val="18"/>
                <w:lang w:val="en-US"/>
              </w:rPr>
              <w:t>Known upper GI AVMs: 62%</w:t>
            </w:r>
          </w:p>
          <w:p w14:paraId="28D30CB7" w14:textId="77777777" w:rsidR="00A75BD0" w:rsidRPr="002F6A24" w:rsidRDefault="009D4DA5">
            <w:pPr>
              <w:rPr>
                <w:color w:val="005A9E"/>
                <w:sz w:val="18"/>
                <w:szCs w:val="18"/>
                <w:lang w:val="en-US"/>
              </w:rPr>
            </w:pPr>
            <w:r w:rsidRPr="002F6A24">
              <w:rPr>
                <w:color w:val="005A9E"/>
                <w:sz w:val="18"/>
                <w:szCs w:val="18"/>
                <w:lang w:val="en-US"/>
              </w:rPr>
              <w:t>Known lower GI AVMs: 20%</w:t>
            </w:r>
          </w:p>
          <w:p w14:paraId="439B8207" w14:textId="77777777" w:rsidR="00A75BD0" w:rsidRPr="002F6A24" w:rsidRDefault="009D4DA5">
            <w:pPr>
              <w:rPr>
                <w:color w:val="005A9E"/>
                <w:sz w:val="18"/>
                <w:szCs w:val="18"/>
                <w:lang w:val="en-US"/>
              </w:rPr>
            </w:pPr>
            <w:r w:rsidRPr="002F6A24">
              <w:rPr>
                <w:color w:val="005A9E"/>
                <w:sz w:val="18"/>
                <w:szCs w:val="18"/>
                <w:lang w:val="en-US"/>
              </w:rPr>
              <w:t>Primary bleeding source:</w:t>
            </w:r>
          </w:p>
          <w:p w14:paraId="3FD80D33" w14:textId="77777777" w:rsidR="00A75BD0" w:rsidRPr="002F6A24" w:rsidRDefault="009D4DA5">
            <w:pPr>
              <w:rPr>
                <w:color w:val="005A9E"/>
                <w:sz w:val="18"/>
                <w:szCs w:val="18"/>
                <w:lang w:val="en-US"/>
              </w:rPr>
            </w:pPr>
            <w:r w:rsidRPr="002F6A24">
              <w:rPr>
                <w:color w:val="005A9E"/>
                <w:sz w:val="18"/>
                <w:szCs w:val="18"/>
                <w:lang w:val="en-US"/>
              </w:rPr>
              <w:t>Epistaxis: 42%</w:t>
            </w:r>
          </w:p>
          <w:p w14:paraId="5E7F4261" w14:textId="77777777" w:rsidR="00A75BD0" w:rsidRPr="002F6A24" w:rsidRDefault="009D4DA5">
            <w:pPr>
              <w:rPr>
                <w:color w:val="005A9E"/>
                <w:sz w:val="18"/>
                <w:szCs w:val="18"/>
                <w:lang w:val="en-US"/>
              </w:rPr>
            </w:pPr>
            <w:r w:rsidRPr="002F6A24">
              <w:rPr>
                <w:color w:val="005A9E"/>
                <w:sz w:val="18"/>
                <w:szCs w:val="18"/>
                <w:lang w:val="en-US"/>
              </w:rPr>
              <w:t>GI bleeding: 19%</w:t>
            </w:r>
          </w:p>
          <w:p w14:paraId="53226FCF" w14:textId="77777777" w:rsidR="00A75BD0" w:rsidRPr="002F6A24" w:rsidRDefault="009D4DA5">
            <w:pPr>
              <w:rPr>
                <w:color w:val="005A9E"/>
                <w:sz w:val="18"/>
                <w:szCs w:val="18"/>
                <w:lang w:val="en-US"/>
              </w:rPr>
            </w:pPr>
            <w:r w:rsidRPr="002F6A24">
              <w:rPr>
                <w:color w:val="005A9E"/>
                <w:sz w:val="18"/>
                <w:szCs w:val="18"/>
                <w:lang w:val="en-US"/>
              </w:rPr>
              <w:t>Both: 39%</w:t>
            </w:r>
          </w:p>
          <w:p w14:paraId="6B28399B" w14:textId="77777777" w:rsidR="00A75BD0" w:rsidRPr="002F6A24" w:rsidRDefault="00A75BD0">
            <w:pPr>
              <w:rPr>
                <w:color w:val="005A9E"/>
                <w:sz w:val="18"/>
                <w:szCs w:val="18"/>
                <w:lang w:val="en-US"/>
              </w:rPr>
            </w:pPr>
          </w:p>
          <w:p w14:paraId="0136CE3F" w14:textId="77777777" w:rsidR="00A75BD0" w:rsidRPr="002F6A24" w:rsidRDefault="009D4DA5">
            <w:pPr>
              <w:rPr>
                <w:color w:val="005A9E"/>
                <w:sz w:val="18"/>
                <w:szCs w:val="18"/>
                <w:lang w:val="en-US"/>
              </w:rPr>
            </w:pPr>
            <w:r w:rsidRPr="002F6A24">
              <w:rPr>
                <w:color w:val="005A9E"/>
                <w:sz w:val="18"/>
                <w:szCs w:val="18"/>
                <w:lang w:val="en-US"/>
              </w:rPr>
              <w:t>343.9 patient-years of systemic bevacizumab</w:t>
            </w:r>
          </w:p>
        </w:tc>
        <w:tc>
          <w:tcPr>
            <w:tcW w:w="1985" w:type="dxa"/>
            <w:gridSpan w:val="2"/>
            <w:tcBorders>
              <w:bottom w:val="single" w:sz="4" w:space="0" w:color="000000" w:themeColor="text1"/>
            </w:tcBorders>
            <w:tcMar>
              <w:left w:w="28" w:type="dxa"/>
              <w:right w:w="28" w:type="dxa"/>
            </w:tcMar>
          </w:tcPr>
          <w:p w14:paraId="2E92FFC2" w14:textId="77777777" w:rsidR="00A75BD0" w:rsidRPr="002F6A24" w:rsidRDefault="009D4DA5">
            <w:pPr>
              <w:ind w:right="114"/>
              <w:rPr>
                <w:color w:val="005A9E"/>
                <w:sz w:val="18"/>
                <w:szCs w:val="18"/>
                <w:lang w:val="en-US"/>
              </w:rPr>
            </w:pPr>
            <w:r w:rsidRPr="002F6A24">
              <w:rPr>
                <w:color w:val="005A9E"/>
                <w:sz w:val="18"/>
                <w:szCs w:val="18"/>
                <w:lang w:val="en-US"/>
              </w:rPr>
              <w:t>5 mg/kg IV/2 weeks (occasionally of 1, 2.5, 3, or 7.5 mg/kg)</w:t>
            </w:r>
          </w:p>
          <w:p w14:paraId="586A8A25" w14:textId="77777777" w:rsidR="00A75BD0" w:rsidRPr="002F6A24" w:rsidRDefault="00A75BD0">
            <w:pPr>
              <w:ind w:right="114"/>
              <w:rPr>
                <w:color w:val="005A9E"/>
                <w:sz w:val="18"/>
                <w:szCs w:val="18"/>
                <w:lang w:val="en-US"/>
              </w:rPr>
            </w:pPr>
          </w:p>
          <w:p w14:paraId="0A429C87" w14:textId="77777777" w:rsidR="00A75BD0" w:rsidRPr="002F6A24" w:rsidRDefault="009D4DA5">
            <w:pPr>
              <w:ind w:right="114"/>
              <w:rPr>
                <w:color w:val="005A9E"/>
                <w:sz w:val="18"/>
                <w:szCs w:val="18"/>
                <w:lang w:val="en-US"/>
              </w:rPr>
            </w:pPr>
            <w:r w:rsidRPr="002F6A24">
              <w:rPr>
                <w:color w:val="005A9E"/>
                <w:sz w:val="18"/>
                <w:szCs w:val="18"/>
                <w:lang w:val="en-US"/>
              </w:rPr>
              <w:t>Total of 4-6 doses for 93% of patient</w:t>
            </w:r>
          </w:p>
          <w:p w14:paraId="387B9234" w14:textId="77777777" w:rsidR="00A75BD0" w:rsidRPr="002F6A24" w:rsidRDefault="00A75BD0">
            <w:pPr>
              <w:ind w:right="114"/>
              <w:rPr>
                <w:color w:val="005A9E"/>
                <w:sz w:val="18"/>
                <w:szCs w:val="18"/>
                <w:lang w:val="en-US"/>
              </w:rPr>
            </w:pPr>
          </w:p>
          <w:p w14:paraId="77A4A057" w14:textId="77777777" w:rsidR="00A75BD0" w:rsidRDefault="009D4DA5">
            <w:pPr>
              <w:ind w:right="114"/>
              <w:rPr>
                <w:color w:val="005A9E"/>
                <w:sz w:val="18"/>
                <w:szCs w:val="18"/>
              </w:rPr>
            </w:pPr>
            <w:r>
              <w:rPr>
                <w:color w:val="005A9E"/>
                <w:sz w:val="18"/>
                <w:szCs w:val="18"/>
              </w:rPr>
              <w:t xml:space="preserve">11 (range, 1-74) infusions/patient </w:t>
            </w:r>
          </w:p>
        </w:tc>
        <w:tc>
          <w:tcPr>
            <w:tcW w:w="992" w:type="dxa"/>
            <w:tcBorders>
              <w:bottom w:val="single" w:sz="4" w:space="0" w:color="000000" w:themeColor="text1"/>
            </w:tcBorders>
            <w:tcMar>
              <w:left w:w="28" w:type="dxa"/>
              <w:right w:w="28" w:type="dxa"/>
            </w:tcMar>
          </w:tcPr>
          <w:p w14:paraId="01A82671" w14:textId="77777777" w:rsidR="00A75BD0" w:rsidRDefault="009D4DA5" w:rsidP="0BA40188">
            <w:pPr>
              <w:rPr>
                <w:color w:val="005A9E"/>
                <w:sz w:val="18"/>
                <w:szCs w:val="18"/>
                <w:lang w:val="fr-FR"/>
              </w:rPr>
            </w:pPr>
            <w:r w:rsidRPr="0BA40188">
              <w:rPr>
                <w:color w:val="005A9E"/>
                <w:sz w:val="18"/>
                <w:szCs w:val="18"/>
                <w:lang w:val="fr-FR"/>
              </w:rPr>
              <w:t>12 months ( range 1-96)</w:t>
            </w:r>
          </w:p>
        </w:tc>
        <w:tc>
          <w:tcPr>
            <w:tcW w:w="2268" w:type="dxa"/>
            <w:gridSpan w:val="3"/>
            <w:tcBorders>
              <w:bottom w:val="single" w:sz="4" w:space="0" w:color="000000" w:themeColor="text1"/>
            </w:tcBorders>
            <w:tcMar>
              <w:left w:w="0" w:type="dxa"/>
              <w:right w:w="0" w:type="dxa"/>
            </w:tcMar>
          </w:tcPr>
          <w:p w14:paraId="2AD761D8" w14:textId="77777777" w:rsidR="00A75BD0" w:rsidRDefault="009D4DA5" w:rsidP="0BA40188">
            <w:pPr>
              <w:numPr>
                <w:ilvl w:val="0"/>
                <w:numId w:val="5"/>
              </w:numPr>
              <w:ind w:left="142" w:hanging="142"/>
              <w:rPr>
                <w:color w:val="005A9E"/>
                <w:sz w:val="18"/>
                <w:szCs w:val="18"/>
                <w:lang w:val="fr-FR"/>
              </w:rPr>
            </w:pPr>
            <w:r w:rsidRPr="0BA40188">
              <w:rPr>
                <w:color w:val="005A9E"/>
                <w:sz w:val="18"/>
                <w:szCs w:val="18"/>
                <w:lang w:val="fr-FR"/>
              </w:rPr>
              <w:t>Hemoglobinemia</w:t>
            </w:r>
          </w:p>
          <w:p w14:paraId="23D15611" w14:textId="77777777" w:rsidR="00A75BD0" w:rsidRDefault="009D4DA5" w:rsidP="0BA40188">
            <w:pPr>
              <w:numPr>
                <w:ilvl w:val="0"/>
                <w:numId w:val="28"/>
              </w:numPr>
              <w:ind w:left="142" w:hanging="142"/>
              <w:rPr>
                <w:color w:val="005A9E"/>
                <w:sz w:val="18"/>
                <w:szCs w:val="18"/>
                <w:lang w:val="fr-FR"/>
              </w:rPr>
            </w:pPr>
            <w:r w:rsidRPr="0BA40188">
              <w:rPr>
                <w:color w:val="005A9E"/>
                <w:sz w:val="18"/>
                <w:szCs w:val="18"/>
                <w:lang w:val="fr-FR"/>
              </w:rPr>
              <w:t>Epistaxis Severity Score (ESS)</w:t>
            </w:r>
          </w:p>
          <w:p w14:paraId="30DF8ACD" w14:textId="77777777" w:rsidR="00A75BD0" w:rsidRDefault="009D4DA5" w:rsidP="0BA40188">
            <w:pPr>
              <w:numPr>
                <w:ilvl w:val="0"/>
                <w:numId w:val="28"/>
              </w:numPr>
              <w:ind w:left="142" w:hanging="142"/>
              <w:rPr>
                <w:color w:val="005A9E"/>
                <w:sz w:val="18"/>
                <w:szCs w:val="18"/>
                <w:lang w:val="fr-FR"/>
              </w:rPr>
            </w:pPr>
            <w:r w:rsidRPr="0BA40188">
              <w:rPr>
                <w:color w:val="005A9E"/>
                <w:sz w:val="18"/>
                <w:szCs w:val="18"/>
                <w:lang w:val="fr-FR"/>
              </w:rPr>
              <w:t>RBC Transfusion and Iron Infusion</w:t>
            </w:r>
          </w:p>
        </w:tc>
        <w:tc>
          <w:tcPr>
            <w:tcW w:w="4730" w:type="dxa"/>
            <w:tcBorders>
              <w:bottom w:val="single" w:sz="4" w:space="0" w:color="000000" w:themeColor="text1"/>
            </w:tcBorders>
            <w:tcMar>
              <w:left w:w="28" w:type="dxa"/>
              <w:right w:w="28" w:type="dxa"/>
            </w:tcMar>
          </w:tcPr>
          <w:p w14:paraId="0ADCBAA6" w14:textId="77777777" w:rsidR="00A75BD0" w:rsidRDefault="009D4DA5" w:rsidP="0BA40188">
            <w:pPr>
              <w:keepLines/>
              <w:numPr>
                <w:ilvl w:val="0"/>
                <w:numId w:val="33"/>
              </w:numPr>
              <w:ind w:left="145" w:right="166" w:hanging="145"/>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Hb (+3.2 g/dL) </w:t>
            </w:r>
          </w:p>
          <w:p w14:paraId="50F117CE" w14:textId="77777777" w:rsidR="00A75BD0" w:rsidRPr="002F6A24" w:rsidRDefault="009D4DA5">
            <w:pPr>
              <w:keepLines/>
              <w:numPr>
                <w:ilvl w:val="0"/>
                <w:numId w:val="33"/>
              </w:numPr>
              <w:ind w:left="145" w:right="166" w:hanging="145"/>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ESS score (3.4/10 points during the first year)</w:t>
            </w:r>
          </w:p>
          <w:p w14:paraId="4C2B2372" w14:textId="77777777" w:rsidR="00A75BD0" w:rsidRPr="002F6A24" w:rsidRDefault="00A75BD0">
            <w:pPr>
              <w:ind w:left="145" w:right="166" w:hanging="145"/>
              <w:jc w:val="both"/>
              <w:rPr>
                <w:color w:val="005A9E"/>
                <w:sz w:val="18"/>
                <w:szCs w:val="18"/>
                <w:lang w:val="en-US"/>
              </w:rPr>
            </w:pPr>
          </w:p>
          <w:p w14:paraId="2DFBBA43" w14:textId="77777777" w:rsidR="00A75BD0" w:rsidRPr="002F6A24" w:rsidRDefault="009D4DA5">
            <w:pPr>
              <w:keepLines/>
              <w:numPr>
                <w:ilvl w:val="0"/>
                <w:numId w:val="33"/>
              </w:numPr>
              <w:ind w:left="145" w:right="166" w:hanging="145"/>
              <w:jc w:val="both"/>
              <w:rPr>
                <w:color w:val="005A9E"/>
                <w:sz w:val="18"/>
                <w:szCs w:val="18"/>
                <w:lang w:val="en-US"/>
              </w:rPr>
            </w:pPr>
            <w:r w:rsidRPr="002F6A24">
              <w:rPr>
                <w:color w:val="005A9E"/>
                <w:sz w:val="18"/>
                <w:szCs w:val="18"/>
                <w:lang w:val="en-US"/>
              </w:rPr>
              <w:t>Intermittent maintenance treatment associated with Hb &lt; and ESS&gt; compared to patient following a continuous maintenance but with more drug exposure</w:t>
            </w:r>
          </w:p>
          <w:p w14:paraId="2D255AC2" w14:textId="77777777" w:rsidR="00A75BD0" w:rsidRPr="002F6A24" w:rsidRDefault="00A75BD0">
            <w:pPr>
              <w:ind w:left="145" w:right="166" w:hanging="145"/>
              <w:jc w:val="both"/>
              <w:rPr>
                <w:color w:val="005A9E"/>
                <w:sz w:val="18"/>
                <w:szCs w:val="18"/>
                <w:lang w:val="en-US"/>
              </w:rPr>
            </w:pPr>
          </w:p>
          <w:p w14:paraId="0D1783B8" w14:textId="77777777" w:rsidR="00A75BD0" w:rsidRPr="002F6A24" w:rsidRDefault="009D4DA5">
            <w:pPr>
              <w:keepLines/>
              <w:numPr>
                <w:ilvl w:val="0"/>
                <w:numId w:val="33"/>
              </w:numPr>
              <w:ind w:left="145" w:right="166" w:hanging="145"/>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RBC units transfused (-82% during the first 6 months of treatment ; median of 6.0 units versus 0 units in pre-treatment period, P&lt;0.0001)</w:t>
            </w:r>
          </w:p>
          <w:p w14:paraId="5A24E902" w14:textId="77777777" w:rsidR="00A75BD0" w:rsidRPr="002F6A24" w:rsidRDefault="009D4DA5">
            <w:pPr>
              <w:keepLines/>
              <w:numPr>
                <w:ilvl w:val="0"/>
                <w:numId w:val="33"/>
              </w:numPr>
              <w:ind w:left="145" w:right="166" w:hanging="145"/>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Iron infusions (-70% during the first 6 months ; median of 6.0 versus 1.0 Infusions on pre-treatment, P&lt;0.0001)</w:t>
            </w:r>
          </w:p>
          <w:p w14:paraId="550BD049" w14:textId="77777777" w:rsidR="00A75BD0" w:rsidRDefault="009D4DA5" w:rsidP="0BA40188">
            <w:pPr>
              <w:keepLines/>
              <w:numPr>
                <w:ilvl w:val="0"/>
                <w:numId w:val="33"/>
              </w:numPr>
              <w:ind w:left="145" w:right="166" w:hanging="145"/>
              <w:jc w:val="both"/>
              <w:rPr>
                <w:color w:val="005A9E"/>
                <w:sz w:val="18"/>
                <w:szCs w:val="18"/>
                <w:lang w:val="fr-FR"/>
              </w:rPr>
            </w:pPr>
            <w:r w:rsidRPr="0BA40188">
              <w:rPr>
                <w:color w:val="005A9E"/>
                <w:sz w:val="18"/>
                <w:szCs w:val="18"/>
                <w:lang w:val="fr-FR"/>
              </w:rPr>
              <w:t>1,5 AE/100 patients per year</w:t>
            </w:r>
          </w:p>
        </w:tc>
      </w:tr>
      <w:tr w:rsidR="00A75BD0" w:rsidRPr="007428DF" w14:paraId="7A7B505F" w14:textId="77777777" w:rsidTr="0BA40188">
        <w:trPr>
          <w:trHeight w:val="529"/>
        </w:trPr>
        <w:tc>
          <w:tcPr>
            <w:tcW w:w="1273" w:type="dxa"/>
            <w:tcBorders>
              <w:bottom w:val="single" w:sz="4" w:space="0" w:color="000000" w:themeColor="text1"/>
            </w:tcBorders>
            <w:tcMar>
              <w:left w:w="28" w:type="dxa"/>
              <w:right w:w="28" w:type="dxa"/>
            </w:tcMar>
          </w:tcPr>
          <w:p w14:paraId="2AE47DD6" w14:textId="77777777" w:rsidR="00A75BD0" w:rsidRDefault="008853BF">
            <w:pPr>
              <w:ind w:right="306"/>
              <w:rPr>
                <w:color w:val="005A9E"/>
                <w:sz w:val="18"/>
                <w:szCs w:val="18"/>
              </w:rPr>
            </w:pPr>
            <w:hyperlink r:id="rId23">
              <w:r w:rsidR="009D4DA5">
                <w:rPr>
                  <w:color w:val="0563C1"/>
                  <w:sz w:val="18"/>
                  <w:szCs w:val="18"/>
                  <w:u w:val="single"/>
                </w:rPr>
                <w:t>Vazquez, 2020</w:t>
              </w:r>
            </w:hyperlink>
          </w:p>
        </w:tc>
        <w:tc>
          <w:tcPr>
            <w:tcW w:w="3685" w:type="dxa"/>
            <w:tcBorders>
              <w:bottom w:val="single" w:sz="4" w:space="0" w:color="000000" w:themeColor="text1"/>
            </w:tcBorders>
            <w:tcMar>
              <w:left w:w="28" w:type="dxa"/>
              <w:right w:w="28" w:type="dxa"/>
            </w:tcMar>
          </w:tcPr>
          <w:p w14:paraId="1ABC3A36" w14:textId="77777777" w:rsidR="00A75BD0" w:rsidRDefault="009D4DA5">
            <w:pPr>
              <w:rPr>
                <w:color w:val="005A9E"/>
                <w:sz w:val="18"/>
                <w:szCs w:val="18"/>
              </w:rPr>
            </w:pPr>
            <w:r>
              <w:rPr>
                <w:color w:val="005A9E"/>
                <w:sz w:val="18"/>
                <w:szCs w:val="18"/>
              </w:rPr>
              <w:t>20 patients</w:t>
            </w:r>
          </w:p>
          <w:p w14:paraId="4211D753" w14:textId="77777777" w:rsidR="00A75BD0" w:rsidRDefault="009D4DA5" w:rsidP="0BA40188">
            <w:pPr>
              <w:rPr>
                <w:color w:val="005A9E"/>
                <w:sz w:val="18"/>
                <w:szCs w:val="18"/>
                <w:lang w:val="fr-FR"/>
              </w:rPr>
            </w:pPr>
            <w:r w:rsidRPr="0BA40188">
              <w:rPr>
                <w:color w:val="005A9E"/>
                <w:sz w:val="18"/>
                <w:szCs w:val="18"/>
                <w:lang w:val="fr-FR"/>
              </w:rPr>
              <w:t xml:space="preserve">Aged 49.5-71 y (median 63y) </w:t>
            </w:r>
          </w:p>
          <w:p w14:paraId="417E5D59" w14:textId="77777777" w:rsidR="00A75BD0" w:rsidRDefault="009D4DA5" w:rsidP="0BA40188">
            <w:pPr>
              <w:rPr>
                <w:color w:val="005A9E"/>
                <w:sz w:val="18"/>
                <w:szCs w:val="18"/>
                <w:lang w:val="fr-FR"/>
              </w:rPr>
            </w:pPr>
            <w:r w:rsidRPr="0BA40188">
              <w:rPr>
                <w:color w:val="005A9E"/>
                <w:sz w:val="18"/>
                <w:szCs w:val="18"/>
                <w:lang w:val="fr-FR"/>
              </w:rPr>
              <w:t>From 2013-2019</w:t>
            </w:r>
          </w:p>
          <w:p w14:paraId="27D00323" w14:textId="77777777" w:rsidR="00A75BD0" w:rsidRDefault="009D4DA5">
            <w:pPr>
              <w:numPr>
                <w:ilvl w:val="0"/>
                <w:numId w:val="2"/>
              </w:numPr>
              <w:pBdr>
                <w:top w:val="nil"/>
                <w:left w:val="nil"/>
                <w:bottom w:val="nil"/>
                <w:right w:val="nil"/>
                <w:between w:val="nil"/>
              </w:pBdr>
              <w:spacing w:line="276" w:lineRule="auto"/>
              <w:rPr>
                <w:color w:val="005A9E"/>
                <w:sz w:val="18"/>
                <w:szCs w:val="18"/>
              </w:rPr>
            </w:pPr>
            <w:r>
              <w:rPr>
                <w:color w:val="005A9E"/>
                <w:sz w:val="18"/>
                <w:szCs w:val="18"/>
              </w:rPr>
              <w:t>CI=4.5</w:t>
            </w:r>
            <w:r>
              <w:rPr>
                <w:color w:val="000000"/>
              </w:rPr>
              <w:t xml:space="preserve"> </w:t>
            </w:r>
            <w:r>
              <w:rPr>
                <w:color w:val="005A9E"/>
                <w:sz w:val="18"/>
                <w:szCs w:val="18"/>
              </w:rPr>
              <w:t>L/min/m</w:t>
            </w:r>
            <w:r>
              <w:rPr>
                <w:color w:val="005A9E"/>
                <w:sz w:val="18"/>
                <w:szCs w:val="18"/>
                <w:vertAlign w:val="superscript"/>
              </w:rPr>
              <w:t>2</w:t>
            </w:r>
          </w:p>
          <w:p w14:paraId="72152D74" w14:textId="77777777" w:rsidR="00A75BD0" w:rsidRDefault="00A75BD0">
            <w:pPr>
              <w:rPr>
                <w:color w:val="005A9E"/>
                <w:sz w:val="18"/>
                <w:szCs w:val="18"/>
              </w:rPr>
            </w:pPr>
          </w:p>
          <w:p w14:paraId="317DAFE1" w14:textId="77777777" w:rsidR="00A75BD0" w:rsidRDefault="009D4DA5" w:rsidP="0BA40188">
            <w:pPr>
              <w:rPr>
                <w:color w:val="005A9E"/>
                <w:sz w:val="18"/>
                <w:szCs w:val="18"/>
                <w:lang w:val="fr-FR"/>
              </w:rPr>
            </w:pPr>
            <w:r w:rsidRPr="0BA40188">
              <w:rPr>
                <w:color w:val="005A9E"/>
                <w:sz w:val="18"/>
                <w:szCs w:val="18"/>
                <w:lang w:val="fr-FR"/>
              </w:rPr>
              <w:t>Bevacizumab indication :</w:t>
            </w:r>
          </w:p>
          <w:p w14:paraId="3DD12494" w14:textId="77777777" w:rsidR="00A75BD0" w:rsidRDefault="009D4DA5" w:rsidP="0BA40188">
            <w:pPr>
              <w:numPr>
                <w:ilvl w:val="0"/>
                <w:numId w:val="2"/>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Refractory anemia (13 patients)</w:t>
            </w:r>
          </w:p>
          <w:p w14:paraId="1B751371" w14:textId="77777777" w:rsidR="00A75BD0" w:rsidRDefault="009D4DA5" w:rsidP="0BA40188">
            <w:pPr>
              <w:numPr>
                <w:ilvl w:val="0"/>
                <w:numId w:val="2"/>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High Output cardiac failure (4 patients): CI=5.6</w:t>
            </w:r>
            <w:r w:rsidRPr="0BA40188">
              <w:rPr>
                <w:color w:val="000000" w:themeColor="text1"/>
                <w:lang w:val="fr-FR"/>
              </w:rPr>
              <w:t xml:space="preserve"> </w:t>
            </w:r>
            <w:r w:rsidRPr="0BA40188">
              <w:rPr>
                <w:color w:val="005A9E"/>
                <w:sz w:val="18"/>
                <w:szCs w:val="18"/>
                <w:lang w:val="fr-FR"/>
              </w:rPr>
              <w:t>L/min/m</w:t>
            </w:r>
            <w:r w:rsidRPr="0BA40188">
              <w:rPr>
                <w:color w:val="005A9E"/>
                <w:sz w:val="18"/>
                <w:szCs w:val="18"/>
                <w:vertAlign w:val="superscript"/>
                <w:lang w:val="fr-FR"/>
              </w:rPr>
              <w:t>2</w:t>
            </w:r>
          </w:p>
          <w:p w14:paraId="75778913" w14:textId="77777777" w:rsidR="00A75BD0" w:rsidRDefault="009D4DA5" w:rsidP="0BA40188">
            <w:pPr>
              <w:numPr>
                <w:ilvl w:val="0"/>
                <w:numId w:val="2"/>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Both (3 patients)</w:t>
            </w:r>
          </w:p>
        </w:tc>
        <w:tc>
          <w:tcPr>
            <w:tcW w:w="1985" w:type="dxa"/>
            <w:gridSpan w:val="2"/>
            <w:tcBorders>
              <w:bottom w:val="single" w:sz="4" w:space="0" w:color="000000" w:themeColor="text1"/>
            </w:tcBorders>
            <w:tcMar>
              <w:left w:w="28" w:type="dxa"/>
              <w:right w:w="28" w:type="dxa"/>
            </w:tcMar>
          </w:tcPr>
          <w:p w14:paraId="05D2927F" w14:textId="77777777" w:rsidR="00A75BD0" w:rsidRPr="002F6A24" w:rsidRDefault="009D4DA5">
            <w:pPr>
              <w:ind w:right="114"/>
              <w:rPr>
                <w:color w:val="005A9E"/>
                <w:sz w:val="18"/>
                <w:szCs w:val="18"/>
                <w:lang w:val="en-US"/>
              </w:rPr>
            </w:pPr>
            <w:r w:rsidRPr="002F6A24">
              <w:rPr>
                <w:color w:val="005A9E"/>
                <w:sz w:val="18"/>
                <w:szCs w:val="18"/>
                <w:lang w:val="en-US"/>
              </w:rPr>
              <w:t xml:space="preserve">Initial treatment: 5 mg/kg IV / 2 weeks </w:t>
            </w:r>
          </w:p>
          <w:p w14:paraId="7A4AB786" w14:textId="77777777" w:rsidR="00A75BD0" w:rsidRDefault="009D4DA5">
            <w:pPr>
              <w:ind w:right="114"/>
              <w:rPr>
                <w:color w:val="005A9E"/>
                <w:sz w:val="18"/>
                <w:szCs w:val="18"/>
              </w:rPr>
            </w:pPr>
            <w:r>
              <w:rPr>
                <w:color w:val="005A9E"/>
                <w:sz w:val="18"/>
                <w:szCs w:val="18"/>
              </w:rPr>
              <w:t xml:space="preserve">6 infusions </w:t>
            </w:r>
          </w:p>
          <w:p w14:paraId="1F6F8206" w14:textId="77777777" w:rsidR="00A75BD0" w:rsidRDefault="00A75BD0">
            <w:pPr>
              <w:ind w:right="114"/>
              <w:rPr>
                <w:color w:val="005A9E"/>
                <w:sz w:val="18"/>
                <w:szCs w:val="18"/>
              </w:rPr>
            </w:pPr>
          </w:p>
        </w:tc>
        <w:tc>
          <w:tcPr>
            <w:tcW w:w="992" w:type="dxa"/>
            <w:tcBorders>
              <w:bottom w:val="single" w:sz="4" w:space="0" w:color="000000" w:themeColor="text1"/>
            </w:tcBorders>
            <w:tcMar>
              <w:left w:w="28" w:type="dxa"/>
              <w:right w:w="28" w:type="dxa"/>
            </w:tcMar>
          </w:tcPr>
          <w:p w14:paraId="13DBDADA" w14:textId="77777777" w:rsidR="00A75BD0" w:rsidRDefault="009D4DA5">
            <w:pPr>
              <w:rPr>
                <w:color w:val="005A9E"/>
                <w:sz w:val="18"/>
                <w:szCs w:val="18"/>
              </w:rPr>
            </w:pPr>
            <w:r>
              <w:rPr>
                <w:color w:val="005A9E"/>
                <w:sz w:val="18"/>
                <w:szCs w:val="18"/>
              </w:rPr>
              <w:t xml:space="preserve">13.5 (range1.5 – 66.5)  </w:t>
            </w:r>
          </w:p>
        </w:tc>
        <w:tc>
          <w:tcPr>
            <w:tcW w:w="2268" w:type="dxa"/>
            <w:gridSpan w:val="3"/>
            <w:tcBorders>
              <w:bottom w:val="single" w:sz="4" w:space="0" w:color="000000" w:themeColor="text1"/>
            </w:tcBorders>
            <w:tcMar>
              <w:left w:w="0" w:type="dxa"/>
              <w:right w:w="0" w:type="dxa"/>
            </w:tcMar>
          </w:tcPr>
          <w:p w14:paraId="74679949" w14:textId="77777777" w:rsidR="00A75BD0" w:rsidRDefault="009D4DA5" w:rsidP="0BA40188">
            <w:pPr>
              <w:rPr>
                <w:color w:val="005A9E"/>
                <w:sz w:val="18"/>
                <w:szCs w:val="18"/>
                <w:lang w:val="fr-FR"/>
              </w:rPr>
            </w:pPr>
            <w:r w:rsidRPr="0BA40188">
              <w:rPr>
                <w:color w:val="005A9E"/>
                <w:sz w:val="18"/>
                <w:szCs w:val="18"/>
                <w:lang w:val="fr-FR"/>
              </w:rPr>
              <w:t>Hemoglobinemia</w:t>
            </w:r>
          </w:p>
          <w:p w14:paraId="45707949" w14:textId="77777777" w:rsidR="00A75BD0" w:rsidRDefault="009D4DA5">
            <w:pPr>
              <w:rPr>
                <w:color w:val="005A9E"/>
                <w:sz w:val="18"/>
                <w:szCs w:val="18"/>
              </w:rPr>
            </w:pPr>
            <w:r>
              <w:rPr>
                <w:color w:val="005A9E"/>
                <w:sz w:val="18"/>
                <w:szCs w:val="18"/>
              </w:rPr>
              <w:t>Transfusion,</w:t>
            </w:r>
          </w:p>
          <w:p w14:paraId="06E9B16D" w14:textId="77777777" w:rsidR="00A75BD0" w:rsidRDefault="009D4DA5">
            <w:pPr>
              <w:rPr>
                <w:color w:val="005A9E"/>
                <w:sz w:val="18"/>
                <w:szCs w:val="18"/>
              </w:rPr>
            </w:pPr>
            <w:r>
              <w:rPr>
                <w:color w:val="005A9E"/>
                <w:sz w:val="18"/>
                <w:szCs w:val="18"/>
              </w:rPr>
              <w:t>ESS,</w:t>
            </w:r>
          </w:p>
          <w:p w14:paraId="4E485626" w14:textId="77777777" w:rsidR="00A75BD0" w:rsidRDefault="009D4DA5">
            <w:pPr>
              <w:rPr>
                <w:color w:val="005A9E"/>
                <w:sz w:val="18"/>
                <w:szCs w:val="18"/>
              </w:rPr>
            </w:pPr>
            <w:r>
              <w:rPr>
                <w:color w:val="005A9E"/>
                <w:sz w:val="18"/>
                <w:szCs w:val="18"/>
              </w:rPr>
              <w:t>AE</w:t>
            </w:r>
          </w:p>
        </w:tc>
        <w:tc>
          <w:tcPr>
            <w:tcW w:w="4730" w:type="dxa"/>
            <w:tcBorders>
              <w:bottom w:val="single" w:sz="4" w:space="0" w:color="000000" w:themeColor="text1"/>
            </w:tcBorders>
            <w:tcMar>
              <w:left w:w="28" w:type="dxa"/>
              <w:right w:w="28" w:type="dxa"/>
            </w:tcMar>
          </w:tcPr>
          <w:p w14:paraId="481DC872" w14:textId="77777777" w:rsidR="00A75BD0" w:rsidRPr="002F6A24" w:rsidRDefault="009D4DA5">
            <w:pPr>
              <w:keepLines/>
              <w:numPr>
                <w:ilvl w:val="0"/>
                <w:numId w:val="8"/>
              </w:numPr>
              <w:pBdr>
                <w:top w:val="nil"/>
                <w:left w:val="nil"/>
                <w:bottom w:val="nil"/>
                <w:right w:val="nil"/>
                <w:between w:val="nil"/>
              </w:pBdr>
              <w:ind w:left="113" w:right="166" w:hanging="113"/>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Hb (+2.8 g/dL in anemia group) at 12 months of treatment</w:t>
            </w:r>
          </w:p>
          <w:p w14:paraId="399F92AF" w14:textId="77777777" w:rsidR="00A75BD0" w:rsidRPr="002F6A24" w:rsidRDefault="009D4DA5">
            <w:pPr>
              <w:keepLines/>
              <w:numPr>
                <w:ilvl w:val="0"/>
                <w:numId w:val="8"/>
              </w:numPr>
              <w:pBdr>
                <w:top w:val="nil"/>
                <w:left w:val="nil"/>
                <w:bottom w:val="nil"/>
                <w:right w:val="nil"/>
                <w:between w:val="nil"/>
              </w:pBdr>
              <w:ind w:left="113" w:right="166" w:hanging="113"/>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RBC units transfused at 12 months of treatment (50% reduction +Hb&gt;10g/dL in 64.4% of patients of anemia group at 3 months of treatment, 44.5% at 12 months) </w:t>
            </w:r>
          </w:p>
          <w:p w14:paraId="39CB122D" w14:textId="77777777" w:rsidR="00A75BD0" w:rsidRPr="002F6A24" w:rsidRDefault="009D4DA5">
            <w:pPr>
              <w:keepLines/>
              <w:numPr>
                <w:ilvl w:val="0"/>
                <w:numId w:val="8"/>
              </w:numPr>
              <w:pBdr>
                <w:top w:val="nil"/>
                <w:left w:val="nil"/>
                <w:bottom w:val="nil"/>
                <w:right w:val="nil"/>
                <w:between w:val="nil"/>
              </w:pBdr>
              <w:ind w:left="113" w:right="166" w:hanging="113"/>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ESS score at 12 months of treatment</w:t>
            </w:r>
          </w:p>
          <w:p w14:paraId="3E851094" w14:textId="77777777" w:rsidR="00A75BD0" w:rsidRDefault="009D4DA5" w:rsidP="0BA40188">
            <w:pPr>
              <w:keepLines/>
              <w:numPr>
                <w:ilvl w:val="0"/>
                <w:numId w:val="8"/>
              </w:numPr>
              <w:pBdr>
                <w:top w:val="nil"/>
                <w:left w:val="nil"/>
                <w:bottom w:val="nil"/>
                <w:right w:val="nil"/>
                <w:between w:val="nil"/>
              </w:pBdr>
              <w:ind w:left="113" w:right="166" w:hanging="113"/>
              <w:jc w:val="both"/>
              <w:rPr>
                <w:color w:val="005A9E"/>
                <w:sz w:val="18"/>
                <w:szCs w:val="18"/>
                <w:lang w:val="fr-FR"/>
              </w:rPr>
            </w:pPr>
            <w:r w:rsidRPr="0BA40188">
              <w:rPr>
                <w:color w:val="005A9E"/>
                <w:sz w:val="18"/>
                <w:szCs w:val="18"/>
                <w:lang w:val="fr-FR"/>
              </w:rPr>
              <w:t>AE:</w:t>
            </w:r>
          </w:p>
          <w:p w14:paraId="11D9DB81" w14:textId="77777777" w:rsidR="00A75BD0" w:rsidRDefault="009D4DA5" w:rsidP="0BA40188">
            <w:pPr>
              <w:keepLines/>
              <w:numPr>
                <w:ilvl w:val="0"/>
                <w:numId w:val="8"/>
              </w:numPr>
              <w:pBdr>
                <w:top w:val="nil"/>
                <w:left w:val="nil"/>
                <w:bottom w:val="nil"/>
                <w:right w:val="nil"/>
                <w:between w:val="nil"/>
              </w:pBdr>
              <w:ind w:left="539" w:right="166" w:hanging="179"/>
              <w:jc w:val="both"/>
              <w:rPr>
                <w:color w:val="005A9E"/>
                <w:sz w:val="18"/>
                <w:szCs w:val="18"/>
                <w:lang w:val="fr-FR"/>
              </w:rPr>
            </w:pPr>
            <w:r w:rsidRPr="0BA40188">
              <w:rPr>
                <w:color w:val="005A9E"/>
                <w:sz w:val="18"/>
                <w:szCs w:val="18"/>
                <w:lang w:val="fr-FR"/>
              </w:rPr>
              <w:t>poor wound healing (4 patients)</w:t>
            </w:r>
          </w:p>
          <w:p w14:paraId="6DC6A041" w14:textId="77777777" w:rsidR="00A75BD0" w:rsidRPr="002F6A24" w:rsidRDefault="009D4DA5">
            <w:pPr>
              <w:keepLines/>
              <w:numPr>
                <w:ilvl w:val="0"/>
                <w:numId w:val="8"/>
              </w:numPr>
              <w:pBdr>
                <w:top w:val="nil"/>
                <w:left w:val="nil"/>
                <w:bottom w:val="nil"/>
                <w:right w:val="nil"/>
                <w:between w:val="nil"/>
              </w:pBdr>
              <w:ind w:left="539" w:right="166" w:hanging="179"/>
              <w:jc w:val="both"/>
              <w:rPr>
                <w:color w:val="005A9E"/>
                <w:sz w:val="18"/>
                <w:szCs w:val="18"/>
                <w:lang w:val="en-US"/>
              </w:rPr>
            </w:pPr>
            <w:r w:rsidRPr="002F6A24">
              <w:rPr>
                <w:color w:val="005A9E"/>
                <w:sz w:val="18"/>
                <w:szCs w:val="18"/>
                <w:lang w:val="en-US"/>
              </w:rPr>
              <w:t>worsening of previous hypertension (2 patients)</w:t>
            </w:r>
          </w:p>
          <w:p w14:paraId="77FEC6E2" w14:textId="77777777" w:rsidR="00A75BD0" w:rsidRDefault="009D4DA5" w:rsidP="0BA40188">
            <w:pPr>
              <w:keepLines/>
              <w:numPr>
                <w:ilvl w:val="0"/>
                <w:numId w:val="8"/>
              </w:numPr>
              <w:pBdr>
                <w:top w:val="nil"/>
                <w:left w:val="nil"/>
                <w:bottom w:val="nil"/>
                <w:right w:val="nil"/>
                <w:between w:val="nil"/>
              </w:pBdr>
              <w:ind w:left="539" w:right="166" w:hanging="179"/>
              <w:jc w:val="both"/>
              <w:rPr>
                <w:color w:val="005A9E"/>
                <w:sz w:val="18"/>
                <w:szCs w:val="18"/>
                <w:lang w:val="fr-FR"/>
              </w:rPr>
            </w:pPr>
            <w:r w:rsidRPr="0BA40188">
              <w:rPr>
                <w:color w:val="005A9E"/>
                <w:sz w:val="18"/>
                <w:szCs w:val="18"/>
                <w:lang w:val="fr-FR"/>
              </w:rPr>
              <w:t>asthenia/myalgia (4 patients)</w:t>
            </w:r>
          </w:p>
          <w:p w14:paraId="0420D440" w14:textId="77777777" w:rsidR="00A75BD0" w:rsidRPr="002F6A24" w:rsidRDefault="009D4DA5">
            <w:pPr>
              <w:keepLines/>
              <w:numPr>
                <w:ilvl w:val="0"/>
                <w:numId w:val="8"/>
              </w:numPr>
              <w:pBdr>
                <w:top w:val="nil"/>
                <w:left w:val="nil"/>
                <w:bottom w:val="nil"/>
                <w:right w:val="nil"/>
                <w:between w:val="nil"/>
              </w:pBdr>
              <w:ind w:left="539" w:right="166" w:hanging="179"/>
              <w:jc w:val="both"/>
              <w:rPr>
                <w:color w:val="005A9E"/>
                <w:sz w:val="18"/>
                <w:szCs w:val="18"/>
                <w:lang w:val="en-US"/>
              </w:rPr>
            </w:pPr>
            <w:r w:rsidRPr="002F6A24">
              <w:rPr>
                <w:color w:val="005A9E"/>
                <w:sz w:val="18"/>
                <w:szCs w:val="18"/>
                <w:lang w:val="en-US"/>
              </w:rPr>
              <w:t>an ischemic non-cardioembolic stroked during treatment (1 patient)</w:t>
            </w:r>
          </w:p>
        </w:tc>
      </w:tr>
      <w:tr w:rsidR="00A75BD0" w:rsidRPr="007428DF" w14:paraId="374BCC06" w14:textId="77777777" w:rsidTr="0BA40188">
        <w:trPr>
          <w:trHeight w:val="529"/>
        </w:trPr>
        <w:tc>
          <w:tcPr>
            <w:tcW w:w="1273" w:type="dxa"/>
            <w:tcBorders>
              <w:bottom w:val="single" w:sz="4" w:space="0" w:color="000000" w:themeColor="text1"/>
            </w:tcBorders>
            <w:tcMar>
              <w:left w:w="28" w:type="dxa"/>
              <w:right w:w="28" w:type="dxa"/>
            </w:tcMar>
          </w:tcPr>
          <w:p w14:paraId="67C74465" w14:textId="77777777" w:rsidR="00A75BD0" w:rsidRDefault="008853BF">
            <w:pPr>
              <w:ind w:right="306"/>
              <w:rPr>
                <w:color w:val="005A9E"/>
                <w:sz w:val="18"/>
                <w:szCs w:val="18"/>
              </w:rPr>
            </w:pPr>
            <w:hyperlink r:id="rId24">
              <w:r w:rsidR="009D4DA5">
                <w:rPr>
                  <w:color w:val="0563C1"/>
                  <w:sz w:val="18"/>
                  <w:szCs w:val="18"/>
                  <w:u w:val="single"/>
                </w:rPr>
                <w:t>Al-Samkari, 2020</w:t>
              </w:r>
            </w:hyperlink>
          </w:p>
        </w:tc>
        <w:tc>
          <w:tcPr>
            <w:tcW w:w="3685" w:type="dxa"/>
            <w:tcBorders>
              <w:bottom w:val="single" w:sz="4" w:space="0" w:color="000000" w:themeColor="text1"/>
            </w:tcBorders>
            <w:tcMar>
              <w:left w:w="28" w:type="dxa"/>
              <w:right w:w="28" w:type="dxa"/>
            </w:tcMar>
          </w:tcPr>
          <w:p w14:paraId="6297C881" w14:textId="77777777" w:rsidR="00A75BD0" w:rsidRPr="002F6A24" w:rsidRDefault="009D4DA5">
            <w:pPr>
              <w:rPr>
                <w:color w:val="005A9E"/>
                <w:sz w:val="18"/>
                <w:szCs w:val="18"/>
                <w:lang w:val="en-US"/>
              </w:rPr>
            </w:pPr>
            <w:r w:rsidRPr="002F6A24">
              <w:rPr>
                <w:color w:val="005A9E"/>
                <w:sz w:val="18"/>
                <w:szCs w:val="18"/>
                <w:lang w:val="en-US"/>
              </w:rPr>
              <w:t>25-item international survey</w:t>
            </w:r>
          </w:p>
          <w:p w14:paraId="73F3F9B1" w14:textId="77777777" w:rsidR="00A75BD0" w:rsidRPr="002F6A24" w:rsidRDefault="00A75BD0">
            <w:pPr>
              <w:rPr>
                <w:color w:val="005A9E"/>
                <w:sz w:val="18"/>
                <w:szCs w:val="18"/>
                <w:lang w:val="en-US"/>
              </w:rPr>
            </w:pPr>
          </w:p>
          <w:p w14:paraId="71BEECAA" w14:textId="77777777" w:rsidR="00A75BD0" w:rsidRPr="002F6A24" w:rsidRDefault="009D4DA5">
            <w:pPr>
              <w:rPr>
                <w:color w:val="005A9E"/>
                <w:sz w:val="18"/>
                <w:szCs w:val="18"/>
                <w:lang w:val="en-US"/>
              </w:rPr>
            </w:pPr>
            <w:r w:rsidRPr="002F6A24">
              <w:rPr>
                <w:color w:val="005A9E"/>
                <w:sz w:val="18"/>
                <w:szCs w:val="18"/>
                <w:lang w:val="en-US"/>
              </w:rPr>
              <w:t>22 American centers</w:t>
            </w:r>
          </w:p>
          <w:p w14:paraId="448A2F37" w14:textId="77777777" w:rsidR="00A75BD0" w:rsidRPr="002F6A24" w:rsidRDefault="009D4DA5">
            <w:pPr>
              <w:rPr>
                <w:color w:val="005A9E"/>
                <w:sz w:val="18"/>
                <w:szCs w:val="18"/>
                <w:lang w:val="en-US"/>
              </w:rPr>
            </w:pPr>
            <w:r w:rsidRPr="002F6A24">
              <w:rPr>
                <w:color w:val="005A9E"/>
                <w:sz w:val="18"/>
                <w:szCs w:val="18"/>
                <w:lang w:val="en-US"/>
              </w:rPr>
              <w:t>4 international centers of excellence</w:t>
            </w:r>
          </w:p>
          <w:p w14:paraId="04423BC2" w14:textId="77777777" w:rsidR="00A75BD0" w:rsidRPr="002F6A24" w:rsidRDefault="00A75BD0">
            <w:pPr>
              <w:rPr>
                <w:color w:val="005A9E"/>
                <w:sz w:val="18"/>
                <w:szCs w:val="18"/>
                <w:lang w:val="en-US"/>
              </w:rPr>
            </w:pPr>
          </w:p>
          <w:p w14:paraId="7BFB2EBB" w14:textId="77777777" w:rsidR="00A75BD0" w:rsidRPr="002F6A24" w:rsidRDefault="009D4DA5">
            <w:pPr>
              <w:rPr>
                <w:color w:val="005A9E"/>
                <w:sz w:val="18"/>
                <w:szCs w:val="18"/>
                <w:lang w:val="en-US"/>
              </w:rPr>
            </w:pPr>
            <w:r w:rsidRPr="002F6A24">
              <w:rPr>
                <w:color w:val="005A9E"/>
                <w:sz w:val="18"/>
                <w:szCs w:val="18"/>
                <w:lang w:val="en-US"/>
              </w:rPr>
              <w:t>291 patients</w:t>
            </w:r>
          </w:p>
          <w:p w14:paraId="6E3CB10B" w14:textId="77777777" w:rsidR="00A75BD0" w:rsidRPr="002F6A24" w:rsidRDefault="009D4DA5">
            <w:pPr>
              <w:rPr>
                <w:color w:val="005A9E"/>
                <w:sz w:val="18"/>
                <w:szCs w:val="18"/>
                <w:lang w:val="en-US"/>
              </w:rPr>
            </w:pPr>
            <w:r w:rsidRPr="002F6A24">
              <w:rPr>
                <w:color w:val="005A9E"/>
                <w:sz w:val="18"/>
                <w:szCs w:val="18"/>
                <w:lang w:val="en-US"/>
              </w:rPr>
              <w:t>Chronic bleeding in HHT except HHT-related high-output cardiac failure</w:t>
            </w:r>
          </w:p>
        </w:tc>
        <w:tc>
          <w:tcPr>
            <w:tcW w:w="1985" w:type="dxa"/>
            <w:gridSpan w:val="2"/>
            <w:tcBorders>
              <w:bottom w:val="single" w:sz="4" w:space="0" w:color="000000" w:themeColor="text1"/>
            </w:tcBorders>
            <w:tcMar>
              <w:left w:w="28" w:type="dxa"/>
              <w:right w:w="28" w:type="dxa"/>
            </w:tcMar>
          </w:tcPr>
          <w:p w14:paraId="2960EF9B" w14:textId="77777777" w:rsidR="00A75BD0" w:rsidRPr="002F6A24" w:rsidRDefault="009D4DA5">
            <w:pPr>
              <w:ind w:right="114"/>
              <w:rPr>
                <w:color w:val="005A9E"/>
                <w:sz w:val="18"/>
                <w:szCs w:val="18"/>
                <w:lang w:val="en-US"/>
              </w:rPr>
            </w:pPr>
            <w:r w:rsidRPr="002F6A24">
              <w:rPr>
                <w:color w:val="005A9E"/>
                <w:sz w:val="18"/>
                <w:szCs w:val="18"/>
                <w:lang w:val="en-US"/>
              </w:rPr>
              <w:t>Induction treatment:</w:t>
            </w:r>
          </w:p>
          <w:p w14:paraId="06D4C37C" w14:textId="77777777" w:rsidR="00A75BD0" w:rsidRPr="002F6A24" w:rsidRDefault="009D4DA5">
            <w:pPr>
              <w:ind w:right="114"/>
              <w:rPr>
                <w:color w:val="005A9E"/>
                <w:sz w:val="18"/>
                <w:szCs w:val="18"/>
                <w:lang w:val="en-US"/>
              </w:rPr>
            </w:pPr>
            <w:r w:rsidRPr="002F6A24">
              <w:rPr>
                <w:color w:val="005A9E"/>
                <w:sz w:val="18"/>
                <w:szCs w:val="18"/>
                <w:lang w:val="en-US"/>
              </w:rPr>
              <w:t xml:space="preserve">5 mg/kg IV /2 weeks </w:t>
            </w:r>
          </w:p>
          <w:p w14:paraId="2B5C2C0A" w14:textId="77777777" w:rsidR="00A75BD0" w:rsidRPr="002F6A24" w:rsidRDefault="009D4DA5">
            <w:pPr>
              <w:ind w:right="114"/>
              <w:rPr>
                <w:color w:val="005A9E"/>
                <w:sz w:val="18"/>
                <w:szCs w:val="18"/>
                <w:lang w:val="en-US"/>
              </w:rPr>
            </w:pPr>
            <w:r w:rsidRPr="002F6A24">
              <w:rPr>
                <w:color w:val="005A9E"/>
                <w:sz w:val="18"/>
                <w:szCs w:val="18"/>
                <w:lang w:val="en-US"/>
              </w:rPr>
              <w:t>6 infusions (range 4-8)</w:t>
            </w:r>
          </w:p>
          <w:p w14:paraId="0A1233C2" w14:textId="77777777" w:rsidR="00A75BD0" w:rsidRPr="002F6A24" w:rsidRDefault="009D4DA5">
            <w:pPr>
              <w:ind w:right="114"/>
              <w:rPr>
                <w:color w:val="005A9E"/>
                <w:sz w:val="18"/>
                <w:szCs w:val="18"/>
                <w:lang w:val="en-US"/>
              </w:rPr>
            </w:pPr>
            <w:r w:rsidRPr="002F6A24">
              <w:rPr>
                <w:color w:val="005A9E"/>
                <w:sz w:val="18"/>
                <w:szCs w:val="18"/>
                <w:lang w:val="en-US"/>
              </w:rPr>
              <w:t xml:space="preserve"> </w:t>
            </w:r>
          </w:p>
          <w:p w14:paraId="77584ED3" w14:textId="77777777" w:rsidR="00A75BD0" w:rsidRPr="002F6A24" w:rsidRDefault="009D4DA5">
            <w:pPr>
              <w:ind w:right="114"/>
              <w:rPr>
                <w:color w:val="005A9E"/>
                <w:sz w:val="18"/>
                <w:szCs w:val="18"/>
                <w:lang w:val="en-US"/>
              </w:rPr>
            </w:pPr>
            <w:r w:rsidRPr="002F6A24">
              <w:rPr>
                <w:color w:val="005A9E"/>
                <w:sz w:val="18"/>
                <w:szCs w:val="18"/>
                <w:u w:val="single"/>
                <w:lang w:val="en-US"/>
              </w:rPr>
              <w:t>Continuous maintenance:</w:t>
            </w:r>
            <w:r w:rsidRPr="002F6A24">
              <w:rPr>
                <w:color w:val="005A9E"/>
                <w:sz w:val="18"/>
                <w:szCs w:val="18"/>
                <w:lang w:val="en-US"/>
              </w:rPr>
              <w:t xml:space="preserve"> 5 mg/kg /4 weeks (range 2-12w)</w:t>
            </w:r>
          </w:p>
          <w:p w14:paraId="11D4DB15" w14:textId="77777777" w:rsidR="00A75BD0" w:rsidRPr="002F6A24" w:rsidRDefault="009D4DA5">
            <w:pPr>
              <w:ind w:right="114"/>
              <w:rPr>
                <w:color w:val="005A9E"/>
                <w:sz w:val="18"/>
                <w:szCs w:val="18"/>
                <w:lang w:val="en-US"/>
              </w:rPr>
            </w:pPr>
            <w:r w:rsidRPr="002F6A24">
              <w:rPr>
                <w:color w:val="005A9E"/>
                <w:sz w:val="18"/>
                <w:szCs w:val="18"/>
                <w:u w:val="single"/>
                <w:lang w:val="en-US"/>
              </w:rPr>
              <w:t>Intermittent treatment:</w:t>
            </w:r>
            <w:r w:rsidRPr="002F6A24">
              <w:rPr>
                <w:color w:val="005A9E"/>
                <w:sz w:val="18"/>
                <w:szCs w:val="18"/>
                <w:lang w:val="en-US"/>
              </w:rPr>
              <w:t xml:space="preserve"> 5 mg/kg / 2 weeks (range 2-8 w)</w:t>
            </w:r>
          </w:p>
          <w:p w14:paraId="2DE573CB" w14:textId="77777777" w:rsidR="00A75BD0" w:rsidRDefault="009D4DA5">
            <w:pPr>
              <w:ind w:right="114"/>
              <w:rPr>
                <w:color w:val="005A9E"/>
                <w:sz w:val="18"/>
                <w:szCs w:val="18"/>
              </w:rPr>
            </w:pPr>
            <w:r>
              <w:rPr>
                <w:color w:val="005A9E"/>
                <w:sz w:val="18"/>
                <w:szCs w:val="18"/>
              </w:rPr>
              <w:t>6 doses (range 1-8)</w:t>
            </w:r>
          </w:p>
        </w:tc>
        <w:tc>
          <w:tcPr>
            <w:tcW w:w="992" w:type="dxa"/>
            <w:tcBorders>
              <w:bottom w:val="single" w:sz="4" w:space="0" w:color="000000" w:themeColor="text1"/>
            </w:tcBorders>
            <w:tcMar>
              <w:left w:w="28" w:type="dxa"/>
              <w:right w:w="28" w:type="dxa"/>
            </w:tcMar>
          </w:tcPr>
          <w:p w14:paraId="5698114E" w14:textId="77777777" w:rsidR="00A75BD0" w:rsidRDefault="009D4DA5">
            <w:pPr>
              <w:rPr>
                <w:color w:val="005A9E"/>
                <w:sz w:val="18"/>
                <w:szCs w:val="18"/>
              </w:rPr>
            </w:pPr>
            <w:r>
              <w:rPr>
                <w:color w:val="005A9E"/>
                <w:sz w:val="18"/>
                <w:szCs w:val="18"/>
              </w:rPr>
              <w:t>NA</w:t>
            </w:r>
          </w:p>
        </w:tc>
        <w:tc>
          <w:tcPr>
            <w:tcW w:w="2268" w:type="dxa"/>
            <w:gridSpan w:val="3"/>
            <w:tcBorders>
              <w:bottom w:val="single" w:sz="4" w:space="0" w:color="000000" w:themeColor="text1"/>
            </w:tcBorders>
            <w:tcMar>
              <w:left w:w="0" w:type="dxa"/>
              <w:right w:w="0" w:type="dxa"/>
            </w:tcMar>
          </w:tcPr>
          <w:p w14:paraId="22DCC005" w14:textId="77777777" w:rsidR="00A75BD0" w:rsidRPr="002F6A24" w:rsidRDefault="009D4DA5">
            <w:pPr>
              <w:rPr>
                <w:color w:val="005A9E"/>
                <w:sz w:val="18"/>
                <w:szCs w:val="18"/>
                <w:lang w:val="en-US"/>
              </w:rPr>
            </w:pPr>
            <w:r w:rsidRPr="002F6A24">
              <w:rPr>
                <w:color w:val="005A9E"/>
                <w:sz w:val="18"/>
                <w:szCs w:val="18"/>
                <w:lang w:val="en-US"/>
              </w:rPr>
              <w:t>treatment practices  of HHT centers of excellence physician-reported safety and effectiveness</w:t>
            </w:r>
          </w:p>
          <w:p w14:paraId="09BF3BC3" w14:textId="77777777" w:rsidR="00A75BD0" w:rsidRPr="002F6A24" w:rsidRDefault="00A75BD0">
            <w:pPr>
              <w:rPr>
                <w:color w:val="005A9E"/>
                <w:sz w:val="18"/>
                <w:szCs w:val="18"/>
                <w:lang w:val="en-US"/>
              </w:rPr>
            </w:pPr>
          </w:p>
        </w:tc>
        <w:tc>
          <w:tcPr>
            <w:tcW w:w="4730" w:type="dxa"/>
            <w:tcBorders>
              <w:bottom w:val="single" w:sz="4" w:space="0" w:color="000000" w:themeColor="text1"/>
            </w:tcBorders>
            <w:tcMar>
              <w:left w:w="28" w:type="dxa"/>
              <w:right w:w="28" w:type="dxa"/>
            </w:tcMar>
          </w:tcPr>
          <w:p w14:paraId="0864674F" w14:textId="77777777" w:rsidR="00A75BD0" w:rsidRPr="002F6A24" w:rsidRDefault="009D4DA5">
            <w:pPr>
              <w:keepLines/>
              <w:numPr>
                <w:ilvl w:val="0"/>
                <w:numId w:val="35"/>
              </w:numPr>
              <w:pBdr>
                <w:top w:val="nil"/>
                <w:left w:val="nil"/>
                <w:bottom w:val="nil"/>
                <w:right w:val="nil"/>
                <w:between w:val="nil"/>
              </w:pBdr>
              <w:ind w:left="113" w:right="166" w:hanging="113"/>
              <w:jc w:val="both"/>
              <w:rPr>
                <w:color w:val="005A9E"/>
                <w:sz w:val="18"/>
                <w:szCs w:val="18"/>
                <w:lang w:val="en-US"/>
              </w:rPr>
            </w:pPr>
            <w:r w:rsidRPr="002F6A24">
              <w:rPr>
                <w:color w:val="005A9E"/>
                <w:sz w:val="18"/>
                <w:szCs w:val="18"/>
                <w:lang w:val="en-US"/>
              </w:rPr>
              <w:t xml:space="preserve">68% of centers reported regular maintenance treatment every 4 weeks (ranging from 2 to 12 weeks) </w:t>
            </w:r>
          </w:p>
          <w:p w14:paraId="0EDBEF69" w14:textId="77777777" w:rsidR="00A75BD0" w:rsidRPr="002F6A24" w:rsidRDefault="009D4DA5">
            <w:pPr>
              <w:keepLines/>
              <w:numPr>
                <w:ilvl w:val="0"/>
                <w:numId w:val="35"/>
              </w:numPr>
              <w:pBdr>
                <w:top w:val="nil"/>
                <w:left w:val="nil"/>
                <w:bottom w:val="nil"/>
                <w:right w:val="nil"/>
                <w:between w:val="nil"/>
              </w:pBdr>
              <w:ind w:left="113" w:right="166" w:hanging="113"/>
              <w:jc w:val="both"/>
              <w:rPr>
                <w:color w:val="005A9E"/>
                <w:sz w:val="18"/>
                <w:szCs w:val="18"/>
                <w:lang w:val="en-US"/>
              </w:rPr>
            </w:pPr>
            <w:r w:rsidRPr="002F6A24">
              <w:rPr>
                <w:color w:val="005A9E"/>
                <w:sz w:val="18"/>
                <w:szCs w:val="18"/>
                <w:lang w:val="en-US"/>
              </w:rPr>
              <w:t>32% of centers reported intermittent maintenance treatment (with a similar regimen to induction treatment).</w:t>
            </w:r>
          </w:p>
          <w:p w14:paraId="267C3AFB" w14:textId="77777777" w:rsidR="00A75BD0" w:rsidRPr="002F6A24" w:rsidRDefault="009D4DA5">
            <w:pPr>
              <w:keepLines/>
              <w:numPr>
                <w:ilvl w:val="0"/>
                <w:numId w:val="35"/>
              </w:numPr>
              <w:pBdr>
                <w:top w:val="nil"/>
                <w:left w:val="nil"/>
                <w:bottom w:val="nil"/>
                <w:right w:val="nil"/>
                <w:between w:val="nil"/>
              </w:pBdr>
              <w:ind w:left="113" w:right="166" w:hanging="113"/>
              <w:jc w:val="both"/>
              <w:rPr>
                <w:color w:val="005A9E"/>
                <w:sz w:val="18"/>
                <w:szCs w:val="18"/>
                <w:lang w:val="en-US"/>
              </w:rPr>
            </w:pPr>
            <w:r w:rsidRPr="002F6A24">
              <w:rPr>
                <w:color w:val="005A9E"/>
                <w:sz w:val="18"/>
                <w:szCs w:val="18"/>
                <w:lang w:val="en-US"/>
              </w:rPr>
              <w:t>75% of their patient Improved gastrointestinal bleeding and/or epistaxis (reported by 64% of centers)</w:t>
            </w:r>
          </w:p>
          <w:p w14:paraId="06EF6CA1" w14:textId="77777777" w:rsidR="00A75BD0" w:rsidRPr="002F6A24" w:rsidRDefault="009D4DA5">
            <w:pPr>
              <w:keepLines/>
              <w:numPr>
                <w:ilvl w:val="0"/>
                <w:numId w:val="35"/>
              </w:numPr>
              <w:pBdr>
                <w:top w:val="nil"/>
                <w:left w:val="nil"/>
                <w:bottom w:val="nil"/>
                <w:right w:val="nil"/>
                <w:between w:val="nil"/>
              </w:pBdr>
              <w:ind w:left="113" w:right="166" w:hanging="113"/>
              <w:jc w:val="both"/>
              <w:rPr>
                <w:color w:val="005A9E"/>
                <w:sz w:val="18"/>
                <w:szCs w:val="18"/>
                <w:lang w:val="en-US"/>
              </w:rPr>
            </w:pPr>
            <w:r w:rsidRPr="002F6A24">
              <w:rPr>
                <w:color w:val="005A9E"/>
                <w:sz w:val="18"/>
                <w:szCs w:val="18"/>
                <w:lang w:val="en-US"/>
              </w:rPr>
              <w:t xml:space="preserve">50-100% of their patients normalized their haemoglobin levels (reported by 52% of centers) </w:t>
            </w:r>
          </w:p>
          <w:p w14:paraId="2A270DDE" w14:textId="77777777" w:rsidR="00A75BD0" w:rsidRPr="002F6A24" w:rsidRDefault="009D4DA5">
            <w:pPr>
              <w:keepLines/>
              <w:numPr>
                <w:ilvl w:val="0"/>
                <w:numId w:val="35"/>
              </w:numPr>
              <w:pBdr>
                <w:top w:val="nil"/>
                <w:left w:val="nil"/>
                <w:bottom w:val="nil"/>
                <w:right w:val="nil"/>
                <w:between w:val="nil"/>
              </w:pBdr>
              <w:ind w:left="113" w:right="166" w:hanging="113"/>
              <w:jc w:val="both"/>
              <w:rPr>
                <w:color w:val="005A9E"/>
                <w:sz w:val="18"/>
                <w:szCs w:val="18"/>
                <w:lang w:val="en-US"/>
              </w:rPr>
            </w:pPr>
            <w:r w:rsidRPr="002F6A24">
              <w:rPr>
                <w:color w:val="005A9E"/>
                <w:sz w:val="18"/>
                <w:szCs w:val="18"/>
                <w:lang w:val="en-US"/>
              </w:rPr>
              <w:t>adverse events in &lt;10% of patients (reported by for two-thirds centers)</w:t>
            </w:r>
          </w:p>
        </w:tc>
      </w:tr>
      <w:tr w:rsidR="00A75BD0" w:rsidRPr="007428DF" w14:paraId="7C720D69" w14:textId="77777777" w:rsidTr="0BA40188">
        <w:trPr>
          <w:trHeight w:val="2233"/>
        </w:trPr>
        <w:tc>
          <w:tcPr>
            <w:tcW w:w="1273" w:type="dxa"/>
            <w:tcBorders>
              <w:bottom w:val="single" w:sz="4" w:space="0" w:color="000000" w:themeColor="text1"/>
            </w:tcBorders>
            <w:tcMar>
              <w:left w:w="28" w:type="dxa"/>
              <w:right w:w="28" w:type="dxa"/>
            </w:tcMar>
          </w:tcPr>
          <w:p w14:paraId="71DEDBDE" w14:textId="77777777" w:rsidR="00A75BD0" w:rsidRDefault="008853BF">
            <w:pPr>
              <w:ind w:right="306"/>
              <w:rPr>
                <w:color w:val="005A9E"/>
                <w:sz w:val="18"/>
                <w:szCs w:val="18"/>
              </w:rPr>
            </w:pPr>
            <w:hyperlink r:id="rId25">
              <w:r w:rsidR="009D4DA5">
                <w:rPr>
                  <w:color w:val="0563C1"/>
                  <w:sz w:val="18"/>
                  <w:szCs w:val="18"/>
                  <w:u w:val="single"/>
                </w:rPr>
                <w:t>Al-Samkari, 2019</w:t>
              </w:r>
            </w:hyperlink>
          </w:p>
        </w:tc>
        <w:tc>
          <w:tcPr>
            <w:tcW w:w="3685" w:type="dxa"/>
            <w:tcBorders>
              <w:bottom w:val="single" w:sz="4" w:space="0" w:color="000000" w:themeColor="text1"/>
            </w:tcBorders>
            <w:tcMar>
              <w:left w:w="28" w:type="dxa"/>
              <w:right w:w="28" w:type="dxa"/>
            </w:tcMar>
          </w:tcPr>
          <w:p w14:paraId="0DA5BDC0" w14:textId="77777777" w:rsidR="00A75BD0" w:rsidRPr="002F6A24" w:rsidRDefault="009D4DA5">
            <w:pPr>
              <w:rPr>
                <w:color w:val="005A9E"/>
                <w:sz w:val="18"/>
                <w:szCs w:val="18"/>
                <w:lang w:val="en-US"/>
              </w:rPr>
            </w:pPr>
            <w:r w:rsidRPr="002F6A24">
              <w:rPr>
                <w:color w:val="005A9E"/>
                <w:sz w:val="18"/>
                <w:szCs w:val="18"/>
                <w:lang w:val="en-US"/>
              </w:rPr>
              <w:t>25-item international survey</w:t>
            </w:r>
          </w:p>
          <w:p w14:paraId="2A6D2A05" w14:textId="77777777" w:rsidR="00A75BD0" w:rsidRPr="002F6A24" w:rsidRDefault="00A75BD0">
            <w:pPr>
              <w:rPr>
                <w:color w:val="005A9E"/>
                <w:sz w:val="18"/>
                <w:szCs w:val="18"/>
                <w:lang w:val="en-US"/>
              </w:rPr>
            </w:pPr>
          </w:p>
          <w:p w14:paraId="38F1CF4B" w14:textId="77777777" w:rsidR="00A75BD0" w:rsidRPr="002F6A24" w:rsidRDefault="009D4DA5">
            <w:pPr>
              <w:rPr>
                <w:color w:val="005A9E"/>
                <w:sz w:val="18"/>
                <w:szCs w:val="18"/>
                <w:lang w:val="en-US"/>
              </w:rPr>
            </w:pPr>
            <w:r w:rsidRPr="002F6A24">
              <w:rPr>
                <w:color w:val="005A9E"/>
                <w:sz w:val="18"/>
                <w:szCs w:val="18"/>
                <w:lang w:val="en-US"/>
              </w:rPr>
              <w:t>19 American centers</w:t>
            </w:r>
          </w:p>
          <w:p w14:paraId="2FAA430B" w14:textId="77777777" w:rsidR="00A75BD0" w:rsidRPr="002F6A24" w:rsidRDefault="009D4DA5">
            <w:pPr>
              <w:rPr>
                <w:color w:val="005A9E"/>
                <w:sz w:val="18"/>
                <w:szCs w:val="18"/>
                <w:lang w:val="en-US"/>
              </w:rPr>
            </w:pPr>
            <w:r w:rsidRPr="002F6A24">
              <w:rPr>
                <w:color w:val="005A9E"/>
                <w:sz w:val="18"/>
                <w:szCs w:val="18"/>
                <w:lang w:val="en-US"/>
              </w:rPr>
              <w:t>4 international centers of excellence</w:t>
            </w:r>
          </w:p>
          <w:p w14:paraId="31DACBD2" w14:textId="77777777" w:rsidR="00A75BD0" w:rsidRPr="002F6A24" w:rsidRDefault="00A75BD0">
            <w:pPr>
              <w:rPr>
                <w:color w:val="005A9E"/>
                <w:sz w:val="18"/>
                <w:szCs w:val="18"/>
                <w:lang w:val="en-US"/>
              </w:rPr>
            </w:pPr>
          </w:p>
          <w:p w14:paraId="31CA146D" w14:textId="77777777" w:rsidR="00A75BD0" w:rsidRPr="002F6A24" w:rsidRDefault="009D4DA5">
            <w:pPr>
              <w:rPr>
                <w:color w:val="005A9E"/>
                <w:sz w:val="18"/>
                <w:szCs w:val="18"/>
                <w:lang w:val="en-US"/>
              </w:rPr>
            </w:pPr>
            <w:r w:rsidRPr="002F6A24">
              <w:rPr>
                <w:color w:val="005A9E"/>
                <w:sz w:val="18"/>
                <w:szCs w:val="18"/>
                <w:lang w:val="en-US"/>
              </w:rPr>
              <w:t>&gt;150 patients</w:t>
            </w:r>
          </w:p>
          <w:p w14:paraId="307E6AF9" w14:textId="77777777" w:rsidR="00A75BD0" w:rsidRPr="002F6A24" w:rsidRDefault="009D4DA5">
            <w:pPr>
              <w:rPr>
                <w:color w:val="005A9E"/>
                <w:sz w:val="18"/>
                <w:szCs w:val="18"/>
                <w:lang w:val="en-US"/>
              </w:rPr>
            </w:pPr>
            <w:r w:rsidRPr="002F6A24">
              <w:rPr>
                <w:color w:val="005A9E"/>
                <w:sz w:val="18"/>
                <w:szCs w:val="18"/>
                <w:lang w:val="en-US"/>
              </w:rPr>
              <w:t>HHT-related high-output</w:t>
            </w:r>
          </w:p>
          <w:p w14:paraId="7CDA8FF8" w14:textId="77777777" w:rsidR="00A75BD0" w:rsidRPr="002F6A24" w:rsidRDefault="009D4DA5">
            <w:pPr>
              <w:rPr>
                <w:color w:val="005A9E"/>
                <w:sz w:val="18"/>
                <w:szCs w:val="18"/>
                <w:lang w:val="en-US"/>
              </w:rPr>
            </w:pPr>
            <w:r w:rsidRPr="002F6A24">
              <w:rPr>
                <w:color w:val="005A9E"/>
                <w:sz w:val="18"/>
                <w:szCs w:val="18"/>
                <w:lang w:val="en-US"/>
              </w:rPr>
              <w:t>cardiac failure</w:t>
            </w:r>
          </w:p>
        </w:tc>
        <w:tc>
          <w:tcPr>
            <w:tcW w:w="1985" w:type="dxa"/>
            <w:gridSpan w:val="2"/>
            <w:tcBorders>
              <w:bottom w:val="single" w:sz="4" w:space="0" w:color="000000" w:themeColor="text1"/>
            </w:tcBorders>
            <w:tcMar>
              <w:left w:w="28" w:type="dxa"/>
              <w:right w:w="28" w:type="dxa"/>
            </w:tcMar>
          </w:tcPr>
          <w:p w14:paraId="67D2222A" w14:textId="77777777" w:rsidR="00A75BD0" w:rsidRPr="002F6A24" w:rsidRDefault="009D4DA5">
            <w:pPr>
              <w:ind w:right="114"/>
              <w:rPr>
                <w:color w:val="005A9E"/>
                <w:sz w:val="18"/>
                <w:szCs w:val="18"/>
                <w:u w:val="single"/>
                <w:lang w:val="en-US"/>
              </w:rPr>
            </w:pPr>
            <w:r w:rsidRPr="002F6A24">
              <w:rPr>
                <w:color w:val="005A9E"/>
                <w:sz w:val="18"/>
                <w:szCs w:val="18"/>
                <w:u w:val="single"/>
                <w:lang w:val="en-US"/>
              </w:rPr>
              <w:t>Induction treatment:</w:t>
            </w:r>
          </w:p>
          <w:p w14:paraId="037595E1" w14:textId="77777777" w:rsidR="00A75BD0" w:rsidRPr="002F6A24" w:rsidRDefault="009D4DA5">
            <w:pPr>
              <w:ind w:right="114"/>
              <w:rPr>
                <w:color w:val="005A9E"/>
                <w:sz w:val="18"/>
                <w:szCs w:val="18"/>
                <w:lang w:val="en-US"/>
              </w:rPr>
            </w:pPr>
            <w:r w:rsidRPr="002F6A24">
              <w:rPr>
                <w:color w:val="005A9E"/>
                <w:sz w:val="18"/>
                <w:szCs w:val="18"/>
                <w:lang w:val="en-US"/>
              </w:rPr>
              <w:t xml:space="preserve">5 mg/kg IV/2 weeks </w:t>
            </w:r>
          </w:p>
          <w:p w14:paraId="51038C70" w14:textId="77777777" w:rsidR="00A75BD0" w:rsidRPr="002F6A24" w:rsidRDefault="009D4DA5">
            <w:pPr>
              <w:ind w:right="114"/>
              <w:rPr>
                <w:color w:val="005A9E"/>
                <w:sz w:val="18"/>
                <w:szCs w:val="18"/>
                <w:lang w:val="en-US"/>
              </w:rPr>
            </w:pPr>
            <w:r w:rsidRPr="002F6A24">
              <w:rPr>
                <w:color w:val="005A9E"/>
                <w:sz w:val="18"/>
                <w:szCs w:val="18"/>
                <w:lang w:val="en-US"/>
              </w:rPr>
              <w:t>4-6 doses (reported by 95% of centers)</w:t>
            </w:r>
          </w:p>
          <w:p w14:paraId="102F8B44" w14:textId="77777777" w:rsidR="00A75BD0" w:rsidRPr="002F6A24" w:rsidRDefault="009D4DA5">
            <w:pPr>
              <w:ind w:right="114"/>
              <w:rPr>
                <w:color w:val="005A9E"/>
                <w:sz w:val="18"/>
                <w:szCs w:val="18"/>
                <w:u w:val="single"/>
                <w:lang w:val="en-US"/>
              </w:rPr>
            </w:pPr>
            <w:r w:rsidRPr="002F6A24">
              <w:rPr>
                <w:color w:val="005A9E"/>
                <w:sz w:val="18"/>
                <w:szCs w:val="18"/>
                <w:u w:val="single"/>
                <w:lang w:val="en-US"/>
              </w:rPr>
              <w:t>Intermittent maintenance:</w:t>
            </w:r>
          </w:p>
          <w:p w14:paraId="0AFE7CBC" w14:textId="77777777" w:rsidR="00A75BD0" w:rsidRPr="002F6A24" w:rsidRDefault="009D4DA5">
            <w:pPr>
              <w:ind w:right="114"/>
              <w:rPr>
                <w:color w:val="005A9E"/>
                <w:sz w:val="18"/>
                <w:szCs w:val="18"/>
                <w:lang w:val="en-US"/>
              </w:rPr>
            </w:pPr>
            <w:r w:rsidRPr="002F6A24">
              <w:rPr>
                <w:color w:val="005A9E"/>
                <w:sz w:val="18"/>
                <w:szCs w:val="18"/>
                <w:lang w:val="en-US"/>
              </w:rPr>
              <w:t>5 or 7.5 mg/kg, every 2-8 weeks 1-6 infusions</w:t>
            </w:r>
          </w:p>
        </w:tc>
        <w:tc>
          <w:tcPr>
            <w:tcW w:w="992" w:type="dxa"/>
            <w:tcBorders>
              <w:bottom w:val="single" w:sz="4" w:space="0" w:color="000000" w:themeColor="text1"/>
            </w:tcBorders>
            <w:tcMar>
              <w:left w:w="28" w:type="dxa"/>
              <w:right w:w="28" w:type="dxa"/>
            </w:tcMar>
          </w:tcPr>
          <w:p w14:paraId="6003E148" w14:textId="77777777" w:rsidR="00A75BD0" w:rsidRDefault="009D4DA5">
            <w:pPr>
              <w:rPr>
                <w:color w:val="005A9E"/>
                <w:sz w:val="18"/>
                <w:szCs w:val="18"/>
              </w:rPr>
            </w:pPr>
            <w:r>
              <w:rPr>
                <w:color w:val="005A9E"/>
                <w:sz w:val="18"/>
                <w:szCs w:val="18"/>
              </w:rPr>
              <w:t>NA</w:t>
            </w:r>
          </w:p>
        </w:tc>
        <w:tc>
          <w:tcPr>
            <w:tcW w:w="2268" w:type="dxa"/>
            <w:gridSpan w:val="3"/>
            <w:tcBorders>
              <w:bottom w:val="single" w:sz="4" w:space="0" w:color="000000" w:themeColor="text1"/>
            </w:tcBorders>
            <w:tcMar>
              <w:left w:w="0" w:type="dxa"/>
              <w:right w:w="0" w:type="dxa"/>
            </w:tcMar>
          </w:tcPr>
          <w:p w14:paraId="0FE66EB6" w14:textId="77777777" w:rsidR="00A75BD0" w:rsidRPr="002F6A24" w:rsidRDefault="009D4DA5">
            <w:pPr>
              <w:rPr>
                <w:color w:val="005A9E"/>
                <w:sz w:val="18"/>
                <w:szCs w:val="18"/>
                <w:lang w:val="en-US"/>
              </w:rPr>
            </w:pPr>
            <w:r w:rsidRPr="002F6A24">
              <w:rPr>
                <w:color w:val="005A9E"/>
                <w:sz w:val="18"/>
                <w:szCs w:val="18"/>
                <w:lang w:val="en-US"/>
              </w:rPr>
              <w:t>treatment practices  of HHT centers of excellence physician-reported safety and effectiveness</w:t>
            </w:r>
          </w:p>
          <w:p w14:paraId="1631F0A5" w14:textId="77777777" w:rsidR="00A75BD0" w:rsidRPr="002F6A24" w:rsidRDefault="00A75BD0">
            <w:pPr>
              <w:rPr>
                <w:color w:val="005A9E"/>
                <w:sz w:val="18"/>
                <w:szCs w:val="18"/>
                <w:lang w:val="en-US"/>
              </w:rPr>
            </w:pPr>
          </w:p>
        </w:tc>
        <w:tc>
          <w:tcPr>
            <w:tcW w:w="4730" w:type="dxa"/>
            <w:tcBorders>
              <w:bottom w:val="single" w:sz="4" w:space="0" w:color="000000" w:themeColor="text1"/>
            </w:tcBorders>
            <w:tcMar>
              <w:left w:w="28" w:type="dxa"/>
              <w:right w:w="28" w:type="dxa"/>
            </w:tcMar>
          </w:tcPr>
          <w:p w14:paraId="14E9AA15" w14:textId="77777777" w:rsidR="00A75BD0" w:rsidRPr="002F6A24" w:rsidRDefault="009D4DA5">
            <w:pPr>
              <w:ind w:right="166"/>
              <w:jc w:val="both"/>
              <w:rPr>
                <w:color w:val="005A9E"/>
                <w:sz w:val="18"/>
                <w:szCs w:val="18"/>
                <w:lang w:val="en-US"/>
              </w:rPr>
            </w:pPr>
            <w:r w:rsidRPr="002F6A24">
              <w:rPr>
                <w:color w:val="005A9E"/>
                <w:sz w:val="18"/>
                <w:szCs w:val="18"/>
                <w:lang w:val="en-US"/>
              </w:rPr>
              <w:t>Continuous maintenance therapy every 4 weeks (range 6-12 weeks) reported by 55% of centers</w:t>
            </w:r>
          </w:p>
          <w:p w14:paraId="632EADAF" w14:textId="77777777" w:rsidR="00A75BD0" w:rsidRPr="002F6A24" w:rsidRDefault="00A75BD0">
            <w:pPr>
              <w:ind w:right="166"/>
              <w:jc w:val="both"/>
              <w:rPr>
                <w:color w:val="005A9E"/>
                <w:sz w:val="18"/>
                <w:szCs w:val="18"/>
                <w:lang w:val="en-US"/>
              </w:rPr>
            </w:pPr>
          </w:p>
          <w:p w14:paraId="10CA0C69" w14:textId="77777777" w:rsidR="00A75BD0" w:rsidRPr="002F6A24" w:rsidRDefault="009D4DA5">
            <w:pPr>
              <w:ind w:right="166"/>
              <w:jc w:val="both"/>
              <w:rPr>
                <w:color w:val="005A9E"/>
                <w:sz w:val="18"/>
                <w:szCs w:val="18"/>
                <w:lang w:val="en-US"/>
              </w:rPr>
            </w:pPr>
            <w:r w:rsidRPr="002F6A24">
              <w:rPr>
                <w:color w:val="005A9E"/>
                <w:sz w:val="18"/>
                <w:szCs w:val="18"/>
                <w:lang w:val="en-US"/>
              </w:rPr>
              <w:t>intermittent maintenance therapy (performed on increase in cardiac index/heart failure or recurrence of symptoms) reported by 45% of centers</w:t>
            </w:r>
          </w:p>
          <w:p w14:paraId="324AD8F5" w14:textId="77777777" w:rsidR="00A75BD0" w:rsidRPr="002F6A24" w:rsidRDefault="00A75BD0">
            <w:pPr>
              <w:ind w:left="176" w:right="166"/>
              <w:jc w:val="both"/>
              <w:rPr>
                <w:color w:val="005A9E"/>
                <w:sz w:val="18"/>
                <w:szCs w:val="18"/>
                <w:lang w:val="en-US"/>
              </w:rPr>
            </w:pPr>
          </w:p>
        </w:tc>
      </w:tr>
      <w:tr w:rsidR="00A75BD0" w:rsidRPr="007428DF" w14:paraId="7261A2DD" w14:textId="77777777" w:rsidTr="0BA40188">
        <w:trPr>
          <w:trHeight w:val="2479"/>
        </w:trPr>
        <w:tc>
          <w:tcPr>
            <w:tcW w:w="1273" w:type="dxa"/>
            <w:tcBorders>
              <w:bottom w:val="single" w:sz="4" w:space="0" w:color="000000" w:themeColor="text1"/>
            </w:tcBorders>
            <w:tcMar>
              <w:left w:w="28" w:type="dxa"/>
              <w:right w:w="28" w:type="dxa"/>
            </w:tcMar>
          </w:tcPr>
          <w:p w14:paraId="3E797041" w14:textId="77777777" w:rsidR="00A75BD0" w:rsidRDefault="008853BF">
            <w:pPr>
              <w:ind w:right="306"/>
              <w:rPr>
                <w:color w:val="005A9E"/>
                <w:sz w:val="18"/>
                <w:szCs w:val="18"/>
              </w:rPr>
            </w:pPr>
            <w:hyperlink r:id="rId26">
              <w:r w:rsidR="009D4DA5">
                <w:rPr>
                  <w:color w:val="0563C1"/>
                  <w:sz w:val="18"/>
                  <w:szCs w:val="18"/>
                  <w:u w:val="single"/>
                </w:rPr>
                <w:t>Iyer 2018</w:t>
              </w:r>
            </w:hyperlink>
          </w:p>
        </w:tc>
        <w:tc>
          <w:tcPr>
            <w:tcW w:w="3685" w:type="dxa"/>
            <w:tcBorders>
              <w:bottom w:val="single" w:sz="4" w:space="0" w:color="000000" w:themeColor="text1"/>
            </w:tcBorders>
            <w:tcMar>
              <w:left w:w="28" w:type="dxa"/>
              <w:right w:w="28" w:type="dxa"/>
            </w:tcMar>
          </w:tcPr>
          <w:p w14:paraId="53D431DF" w14:textId="77777777" w:rsidR="00A75BD0" w:rsidRPr="002F6A24" w:rsidRDefault="009D4DA5">
            <w:pPr>
              <w:rPr>
                <w:color w:val="005A9E"/>
                <w:sz w:val="18"/>
                <w:szCs w:val="18"/>
                <w:lang w:val="en-US"/>
              </w:rPr>
            </w:pPr>
            <w:r w:rsidRPr="002F6A24">
              <w:rPr>
                <w:color w:val="005A9E"/>
                <w:sz w:val="18"/>
                <w:szCs w:val="18"/>
                <w:lang w:val="en-US"/>
              </w:rPr>
              <w:t>2013-2017</w:t>
            </w:r>
          </w:p>
          <w:p w14:paraId="0E8A2410" w14:textId="77777777" w:rsidR="00A75BD0" w:rsidRPr="002F6A24" w:rsidRDefault="00A75BD0">
            <w:pPr>
              <w:rPr>
                <w:color w:val="005A9E"/>
                <w:sz w:val="18"/>
                <w:szCs w:val="18"/>
                <w:lang w:val="en-US"/>
              </w:rPr>
            </w:pPr>
          </w:p>
          <w:p w14:paraId="64962A70" w14:textId="77777777" w:rsidR="00A75BD0" w:rsidRPr="002F6A24" w:rsidRDefault="009D4DA5">
            <w:pPr>
              <w:rPr>
                <w:color w:val="005A9E"/>
                <w:sz w:val="18"/>
                <w:szCs w:val="18"/>
                <w:lang w:val="en-US"/>
              </w:rPr>
            </w:pPr>
            <w:r w:rsidRPr="002F6A24">
              <w:rPr>
                <w:color w:val="005A9E"/>
                <w:sz w:val="18"/>
                <w:szCs w:val="18"/>
                <w:lang w:val="en-US"/>
              </w:rPr>
              <w:t>34 patients:</w:t>
            </w:r>
          </w:p>
          <w:p w14:paraId="6FE70677" w14:textId="77777777" w:rsidR="00A75BD0" w:rsidRPr="002F6A24" w:rsidRDefault="009D4DA5">
            <w:pPr>
              <w:rPr>
                <w:color w:val="005A9E"/>
                <w:sz w:val="18"/>
                <w:szCs w:val="18"/>
                <w:lang w:val="en-US"/>
              </w:rPr>
            </w:pPr>
            <w:r w:rsidRPr="002F6A24">
              <w:rPr>
                <w:color w:val="005A9E"/>
                <w:sz w:val="18"/>
                <w:szCs w:val="18"/>
                <w:lang w:val="en-US"/>
              </w:rPr>
              <w:t>57-72 years (mean 63y)</w:t>
            </w:r>
          </w:p>
          <w:p w14:paraId="0CF00622" w14:textId="77777777" w:rsidR="00A75BD0" w:rsidRPr="002F6A24" w:rsidRDefault="009D4DA5">
            <w:pPr>
              <w:rPr>
                <w:color w:val="005A9E"/>
                <w:sz w:val="18"/>
                <w:szCs w:val="18"/>
                <w:lang w:val="en-US"/>
              </w:rPr>
            </w:pPr>
            <w:r w:rsidRPr="002F6A24">
              <w:rPr>
                <w:color w:val="005A9E"/>
                <w:sz w:val="18"/>
                <w:szCs w:val="18"/>
                <w:lang w:val="en-US"/>
              </w:rPr>
              <w:t>Primary bleeding source:</w:t>
            </w:r>
          </w:p>
          <w:p w14:paraId="6F28066A" w14:textId="77777777" w:rsidR="00A75BD0" w:rsidRPr="002F6A24" w:rsidRDefault="009D4DA5">
            <w:pPr>
              <w:rPr>
                <w:color w:val="005A9E"/>
                <w:sz w:val="18"/>
                <w:szCs w:val="18"/>
                <w:lang w:val="en-US"/>
              </w:rPr>
            </w:pPr>
            <w:r w:rsidRPr="002F6A24">
              <w:rPr>
                <w:color w:val="005A9E"/>
                <w:sz w:val="18"/>
                <w:szCs w:val="18"/>
                <w:lang w:val="en-US"/>
              </w:rPr>
              <w:t>Epistaxis:15 patients</w:t>
            </w:r>
          </w:p>
          <w:p w14:paraId="6D8AF5F5" w14:textId="77777777" w:rsidR="00A75BD0" w:rsidRPr="002F6A24" w:rsidRDefault="009D4DA5">
            <w:pPr>
              <w:rPr>
                <w:color w:val="005A9E"/>
                <w:sz w:val="18"/>
                <w:szCs w:val="18"/>
                <w:lang w:val="en-US"/>
              </w:rPr>
            </w:pPr>
            <w:r w:rsidRPr="002F6A24">
              <w:rPr>
                <w:color w:val="005A9E"/>
                <w:sz w:val="18"/>
                <w:szCs w:val="18"/>
                <w:lang w:val="en-US"/>
              </w:rPr>
              <w:t>GI bleeding: 4 patients</w:t>
            </w:r>
          </w:p>
          <w:p w14:paraId="070AB61D" w14:textId="77777777" w:rsidR="00A75BD0" w:rsidRPr="002F6A24" w:rsidRDefault="009D4DA5">
            <w:pPr>
              <w:rPr>
                <w:color w:val="005A9E"/>
                <w:sz w:val="18"/>
                <w:szCs w:val="18"/>
                <w:lang w:val="en-US"/>
              </w:rPr>
            </w:pPr>
            <w:r w:rsidRPr="002F6A24">
              <w:rPr>
                <w:color w:val="005A9E"/>
                <w:sz w:val="18"/>
                <w:szCs w:val="18"/>
                <w:lang w:val="en-US"/>
              </w:rPr>
              <w:t>Both: 15 patients</w:t>
            </w:r>
          </w:p>
        </w:tc>
        <w:tc>
          <w:tcPr>
            <w:tcW w:w="1985" w:type="dxa"/>
            <w:gridSpan w:val="2"/>
            <w:tcBorders>
              <w:bottom w:val="single" w:sz="4" w:space="0" w:color="000000" w:themeColor="text1"/>
            </w:tcBorders>
            <w:tcMar>
              <w:left w:w="28" w:type="dxa"/>
              <w:right w:w="28" w:type="dxa"/>
            </w:tcMar>
          </w:tcPr>
          <w:p w14:paraId="40F91E9F" w14:textId="77777777" w:rsidR="00A75BD0" w:rsidRPr="002F6A24" w:rsidRDefault="009D4DA5">
            <w:pPr>
              <w:ind w:right="114"/>
              <w:rPr>
                <w:color w:val="005A9E"/>
                <w:sz w:val="18"/>
                <w:szCs w:val="18"/>
                <w:lang w:val="en-US"/>
              </w:rPr>
            </w:pPr>
            <w:r w:rsidRPr="002F6A24">
              <w:rPr>
                <w:color w:val="005A9E"/>
                <w:sz w:val="18"/>
                <w:szCs w:val="18"/>
                <w:lang w:val="en-US"/>
              </w:rPr>
              <w:t>5 mg/kg / 2 weeks</w:t>
            </w:r>
          </w:p>
          <w:p w14:paraId="30189A6C" w14:textId="77777777" w:rsidR="00A75BD0" w:rsidRPr="002F6A24" w:rsidRDefault="009D4DA5">
            <w:pPr>
              <w:ind w:right="114"/>
              <w:rPr>
                <w:color w:val="005A9E"/>
                <w:sz w:val="18"/>
                <w:szCs w:val="18"/>
                <w:lang w:val="en-US"/>
              </w:rPr>
            </w:pPr>
            <w:r w:rsidRPr="002F6A24">
              <w:rPr>
                <w:color w:val="005A9E"/>
                <w:sz w:val="18"/>
                <w:szCs w:val="18"/>
                <w:lang w:val="en-US"/>
              </w:rPr>
              <w:t xml:space="preserve"> For a total of 4 doses</w:t>
            </w:r>
          </w:p>
          <w:p w14:paraId="3AE8E0D9" w14:textId="77777777" w:rsidR="00A75BD0" w:rsidRPr="002F6A24" w:rsidRDefault="009D4DA5">
            <w:pPr>
              <w:ind w:right="114"/>
              <w:rPr>
                <w:color w:val="005A9E"/>
                <w:sz w:val="18"/>
                <w:szCs w:val="18"/>
                <w:lang w:val="en-US"/>
              </w:rPr>
            </w:pPr>
            <w:r w:rsidRPr="002F6A24">
              <w:rPr>
                <w:color w:val="005A9E"/>
                <w:sz w:val="18"/>
                <w:szCs w:val="18"/>
                <w:lang w:val="en-US"/>
              </w:rPr>
              <w:t>then</w:t>
            </w:r>
          </w:p>
          <w:p w14:paraId="1306C6D7" w14:textId="77777777" w:rsidR="00A75BD0" w:rsidRPr="002F6A24" w:rsidRDefault="009D4DA5">
            <w:pPr>
              <w:ind w:right="114"/>
              <w:rPr>
                <w:color w:val="005A9E"/>
                <w:sz w:val="18"/>
                <w:szCs w:val="18"/>
                <w:lang w:val="en-US"/>
              </w:rPr>
            </w:pPr>
            <w:r w:rsidRPr="002F6A24">
              <w:rPr>
                <w:color w:val="005A9E"/>
                <w:sz w:val="18"/>
                <w:szCs w:val="18"/>
                <w:lang w:val="en-US"/>
              </w:rPr>
              <w:t>5 mg/kg /4 weeks</w:t>
            </w:r>
          </w:p>
          <w:p w14:paraId="0606F010" w14:textId="77777777" w:rsidR="00A75BD0" w:rsidRPr="002F6A24" w:rsidRDefault="009D4DA5">
            <w:pPr>
              <w:ind w:right="114"/>
              <w:rPr>
                <w:color w:val="005A9E"/>
                <w:sz w:val="18"/>
                <w:szCs w:val="18"/>
                <w:lang w:val="en-US"/>
              </w:rPr>
            </w:pPr>
            <w:r w:rsidRPr="002F6A24">
              <w:rPr>
                <w:color w:val="005A9E"/>
                <w:sz w:val="18"/>
                <w:szCs w:val="18"/>
                <w:lang w:val="en-US"/>
              </w:rPr>
              <w:t xml:space="preserve"> for a total of 4 doses</w:t>
            </w:r>
          </w:p>
          <w:p w14:paraId="53345401" w14:textId="77777777" w:rsidR="00A75BD0" w:rsidRPr="002F6A24" w:rsidRDefault="009D4DA5">
            <w:pPr>
              <w:ind w:right="114"/>
              <w:rPr>
                <w:color w:val="005A9E"/>
                <w:sz w:val="18"/>
                <w:szCs w:val="18"/>
                <w:lang w:val="en-US"/>
              </w:rPr>
            </w:pPr>
            <w:r w:rsidRPr="002F6A24">
              <w:rPr>
                <w:color w:val="005A9E"/>
                <w:sz w:val="18"/>
                <w:szCs w:val="18"/>
                <w:lang w:val="en-US"/>
              </w:rPr>
              <w:t>or</w:t>
            </w:r>
          </w:p>
          <w:p w14:paraId="19877B10" w14:textId="77777777" w:rsidR="00A75BD0" w:rsidRPr="002F6A24" w:rsidRDefault="009D4DA5">
            <w:pPr>
              <w:ind w:right="114"/>
              <w:rPr>
                <w:color w:val="005A9E"/>
                <w:sz w:val="18"/>
                <w:szCs w:val="18"/>
                <w:lang w:val="en-US"/>
              </w:rPr>
            </w:pPr>
            <w:r w:rsidRPr="002F6A24">
              <w:rPr>
                <w:color w:val="005A9E"/>
                <w:sz w:val="18"/>
                <w:szCs w:val="18"/>
                <w:lang w:val="en-US"/>
              </w:rPr>
              <w:t>5 mg/kg /2 weeks</w:t>
            </w:r>
          </w:p>
          <w:p w14:paraId="7D88E056" w14:textId="77777777" w:rsidR="00A75BD0" w:rsidRPr="002F6A24" w:rsidRDefault="009D4DA5">
            <w:pPr>
              <w:ind w:right="114"/>
              <w:rPr>
                <w:color w:val="005A9E"/>
                <w:sz w:val="18"/>
                <w:szCs w:val="18"/>
                <w:lang w:val="en-US"/>
              </w:rPr>
            </w:pPr>
            <w:r w:rsidRPr="002F6A24">
              <w:rPr>
                <w:color w:val="005A9E"/>
                <w:sz w:val="18"/>
                <w:szCs w:val="18"/>
                <w:lang w:val="en-US"/>
              </w:rPr>
              <w:t xml:space="preserve"> for a total of 4 doses</w:t>
            </w:r>
          </w:p>
          <w:p w14:paraId="0713470B" w14:textId="77777777" w:rsidR="00A75BD0" w:rsidRPr="002F6A24" w:rsidRDefault="009D4DA5">
            <w:pPr>
              <w:ind w:right="114"/>
              <w:rPr>
                <w:color w:val="005A9E"/>
                <w:sz w:val="18"/>
                <w:szCs w:val="18"/>
                <w:lang w:val="en-US"/>
              </w:rPr>
            </w:pPr>
            <w:r w:rsidRPr="002F6A24">
              <w:rPr>
                <w:color w:val="005A9E"/>
                <w:sz w:val="18"/>
                <w:szCs w:val="18"/>
                <w:lang w:val="en-US"/>
              </w:rPr>
              <w:t>or</w:t>
            </w:r>
          </w:p>
          <w:p w14:paraId="099937F5" w14:textId="77777777" w:rsidR="00A75BD0" w:rsidRPr="002F6A24" w:rsidRDefault="009D4DA5">
            <w:pPr>
              <w:ind w:right="114"/>
              <w:rPr>
                <w:color w:val="005A9E"/>
                <w:sz w:val="18"/>
                <w:szCs w:val="18"/>
                <w:lang w:val="en-US"/>
              </w:rPr>
            </w:pPr>
            <w:r w:rsidRPr="002F6A24">
              <w:rPr>
                <w:color w:val="005A9E"/>
                <w:sz w:val="18"/>
                <w:szCs w:val="18"/>
                <w:lang w:val="en-US"/>
              </w:rPr>
              <w:t>7.5 mg/kg or 10 mg/kg / 2 weeks</w:t>
            </w:r>
          </w:p>
          <w:p w14:paraId="56046601" w14:textId="77777777" w:rsidR="00A75BD0" w:rsidRPr="002F6A24" w:rsidRDefault="009D4DA5">
            <w:pPr>
              <w:ind w:right="114"/>
              <w:rPr>
                <w:color w:val="005A9E"/>
                <w:sz w:val="18"/>
                <w:szCs w:val="18"/>
                <w:lang w:val="en-US"/>
              </w:rPr>
            </w:pPr>
            <w:r w:rsidRPr="002F6A24">
              <w:rPr>
                <w:color w:val="005A9E"/>
                <w:sz w:val="18"/>
                <w:szCs w:val="18"/>
                <w:lang w:val="en-US"/>
              </w:rPr>
              <w:t xml:space="preserve"> for a total of 4 doses</w:t>
            </w:r>
          </w:p>
        </w:tc>
        <w:tc>
          <w:tcPr>
            <w:tcW w:w="992" w:type="dxa"/>
            <w:tcBorders>
              <w:bottom w:val="single" w:sz="4" w:space="0" w:color="000000" w:themeColor="text1"/>
            </w:tcBorders>
            <w:tcMar>
              <w:left w:w="28" w:type="dxa"/>
              <w:right w:w="28" w:type="dxa"/>
            </w:tcMar>
          </w:tcPr>
          <w:p w14:paraId="01CA1074" w14:textId="77777777" w:rsidR="00A75BD0" w:rsidRDefault="009D4DA5">
            <w:pPr>
              <w:rPr>
                <w:color w:val="005A9E"/>
                <w:sz w:val="18"/>
                <w:szCs w:val="18"/>
              </w:rPr>
            </w:pPr>
            <w:r>
              <w:rPr>
                <w:color w:val="005A9E"/>
                <w:sz w:val="18"/>
                <w:szCs w:val="18"/>
              </w:rPr>
              <w:t>17.6 (range 3-42.5)</w:t>
            </w:r>
          </w:p>
          <w:p w14:paraId="3FE5EEAF" w14:textId="77777777" w:rsidR="00A75BD0" w:rsidRDefault="00A75BD0">
            <w:pPr>
              <w:rPr>
                <w:color w:val="005A9E"/>
                <w:sz w:val="18"/>
                <w:szCs w:val="18"/>
              </w:rPr>
            </w:pPr>
          </w:p>
          <w:p w14:paraId="7302806C" w14:textId="77777777" w:rsidR="00A75BD0" w:rsidRDefault="00A75BD0">
            <w:pPr>
              <w:rPr>
                <w:color w:val="005A9E"/>
                <w:sz w:val="18"/>
                <w:szCs w:val="18"/>
              </w:rPr>
            </w:pPr>
          </w:p>
        </w:tc>
        <w:tc>
          <w:tcPr>
            <w:tcW w:w="2268" w:type="dxa"/>
            <w:gridSpan w:val="3"/>
            <w:tcBorders>
              <w:bottom w:val="single" w:sz="4" w:space="0" w:color="000000" w:themeColor="text1"/>
            </w:tcBorders>
            <w:tcMar>
              <w:left w:w="0" w:type="dxa"/>
              <w:right w:w="0" w:type="dxa"/>
            </w:tcMar>
          </w:tcPr>
          <w:p w14:paraId="42059FB4" w14:textId="77777777" w:rsidR="00A75BD0" w:rsidRPr="002F6A24" w:rsidRDefault="009D4DA5">
            <w:pPr>
              <w:rPr>
                <w:color w:val="005A9E"/>
                <w:sz w:val="18"/>
                <w:szCs w:val="18"/>
                <w:lang w:val="en-US"/>
              </w:rPr>
            </w:pPr>
            <w:r w:rsidRPr="002F6A24">
              <w:rPr>
                <w:color w:val="005A9E"/>
                <w:sz w:val="18"/>
                <w:szCs w:val="18"/>
                <w:lang w:val="en-US"/>
              </w:rPr>
              <w:t>hemoglobin,</w:t>
            </w:r>
          </w:p>
          <w:p w14:paraId="6CCC8897" w14:textId="77777777" w:rsidR="00A75BD0" w:rsidRPr="002F6A24" w:rsidRDefault="009D4DA5">
            <w:pPr>
              <w:rPr>
                <w:color w:val="005A9E"/>
                <w:sz w:val="18"/>
                <w:szCs w:val="18"/>
                <w:lang w:val="en-US"/>
              </w:rPr>
            </w:pPr>
            <w:r w:rsidRPr="002F6A24">
              <w:rPr>
                <w:color w:val="005A9E"/>
                <w:sz w:val="18"/>
                <w:szCs w:val="18"/>
                <w:lang w:val="en-US"/>
              </w:rPr>
              <w:t xml:space="preserve">iron, </w:t>
            </w:r>
          </w:p>
          <w:p w14:paraId="7DA0FEA4" w14:textId="77777777" w:rsidR="00A75BD0" w:rsidRPr="002F6A24" w:rsidRDefault="009D4DA5">
            <w:pPr>
              <w:rPr>
                <w:color w:val="005A9E"/>
                <w:sz w:val="18"/>
                <w:szCs w:val="18"/>
                <w:lang w:val="en-US"/>
              </w:rPr>
            </w:pPr>
            <w:r w:rsidRPr="002F6A24">
              <w:rPr>
                <w:color w:val="005A9E"/>
                <w:sz w:val="18"/>
                <w:szCs w:val="18"/>
                <w:lang w:val="en-US"/>
              </w:rPr>
              <w:t>ferritin levels</w:t>
            </w:r>
          </w:p>
          <w:p w14:paraId="2455C819" w14:textId="77777777" w:rsidR="00A75BD0" w:rsidRPr="002F6A24" w:rsidRDefault="009D4DA5">
            <w:pPr>
              <w:rPr>
                <w:color w:val="005A9E"/>
                <w:sz w:val="18"/>
                <w:szCs w:val="18"/>
                <w:lang w:val="en-US"/>
              </w:rPr>
            </w:pPr>
            <w:r w:rsidRPr="002F6A24">
              <w:rPr>
                <w:color w:val="005A9E"/>
                <w:sz w:val="18"/>
                <w:szCs w:val="18"/>
                <w:lang w:val="en-US"/>
              </w:rPr>
              <w:t>transfusion</w:t>
            </w:r>
          </w:p>
          <w:p w14:paraId="09EA3DED" w14:textId="77777777" w:rsidR="00A75BD0" w:rsidRPr="002F6A24" w:rsidRDefault="009D4DA5">
            <w:pPr>
              <w:rPr>
                <w:color w:val="005A9E"/>
                <w:sz w:val="18"/>
                <w:szCs w:val="18"/>
                <w:lang w:val="en-US"/>
              </w:rPr>
            </w:pPr>
            <w:r w:rsidRPr="002F6A24">
              <w:rPr>
                <w:color w:val="005A9E"/>
                <w:sz w:val="18"/>
                <w:szCs w:val="18"/>
                <w:lang w:val="en-US"/>
              </w:rPr>
              <w:t>Qualiy of life before and after treatment</w:t>
            </w:r>
          </w:p>
          <w:p w14:paraId="7A567493" w14:textId="77777777" w:rsidR="00A75BD0" w:rsidRPr="002F6A24" w:rsidRDefault="009D4DA5">
            <w:pPr>
              <w:rPr>
                <w:color w:val="005A9E"/>
                <w:sz w:val="18"/>
                <w:szCs w:val="18"/>
                <w:lang w:val="en-US"/>
              </w:rPr>
            </w:pPr>
            <w:r w:rsidRPr="002F6A24">
              <w:rPr>
                <w:color w:val="005A9E"/>
                <w:sz w:val="18"/>
                <w:szCs w:val="18"/>
                <w:lang w:val="en-US"/>
              </w:rPr>
              <w:t>ESS and Epistaxis-QoL</w:t>
            </w:r>
          </w:p>
          <w:p w14:paraId="61C3368B" w14:textId="77777777" w:rsidR="00A75BD0" w:rsidRPr="002F6A24" w:rsidRDefault="009D4DA5">
            <w:pPr>
              <w:rPr>
                <w:color w:val="005A9E"/>
                <w:sz w:val="18"/>
                <w:szCs w:val="18"/>
                <w:lang w:val="en-US"/>
              </w:rPr>
            </w:pPr>
            <w:r w:rsidRPr="002F6A24">
              <w:rPr>
                <w:color w:val="005A9E"/>
                <w:sz w:val="18"/>
                <w:szCs w:val="18"/>
                <w:lang w:val="en-US"/>
              </w:rPr>
              <w:t>AE</w:t>
            </w:r>
          </w:p>
        </w:tc>
        <w:tc>
          <w:tcPr>
            <w:tcW w:w="4730" w:type="dxa"/>
            <w:tcBorders>
              <w:bottom w:val="single" w:sz="4" w:space="0" w:color="000000" w:themeColor="text1"/>
            </w:tcBorders>
            <w:tcMar>
              <w:left w:w="28" w:type="dxa"/>
              <w:right w:w="28" w:type="dxa"/>
            </w:tcMar>
          </w:tcPr>
          <w:p w14:paraId="1910582D" w14:textId="77777777" w:rsidR="00A75BD0" w:rsidRPr="002F6A24" w:rsidRDefault="009D4DA5">
            <w:pPr>
              <w:keepLines/>
              <w:numPr>
                <w:ilvl w:val="0"/>
                <w:numId w:val="11"/>
              </w:numPr>
              <w:pBdr>
                <w:top w:val="nil"/>
                <w:left w:val="nil"/>
                <w:bottom w:val="nil"/>
                <w:right w:val="nil"/>
                <w:between w:val="nil"/>
              </w:pBdr>
              <w:ind w:left="113" w:right="166" w:hanging="113"/>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ESS (during and after the initial treatment) and Epistaxis-QoL (after the initial treatment)</w:t>
            </w:r>
          </w:p>
          <w:p w14:paraId="23137C7C" w14:textId="77777777" w:rsidR="00A75BD0" w:rsidRPr="002F6A24" w:rsidRDefault="009D4DA5">
            <w:pPr>
              <w:keepLines/>
              <w:numPr>
                <w:ilvl w:val="0"/>
                <w:numId w:val="11"/>
              </w:numPr>
              <w:pBdr>
                <w:top w:val="nil"/>
                <w:left w:val="nil"/>
                <w:bottom w:val="nil"/>
                <w:right w:val="nil"/>
                <w:between w:val="nil"/>
              </w:pBdr>
              <w:ind w:left="113" w:right="166" w:hanging="113"/>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QoL (during and after the initial treatment)</w:t>
            </w:r>
          </w:p>
          <w:p w14:paraId="3D9B551F" w14:textId="77777777" w:rsidR="00A75BD0" w:rsidRPr="002F6A24" w:rsidRDefault="00A75BD0">
            <w:pPr>
              <w:ind w:right="166"/>
              <w:jc w:val="both"/>
              <w:rPr>
                <w:color w:val="005A9E"/>
                <w:sz w:val="18"/>
                <w:szCs w:val="18"/>
                <w:lang w:val="en-US"/>
              </w:rPr>
            </w:pPr>
          </w:p>
          <w:p w14:paraId="0B1D6952" w14:textId="77777777" w:rsidR="00A75BD0" w:rsidRDefault="009D4DA5" w:rsidP="0BA40188">
            <w:pPr>
              <w:ind w:left="176" w:right="166"/>
              <w:jc w:val="both"/>
              <w:rPr>
                <w:color w:val="005A9E"/>
                <w:sz w:val="18"/>
                <w:szCs w:val="18"/>
                <w:lang w:val="fr-FR"/>
              </w:rPr>
            </w:pPr>
            <w:r w:rsidRPr="0BA40188">
              <w:rPr>
                <w:color w:val="005A9E"/>
                <w:sz w:val="18"/>
                <w:szCs w:val="18"/>
                <w:lang w:val="fr-FR"/>
              </w:rPr>
              <w:t>AE:</w:t>
            </w:r>
          </w:p>
          <w:p w14:paraId="025E2737" w14:textId="77777777" w:rsidR="00A75BD0" w:rsidRPr="002F6A24" w:rsidRDefault="009D4DA5">
            <w:pPr>
              <w:keepLines/>
              <w:numPr>
                <w:ilvl w:val="0"/>
                <w:numId w:val="30"/>
              </w:numPr>
              <w:pBdr>
                <w:top w:val="nil"/>
                <w:left w:val="nil"/>
                <w:bottom w:val="nil"/>
                <w:right w:val="nil"/>
                <w:between w:val="nil"/>
              </w:pBdr>
              <w:ind w:left="113" w:right="166" w:hanging="113"/>
              <w:jc w:val="both"/>
              <w:rPr>
                <w:color w:val="005A9E"/>
                <w:sz w:val="18"/>
                <w:szCs w:val="18"/>
                <w:lang w:val="en-US"/>
              </w:rPr>
            </w:pPr>
            <w:r w:rsidRPr="002F6A24">
              <w:rPr>
                <w:color w:val="005A9E"/>
                <w:sz w:val="18"/>
                <w:szCs w:val="18"/>
                <w:lang w:val="en-US"/>
              </w:rPr>
              <w:t>Infusion-related chills and fever (2 patients)</w:t>
            </w:r>
          </w:p>
          <w:p w14:paraId="711313D6" w14:textId="77777777" w:rsidR="00A75BD0" w:rsidRPr="002F6A24" w:rsidRDefault="009D4DA5">
            <w:pPr>
              <w:keepLines/>
              <w:numPr>
                <w:ilvl w:val="0"/>
                <w:numId w:val="30"/>
              </w:numPr>
              <w:pBdr>
                <w:top w:val="nil"/>
                <w:left w:val="nil"/>
                <w:bottom w:val="nil"/>
                <w:right w:val="nil"/>
                <w:between w:val="nil"/>
              </w:pBdr>
              <w:ind w:left="113" w:right="166" w:hanging="113"/>
              <w:jc w:val="both"/>
              <w:rPr>
                <w:color w:val="005A9E"/>
                <w:sz w:val="18"/>
                <w:szCs w:val="18"/>
                <w:lang w:val="en-US"/>
              </w:rPr>
            </w:pPr>
            <w:r w:rsidRPr="002F6A24">
              <w:rPr>
                <w:color w:val="005A9E"/>
                <w:sz w:val="18"/>
                <w:szCs w:val="18"/>
                <w:lang w:val="en-US"/>
              </w:rPr>
              <w:t>Hypertension: hypertensive urgency with a temporary decline in renal function after the first dose (4 patients)</w:t>
            </w:r>
          </w:p>
          <w:p w14:paraId="03ECF50E" w14:textId="77777777" w:rsidR="00A75BD0" w:rsidRPr="002F6A24" w:rsidRDefault="00A75BD0">
            <w:pPr>
              <w:ind w:left="176" w:right="166"/>
              <w:jc w:val="both"/>
              <w:rPr>
                <w:color w:val="005A9E"/>
                <w:sz w:val="18"/>
                <w:szCs w:val="18"/>
                <w:lang w:val="en-US"/>
              </w:rPr>
            </w:pPr>
          </w:p>
          <w:p w14:paraId="3481CB51" w14:textId="77777777" w:rsidR="00A75BD0" w:rsidRPr="002F6A24" w:rsidRDefault="009D4DA5">
            <w:pPr>
              <w:ind w:left="114" w:right="166"/>
              <w:jc w:val="both"/>
              <w:rPr>
                <w:color w:val="005A9E"/>
                <w:sz w:val="18"/>
                <w:szCs w:val="18"/>
                <w:lang w:val="en-US"/>
              </w:rPr>
            </w:pPr>
            <w:r w:rsidRPr="002F6A24">
              <w:rPr>
                <w:color w:val="005A9E"/>
                <w:sz w:val="18"/>
                <w:szCs w:val="18"/>
                <w:lang w:val="en-US"/>
              </w:rPr>
              <w:t>median time from the end of the initial treatment cycle to the first top-up dosing of IV bevacizumab was 6.4 months</w:t>
            </w:r>
          </w:p>
        </w:tc>
      </w:tr>
      <w:tr w:rsidR="00A75BD0" w14:paraId="16960D7F" w14:textId="77777777" w:rsidTr="0BA40188">
        <w:trPr>
          <w:trHeight w:val="397"/>
        </w:trPr>
        <w:tc>
          <w:tcPr>
            <w:tcW w:w="1273" w:type="dxa"/>
            <w:tcBorders>
              <w:bottom w:val="single" w:sz="4" w:space="0" w:color="000000" w:themeColor="text1"/>
            </w:tcBorders>
            <w:tcMar>
              <w:left w:w="28" w:type="dxa"/>
              <w:right w:w="28" w:type="dxa"/>
            </w:tcMar>
          </w:tcPr>
          <w:p w14:paraId="26B1DA38" w14:textId="77777777" w:rsidR="00A75BD0" w:rsidRDefault="008853BF">
            <w:pPr>
              <w:ind w:right="306"/>
              <w:rPr>
                <w:color w:val="005A9E"/>
                <w:sz w:val="18"/>
                <w:szCs w:val="18"/>
              </w:rPr>
            </w:pPr>
            <w:hyperlink r:id="rId27">
              <w:r w:rsidR="009D4DA5">
                <w:rPr>
                  <w:color w:val="0563C1"/>
                  <w:sz w:val="18"/>
                  <w:szCs w:val="18"/>
                  <w:u w:val="single"/>
                </w:rPr>
                <w:t>Guilhem, 2017</w:t>
              </w:r>
            </w:hyperlink>
          </w:p>
        </w:tc>
        <w:tc>
          <w:tcPr>
            <w:tcW w:w="3685" w:type="dxa"/>
            <w:tcBorders>
              <w:bottom w:val="single" w:sz="4" w:space="0" w:color="000000" w:themeColor="text1"/>
            </w:tcBorders>
            <w:tcMar>
              <w:left w:w="28" w:type="dxa"/>
              <w:right w:w="28" w:type="dxa"/>
            </w:tcMar>
          </w:tcPr>
          <w:p w14:paraId="100D5968" w14:textId="77777777" w:rsidR="00A75BD0" w:rsidRPr="002F6A24" w:rsidRDefault="009D4DA5">
            <w:pPr>
              <w:rPr>
                <w:color w:val="005A9E"/>
                <w:sz w:val="18"/>
                <w:szCs w:val="18"/>
                <w:lang w:val="en-US"/>
              </w:rPr>
            </w:pPr>
            <w:r w:rsidRPr="002F6A24">
              <w:rPr>
                <w:color w:val="005A9E"/>
                <w:sz w:val="18"/>
                <w:szCs w:val="18"/>
                <w:lang w:val="en-US"/>
              </w:rPr>
              <w:t>46 Patients of centers of the French HHT network between 2009-2015</w:t>
            </w:r>
          </w:p>
          <w:p w14:paraId="6B2BB40F" w14:textId="77777777" w:rsidR="00A75BD0" w:rsidRPr="002F6A24" w:rsidRDefault="00A75BD0">
            <w:pPr>
              <w:rPr>
                <w:color w:val="005A9E"/>
                <w:sz w:val="18"/>
                <w:szCs w:val="18"/>
                <w:lang w:val="en-US"/>
              </w:rPr>
            </w:pPr>
          </w:p>
          <w:p w14:paraId="06A79605" w14:textId="77777777" w:rsidR="00A75BD0" w:rsidRDefault="009D4DA5" w:rsidP="0BA40188">
            <w:pPr>
              <w:rPr>
                <w:color w:val="005A9E"/>
                <w:sz w:val="18"/>
                <w:szCs w:val="18"/>
                <w:lang w:val="fr-FR"/>
              </w:rPr>
            </w:pPr>
            <w:r w:rsidRPr="0BA40188">
              <w:rPr>
                <w:color w:val="005A9E"/>
                <w:sz w:val="18"/>
                <w:szCs w:val="18"/>
                <w:lang w:val="fr-FR"/>
              </w:rPr>
              <w:t>Bevacizumab indication :</w:t>
            </w:r>
          </w:p>
          <w:p w14:paraId="6632E6F3" w14:textId="77777777" w:rsidR="00A75BD0" w:rsidRPr="002F6A24" w:rsidRDefault="009D4DA5">
            <w:pPr>
              <w:numPr>
                <w:ilvl w:val="0"/>
                <w:numId w:val="4"/>
              </w:numPr>
              <w:pBdr>
                <w:top w:val="nil"/>
                <w:left w:val="nil"/>
                <w:bottom w:val="nil"/>
                <w:right w:val="nil"/>
                <w:between w:val="nil"/>
              </w:pBdr>
              <w:spacing w:line="276" w:lineRule="auto"/>
              <w:ind w:left="114" w:hanging="114"/>
              <w:rPr>
                <w:color w:val="005A9E"/>
                <w:sz w:val="18"/>
                <w:szCs w:val="18"/>
                <w:lang w:val="en-US"/>
              </w:rPr>
            </w:pPr>
            <w:r w:rsidRPr="002F6A24">
              <w:rPr>
                <w:color w:val="005A9E"/>
                <w:sz w:val="18"/>
                <w:szCs w:val="18"/>
                <w:lang w:val="en-US"/>
              </w:rPr>
              <w:t>Group: high output heart failure due to hepatic AVM: 22 % of patients</w:t>
            </w:r>
          </w:p>
          <w:p w14:paraId="49D2EDC4" w14:textId="77777777" w:rsidR="00A75BD0" w:rsidRDefault="009D4DA5" w:rsidP="0BA40188">
            <w:pPr>
              <w:numPr>
                <w:ilvl w:val="1"/>
                <w:numId w:val="4"/>
              </w:numPr>
              <w:pBdr>
                <w:top w:val="nil"/>
                <w:left w:val="nil"/>
                <w:bottom w:val="nil"/>
                <w:right w:val="nil"/>
                <w:between w:val="nil"/>
              </w:pBdr>
              <w:spacing w:line="276" w:lineRule="auto"/>
              <w:ind w:left="681" w:hanging="142"/>
              <w:rPr>
                <w:color w:val="005A9E"/>
                <w:sz w:val="18"/>
                <w:szCs w:val="18"/>
                <w:lang w:val="fr-FR"/>
              </w:rPr>
            </w:pPr>
            <w:r w:rsidRPr="0BA40188">
              <w:rPr>
                <w:color w:val="005A9E"/>
                <w:sz w:val="18"/>
                <w:szCs w:val="18"/>
                <w:lang w:val="fr-FR"/>
              </w:rPr>
              <w:t>CI: 5.2 l/min/m</w:t>
            </w:r>
            <w:r w:rsidRPr="0BA40188">
              <w:rPr>
                <w:color w:val="005A9E"/>
                <w:sz w:val="18"/>
                <w:szCs w:val="18"/>
                <w:vertAlign w:val="superscript"/>
                <w:lang w:val="fr-FR"/>
              </w:rPr>
              <w:t>2</w:t>
            </w:r>
          </w:p>
          <w:p w14:paraId="3BF84AD9" w14:textId="77777777" w:rsidR="00A75BD0" w:rsidRPr="002F6A24" w:rsidRDefault="009D4DA5">
            <w:pPr>
              <w:numPr>
                <w:ilvl w:val="1"/>
                <w:numId w:val="4"/>
              </w:numPr>
              <w:pBdr>
                <w:top w:val="nil"/>
                <w:left w:val="nil"/>
                <w:bottom w:val="nil"/>
                <w:right w:val="nil"/>
                <w:between w:val="nil"/>
              </w:pBdr>
              <w:spacing w:line="276" w:lineRule="auto"/>
              <w:ind w:left="681" w:hanging="142"/>
              <w:rPr>
                <w:color w:val="005A9E"/>
                <w:sz w:val="18"/>
                <w:szCs w:val="18"/>
                <w:lang w:val="en-US"/>
              </w:rPr>
            </w:pPr>
            <w:r w:rsidRPr="002F6A24">
              <w:rPr>
                <w:color w:val="005A9E"/>
                <w:sz w:val="18"/>
                <w:szCs w:val="18"/>
                <w:lang w:val="en-US"/>
              </w:rPr>
              <w:t>80% of patient with III or IV NYHA class of dyspnea</w:t>
            </w:r>
          </w:p>
          <w:p w14:paraId="3F5C4E15" w14:textId="77777777" w:rsidR="00A75BD0" w:rsidRPr="002F6A24" w:rsidRDefault="009D4DA5">
            <w:pPr>
              <w:numPr>
                <w:ilvl w:val="0"/>
                <w:numId w:val="4"/>
              </w:numPr>
              <w:pBdr>
                <w:top w:val="nil"/>
                <w:left w:val="nil"/>
                <w:bottom w:val="nil"/>
                <w:right w:val="nil"/>
                <w:between w:val="nil"/>
              </w:pBdr>
              <w:spacing w:line="276" w:lineRule="auto"/>
              <w:ind w:left="114" w:hanging="114"/>
              <w:rPr>
                <w:color w:val="005A9E"/>
                <w:sz w:val="18"/>
                <w:szCs w:val="18"/>
                <w:lang w:val="en-US"/>
              </w:rPr>
            </w:pPr>
            <w:r w:rsidRPr="002F6A24">
              <w:rPr>
                <w:color w:val="005A9E"/>
                <w:sz w:val="18"/>
                <w:szCs w:val="18"/>
                <w:lang w:val="en-US"/>
              </w:rPr>
              <w:t>Group: severe hemorrhages by epistaxis or GI bleeding: 44% of patients</w:t>
            </w:r>
          </w:p>
          <w:p w14:paraId="532C6102" w14:textId="77777777" w:rsidR="00A75BD0" w:rsidRDefault="009D4DA5" w:rsidP="0BA40188">
            <w:pPr>
              <w:numPr>
                <w:ilvl w:val="0"/>
                <w:numId w:val="4"/>
              </w:numPr>
              <w:pBdr>
                <w:top w:val="nil"/>
                <w:left w:val="nil"/>
                <w:bottom w:val="nil"/>
                <w:right w:val="nil"/>
                <w:between w:val="nil"/>
              </w:pBdr>
              <w:spacing w:line="276" w:lineRule="auto"/>
              <w:ind w:left="114" w:hanging="114"/>
              <w:rPr>
                <w:color w:val="005A9E"/>
                <w:sz w:val="18"/>
                <w:szCs w:val="18"/>
                <w:lang w:val="fr-FR"/>
              </w:rPr>
            </w:pPr>
            <w:r w:rsidRPr="0BA40188">
              <w:rPr>
                <w:color w:val="005A9E"/>
                <w:sz w:val="18"/>
                <w:szCs w:val="18"/>
                <w:lang w:val="fr-FR"/>
              </w:rPr>
              <w:t>both: 35% of patient:</w:t>
            </w:r>
          </w:p>
          <w:p w14:paraId="68925A59" w14:textId="77777777" w:rsidR="00A75BD0" w:rsidRDefault="009D4DA5" w:rsidP="0BA40188">
            <w:pPr>
              <w:numPr>
                <w:ilvl w:val="1"/>
                <w:numId w:val="4"/>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CI: 5.4 l/min/m</w:t>
            </w:r>
            <w:r w:rsidRPr="0BA40188">
              <w:rPr>
                <w:color w:val="005A9E"/>
                <w:sz w:val="18"/>
                <w:szCs w:val="18"/>
                <w:vertAlign w:val="superscript"/>
                <w:lang w:val="fr-FR"/>
              </w:rPr>
              <w:t>2</w:t>
            </w:r>
          </w:p>
          <w:p w14:paraId="51A0F341" w14:textId="77777777" w:rsidR="00A75BD0" w:rsidRPr="002F6A24" w:rsidRDefault="009D4DA5">
            <w:pPr>
              <w:numPr>
                <w:ilvl w:val="1"/>
                <w:numId w:val="4"/>
              </w:numPr>
              <w:pBdr>
                <w:top w:val="nil"/>
                <w:left w:val="nil"/>
                <w:bottom w:val="nil"/>
                <w:right w:val="nil"/>
                <w:between w:val="nil"/>
              </w:pBdr>
              <w:spacing w:line="276" w:lineRule="auto"/>
              <w:rPr>
                <w:color w:val="005A9E"/>
                <w:sz w:val="18"/>
                <w:szCs w:val="18"/>
                <w:lang w:val="en-US"/>
              </w:rPr>
            </w:pPr>
            <w:r w:rsidRPr="002F6A24">
              <w:rPr>
                <w:color w:val="005A9E"/>
                <w:sz w:val="18"/>
                <w:szCs w:val="18"/>
                <w:lang w:val="en-US"/>
              </w:rPr>
              <w:t>38% of patient with III or IV NYHA class of dyspnea</w:t>
            </w:r>
          </w:p>
          <w:p w14:paraId="26A0E62C" w14:textId="77777777" w:rsidR="00A75BD0" w:rsidRDefault="009D4DA5" w:rsidP="0BA40188">
            <w:pPr>
              <w:numPr>
                <w:ilvl w:val="0"/>
                <w:numId w:val="4"/>
              </w:numPr>
              <w:pBdr>
                <w:top w:val="nil"/>
                <w:left w:val="nil"/>
                <w:bottom w:val="nil"/>
                <w:right w:val="nil"/>
                <w:between w:val="nil"/>
              </w:pBdr>
              <w:spacing w:line="276" w:lineRule="auto"/>
              <w:ind w:left="114" w:hanging="114"/>
              <w:rPr>
                <w:color w:val="005A9E"/>
                <w:sz w:val="18"/>
                <w:szCs w:val="18"/>
                <w:lang w:val="fr-FR"/>
              </w:rPr>
            </w:pPr>
            <w:r w:rsidRPr="0BA40188">
              <w:rPr>
                <w:color w:val="005A9E"/>
                <w:sz w:val="18"/>
                <w:szCs w:val="18"/>
                <w:lang w:val="fr-FR"/>
              </w:rPr>
              <w:t>51 patient-years of systemic bevacizumab</w:t>
            </w:r>
          </w:p>
          <w:p w14:paraId="05AAEC7F" w14:textId="77777777" w:rsidR="00A75BD0" w:rsidRDefault="00A75BD0">
            <w:pPr>
              <w:pBdr>
                <w:top w:val="nil"/>
                <w:left w:val="nil"/>
                <w:bottom w:val="nil"/>
                <w:right w:val="nil"/>
                <w:between w:val="nil"/>
              </w:pBdr>
              <w:ind w:left="114"/>
              <w:rPr>
                <w:color w:val="005A9E"/>
                <w:sz w:val="18"/>
                <w:szCs w:val="18"/>
              </w:rPr>
            </w:pPr>
          </w:p>
        </w:tc>
        <w:tc>
          <w:tcPr>
            <w:tcW w:w="1985" w:type="dxa"/>
            <w:gridSpan w:val="2"/>
            <w:tcBorders>
              <w:bottom w:val="single" w:sz="4" w:space="0" w:color="000000" w:themeColor="text1"/>
            </w:tcBorders>
            <w:tcMar>
              <w:left w:w="28" w:type="dxa"/>
              <w:right w:w="28" w:type="dxa"/>
            </w:tcMar>
          </w:tcPr>
          <w:p w14:paraId="093F74B2" w14:textId="77777777" w:rsidR="00A75BD0" w:rsidRPr="002F6A24" w:rsidRDefault="009D4DA5">
            <w:pPr>
              <w:ind w:right="114"/>
              <w:rPr>
                <w:color w:val="005A9E"/>
                <w:sz w:val="18"/>
                <w:szCs w:val="18"/>
                <w:lang w:val="en-US"/>
              </w:rPr>
            </w:pPr>
            <w:r w:rsidRPr="002F6A24">
              <w:rPr>
                <w:color w:val="005A9E"/>
                <w:sz w:val="18"/>
                <w:szCs w:val="18"/>
                <w:lang w:val="en-US"/>
              </w:rPr>
              <w:t xml:space="preserve">Initial treatment: 5 mg/kg IV / 2 weeks </w:t>
            </w:r>
          </w:p>
          <w:p w14:paraId="626C78C0" w14:textId="77777777" w:rsidR="00A75BD0" w:rsidRPr="002F6A24" w:rsidRDefault="009D4DA5">
            <w:pPr>
              <w:ind w:right="114"/>
              <w:rPr>
                <w:color w:val="005A9E"/>
                <w:sz w:val="18"/>
                <w:szCs w:val="18"/>
                <w:lang w:val="en-US"/>
              </w:rPr>
            </w:pPr>
            <w:r w:rsidRPr="002F6A24">
              <w:rPr>
                <w:color w:val="005A9E"/>
                <w:sz w:val="18"/>
                <w:szCs w:val="18"/>
                <w:lang w:val="en-US"/>
              </w:rPr>
              <w:t xml:space="preserve">6 infusions </w:t>
            </w:r>
          </w:p>
          <w:p w14:paraId="76613E68" w14:textId="77777777" w:rsidR="00A75BD0" w:rsidRPr="002F6A24" w:rsidRDefault="009D4DA5">
            <w:pPr>
              <w:ind w:right="114"/>
              <w:rPr>
                <w:color w:val="005A9E"/>
                <w:sz w:val="18"/>
                <w:szCs w:val="18"/>
                <w:lang w:val="en-US"/>
              </w:rPr>
            </w:pPr>
            <w:r w:rsidRPr="002F6A24">
              <w:rPr>
                <w:color w:val="005A9E"/>
                <w:sz w:val="18"/>
                <w:szCs w:val="18"/>
                <w:lang w:val="en-US"/>
              </w:rPr>
              <w:t>(used in 89% of patients)</w:t>
            </w:r>
          </w:p>
        </w:tc>
        <w:tc>
          <w:tcPr>
            <w:tcW w:w="992" w:type="dxa"/>
            <w:tcBorders>
              <w:bottom w:val="single" w:sz="4" w:space="0" w:color="000000" w:themeColor="text1"/>
            </w:tcBorders>
            <w:tcMar>
              <w:left w:w="28" w:type="dxa"/>
              <w:right w:w="28" w:type="dxa"/>
            </w:tcMar>
          </w:tcPr>
          <w:p w14:paraId="0BA401C3" w14:textId="77777777" w:rsidR="00A75BD0" w:rsidRDefault="009D4DA5">
            <w:pPr>
              <w:rPr>
                <w:color w:val="005A9E"/>
                <w:sz w:val="18"/>
                <w:szCs w:val="18"/>
              </w:rPr>
            </w:pPr>
            <w:r>
              <w:rPr>
                <w:color w:val="005A9E"/>
                <w:sz w:val="18"/>
                <w:szCs w:val="18"/>
              </w:rPr>
              <w:t xml:space="preserve">3.5 </w:t>
            </w:r>
          </w:p>
          <w:p w14:paraId="2DE4518F" w14:textId="77777777" w:rsidR="00A75BD0" w:rsidRDefault="00A75BD0">
            <w:pPr>
              <w:rPr>
                <w:color w:val="005A9E"/>
                <w:sz w:val="18"/>
                <w:szCs w:val="18"/>
              </w:rPr>
            </w:pPr>
          </w:p>
          <w:p w14:paraId="2B19ABE0" w14:textId="77777777" w:rsidR="00A75BD0" w:rsidRDefault="009D4DA5" w:rsidP="0BA40188">
            <w:pPr>
              <w:rPr>
                <w:color w:val="005A9E"/>
                <w:sz w:val="18"/>
                <w:szCs w:val="18"/>
                <w:lang w:val="fr-FR"/>
              </w:rPr>
            </w:pPr>
            <w:r w:rsidRPr="0BA40188">
              <w:rPr>
                <w:color w:val="005A9E"/>
                <w:sz w:val="18"/>
                <w:szCs w:val="18"/>
                <w:lang w:val="fr-FR"/>
              </w:rPr>
              <w:t>(range 0.5 - 75)</w:t>
            </w:r>
          </w:p>
        </w:tc>
        <w:tc>
          <w:tcPr>
            <w:tcW w:w="2268" w:type="dxa"/>
            <w:gridSpan w:val="3"/>
            <w:tcBorders>
              <w:bottom w:val="single" w:sz="4" w:space="0" w:color="000000" w:themeColor="text1"/>
            </w:tcBorders>
            <w:tcMar>
              <w:left w:w="0" w:type="dxa"/>
              <w:right w:w="0" w:type="dxa"/>
            </w:tcMar>
          </w:tcPr>
          <w:p w14:paraId="12E36A73" w14:textId="77777777" w:rsidR="00A75BD0" w:rsidRDefault="009D4DA5" w:rsidP="0BA40188">
            <w:pPr>
              <w:numPr>
                <w:ilvl w:val="0"/>
                <w:numId w:val="37"/>
              </w:numPr>
              <w:pBdr>
                <w:top w:val="nil"/>
                <w:left w:val="nil"/>
                <w:bottom w:val="nil"/>
                <w:right w:val="nil"/>
                <w:between w:val="nil"/>
              </w:pBdr>
              <w:spacing w:line="276" w:lineRule="auto"/>
              <w:ind w:left="142" w:hanging="142"/>
              <w:rPr>
                <w:color w:val="005A9E"/>
                <w:sz w:val="18"/>
                <w:szCs w:val="18"/>
                <w:lang w:val="fr-FR"/>
              </w:rPr>
            </w:pPr>
            <w:r w:rsidRPr="0BA40188">
              <w:rPr>
                <w:color w:val="005A9E"/>
                <w:sz w:val="18"/>
                <w:szCs w:val="18"/>
                <w:lang w:val="fr-FR"/>
              </w:rPr>
              <w:t xml:space="preserve">NYHA class of dyspnea, </w:t>
            </w:r>
          </w:p>
          <w:p w14:paraId="3977687D" w14:textId="77777777" w:rsidR="00A75BD0" w:rsidRDefault="009D4DA5">
            <w:pPr>
              <w:numPr>
                <w:ilvl w:val="0"/>
                <w:numId w:val="37"/>
              </w:numPr>
              <w:pBdr>
                <w:top w:val="nil"/>
                <w:left w:val="nil"/>
                <w:bottom w:val="nil"/>
                <w:right w:val="nil"/>
                <w:between w:val="nil"/>
              </w:pBdr>
              <w:spacing w:line="276" w:lineRule="auto"/>
              <w:ind w:left="142" w:hanging="142"/>
              <w:rPr>
                <w:color w:val="005A9E"/>
                <w:sz w:val="18"/>
                <w:szCs w:val="18"/>
              </w:rPr>
            </w:pPr>
            <w:r>
              <w:rPr>
                <w:color w:val="005A9E"/>
                <w:sz w:val="18"/>
                <w:szCs w:val="18"/>
              </w:rPr>
              <w:t>CI</w:t>
            </w:r>
          </w:p>
          <w:p w14:paraId="34F04B6B" w14:textId="77777777" w:rsidR="00A75BD0" w:rsidRDefault="009D4DA5" w:rsidP="0BA40188">
            <w:pPr>
              <w:numPr>
                <w:ilvl w:val="0"/>
                <w:numId w:val="37"/>
              </w:numPr>
              <w:pBdr>
                <w:top w:val="nil"/>
                <w:left w:val="nil"/>
                <w:bottom w:val="nil"/>
                <w:right w:val="nil"/>
                <w:between w:val="nil"/>
              </w:pBdr>
              <w:spacing w:line="276" w:lineRule="auto"/>
              <w:ind w:left="142" w:hanging="142"/>
              <w:rPr>
                <w:color w:val="005A9E"/>
                <w:sz w:val="18"/>
                <w:szCs w:val="18"/>
                <w:lang w:val="fr-FR"/>
              </w:rPr>
            </w:pPr>
            <w:r w:rsidRPr="0BA40188">
              <w:rPr>
                <w:color w:val="005A9E"/>
                <w:sz w:val="18"/>
                <w:szCs w:val="18"/>
                <w:lang w:val="fr-FR"/>
              </w:rPr>
              <w:t xml:space="preserve">hemoglobinemia, transfusion </w:t>
            </w:r>
          </w:p>
          <w:p w14:paraId="018A10B5" w14:textId="77777777" w:rsidR="00A75BD0" w:rsidRDefault="009D4DA5" w:rsidP="0BA40188">
            <w:pPr>
              <w:numPr>
                <w:ilvl w:val="0"/>
                <w:numId w:val="37"/>
              </w:numPr>
              <w:pBdr>
                <w:top w:val="nil"/>
                <w:left w:val="nil"/>
                <w:bottom w:val="nil"/>
                <w:right w:val="nil"/>
                <w:between w:val="nil"/>
              </w:pBdr>
              <w:spacing w:line="276" w:lineRule="auto"/>
              <w:ind w:left="142" w:hanging="142"/>
              <w:rPr>
                <w:color w:val="005A9E"/>
                <w:sz w:val="18"/>
                <w:szCs w:val="18"/>
                <w:lang w:val="fr-FR"/>
              </w:rPr>
            </w:pPr>
            <w:r w:rsidRPr="0BA40188">
              <w:rPr>
                <w:color w:val="005A9E"/>
                <w:sz w:val="18"/>
                <w:szCs w:val="18"/>
                <w:lang w:val="fr-FR"/>
              </w:rPr>
              <w:t>epistaxis duration</w:t>
            </w:r>
          </w:p>
          <w:p w14:paraId="28AF9226" w14:textId="77777777" w:rsidR="00A75BD0" w:rsidRPr="002F6A24" w:rsidRDefault="009D4DA5">
            <w:pPr>
              <w:numPr>
                <w:ilvl w:val="0"/>
                <w:numId w:val="37"/>
              </w:numPr>
              <w:pBdr>
                <w:top w:val="nil"/>
                <w:left w:val="nil"/>
                <w:bottom w:val="nil"/>
                <w:right w:val="nil"/>
                <w:between w:val="nil"/>
              </w:pBdr>
              <w:spacing w:line="276" w:lineRule="auto"/>
              <w:ind w:left="142" w:hanging="142"/>
              <w:rPr>
                <w:color w:val="005A9E"/>
                <w:sz w:val="18"/>
                <w:szCs w:val="18"/>
                <w:lang w:val="en-US"/>
              </w:rPr>
            </w:pPr>
            <w:r w:rsidRPr="002F6A24">
              <w:rPr>
                <w:color w:val="005A9E"/>
                <w:sz w:val="18"/>
                <w:szCs w:val="18"/>
                <w:lang w:val="en-US"/>
              </w:rPr>
              <w:t>A global physicians’ judgment of the clinical efficacy 3 months after treatment minimum (improvement, stability, aggravation)</w:t>
            </w:r>
          </w:p>
          <w:p w14:paraId="72867D97" w14:textId="77777777" w:rsidR="00A75BD0" w:rsidRDefault="009D4DA5">
            <w:pPr>
              <w:numPr>
                <w:ilvl w:val="0"/>
                <w:numId w:val="37"/>
              </w:numPr>
              <w:pBdr>
                <w:top w:val="nil"/>
                <w:left w:val="nil"/>
                <w:bottom w:val="nil"/>
                <w:right w:val="nil"/>
                <w:between w:val="nil"/>
              </w:pBdr>
              <w:spacing w:line="276" w:lineRule="auto"/>
              <w:ind w:left="142" w:hanging="142"/>
              <w:rPr>
                <w:color w:val="005A9E"/>
                <w:sz w:val="18"/>
                <w:szCs w:val="18"/>
              </w:rPr>
            </w:pPr>
            <w:r>
              <w:rPr>
                <w:color w:val="005A9E"/>
                <w:sz w:val="18"/>
                <w:szCs w:val="18"/>
              </w:rPr>
              <w:t>AE</w:t>
            </w:r>
          </w:p>
        </w:tc>
        <w:tc>
          <w:tcPr>
            <w:tcW w:w="4730" w:type="dxa"/>
            <w:tcBorders>
              <w:bottom w:val="single" w:sz="4" w:space="0" w:color="000000" w:themeColor="text1"/>
            </w:tcBorders>
            <w:tcMar>
              <w:left w:w="28" w:type="dxa"/>
              <w:right w:w="28" w:type="dxa"/>
            </w:tcMar>
          </w:tcPr>
          <w:p w14:paraId="2C8D01A1" w14:textId="77777777" w:rsidR="00A75BD0" w:rsidRPr="002F6A24" w:rsidRDefault="009D4DA5">
            <w:pPr>
              <w:keepLines/>
              <w:numPr>
                <w:ilvl w:val="0"/>
                <w:numId w:val="34"/>
              </w:numPr>
              <w:pBdr>
                <w:top w:val="nil"/>
                <w:left w:val="nil"/>
                <w:bottom w:val="nil"/>
                <w:right w:val="nil"/>
                <w:between w:val="nil"/>
              </w:pBdr>
              <w:ind w:left="113" w:right="166" w:hanging="113"/>
              <w:jc w:val="both"/>
              <w:rPr>
                <w:color w:val="005A9E"/>
                <w:sz w:val="18"/>
                <w:szCs w:val="18"/>
                <w:lang w:val="en-US"/>
              </w:rPr>
            </w:pPr>
            <w:r w:rsidRPr="002F6A24">
              <w:rPr>
                <w:color w:val="005A9E"/>
                <w:sz w:val="18"/>
                <w:szCs w:val="18"/>
                <w:lang w:val="en-US"/>
              </w:rPr>
              <w:t>re-treatment or maintenance used for 54% of patients : more frequent for severe hemorrhages group</w:t>
            </w:r>
          </w:p>
          <w:p w14:paraId="388451C9" w14:textId="77777777" w:rsidR="00A75BD0" w:rsidRDefault="009D4DA5" w:rsidP="0BA40188">
            <w:pPr>
              <w:keepLines/>
              <w:numPr>
                <w:ilvl w:val="0"/>
                <w:numId w:val="34"/>
              </w:numPr>
              <w:pBdr>
                <w:top w:val="nil"/>
                <w:left w:val="nil"/>
                <w:bottom w:val="nil"/>
                <w:right w:val="nil"/>
                <w:between w:val="nil"/>
              </w:pBdr>
              <w:ind w:left="113" w:right="166" w:hanging="113"/>
              <w:jc w:val="both"/>
              <w:rPr>
                <w:color w:val="005A9E"/>
                <w:sz w:val="18"/>
                <w:szCs w:val="18"/>
                <w:lang w:val="fr-FR"/>
              </w:rPr>
            </w:pPr>
            <w:r w:rsidRPr="0BA40188">
              <w:rPr>
                <w:color w:val="005A9E"/>
                <w:sz w:val="18"/>
                <w:szCs w:val="18"/>
                <w:lang w:val="fr-FR"/>
              </w:rPr>
              <w:t>12 patients treated &gt; 1 year</w:t>
            </w:r>
          </w:p>
          <w:p w14:paraId="47424CC2" w14:textId="77777777" w:rsidR="00A75BD0" w:rsidRDefault="009D4DA5" w:rsidP="0BA40188">
            <w:pPr>
              <w:keepLines/>
              <w:numPr>
                <w:ilvl w:val="0"/>
                <w:numId w:val="34"/>
              </w:numPr>
              <w:pBdr>
                <w:top w:val="nil"/>
                <w:left w:val="nil"/>
                <w:bottom w:val="nil"/>
                <w:right w:val="nil"/>
                <w:between w:val="nil"/>
              </w:pBdr>
              <w:ind w:left="113" w:right="166" w:hanging="113"/>
              <w:jc w:val="both"/>
              <w:rPr>
                <w:color w:val="005A9E"/>
                <w:sz w:val="18"/>
                <w:szCs w:val="18"/>
                <w:lang w:val="fr-FR"/>
              </w:rPr>
            </w:pPr>
            <w:r w:rsidRPr="0BA40188">
              <w:rPr>
                <w:color w:val="005A9E"/>
                <w:sz w:val="18"/>
                <w:szCs w:val="18"/>
                <w:lang w:val="fr-FR"/>
              </w:rPr>
              <w:t>4 patients treated &gt; 4 years</w:t>
            </w:r>
          </w:p>
          <w:p w14:paraId="558785EB" w14:textId="77777777" w:rsidR="00A75BD0" w:rsidRDefault="00A75BD0">
            <w:pPr>
              <w:ind w:right="166"/>
              <w:jc w:val="both"/>
              <w:rPr>
                <w:color w:val="005A9E"/>
                <w:sz w:val="18"/>
                <w:szCs w:val="18"/>
              </w:rPr>
            </w:pPr>
          </w:p>
          <w:p w14:paraId="4B29613C" w14:textId="77777777" w:rsidR="00A75BD0" w:rsidRDefault="009D4DA5" w:rsidP="0BA40188">
            <w:pPr>
              <w:ind w:right="166"/>
              <w:jc w:val="both"/>
              <w:rPr>
                <w:color w:val="005A9E"/>
                <w:sz w:val="18"/>
                <w:szCs w:val="18"/>
                <w:lang w:val="fr-FR"/>
              </w:rPr>
            </w:pPr>
            <w:r w:rsidRPr="0BA40188">
              <w:rPr>
                <w:color w:val="005A9E"/>
                <w:sz w:val="18"/>
                <w:szCs w:val="18"/>
                <w:lang w:val="fr-FR"/>
              </w:rPr>
              <w:t>Improvement (physicians’ judgment): 74% of patients</w:t>
            </w:r>
          </w:p>
          <w:p w14:paraId="0D8424F9" w14:textId="77777777" w:rsidR="00A75BD0" w:rsidRDefault="00A75BD0">
            <w:pPr>
              <w:ind w:right="166"/>
              <w:jc w:val="both"/>
              <w:rPr>
                <w:color w:val="005A9E"/>
                <w:sz w:val="18"/>
                <w:szCs w:val="18"/>
              </w:rPr>
            </w:pPr>
          </w:p>
          <w:p w14:paraId="218B26B2" w14:textId="77777777" w:rsidR="00A75BD0" w:rsidRDefault="009D4DA5">
            <w:pPr>
              <w:ind w:right="166"/>
              <w:jc w:val="both"/>
              <w:rPr>
                <w:color w:val="005A9E"/>
                <w:sz w:val="18"/>
                <w:szCs w:val="18"/>
              </w:rPr>
            </w:pPr>
            <w:r>
              <w:rPr>
                <w:color w:val="005A9E"/>
                <w:sz w:val="18"/>
                <w:szCs w:val="18"/>
              </w:rPr>
              <w:t>EI :</w:t>
            </w:r>
          </w:p>
          <w:p w14:paraId="72584404" w14:textId="77777777" w:rsidR="00A75BD0" w:rsidRDefault="009D4DA5">
            <w:pPr>
              <w:ind w:right="166"/>
              <w:jc w:val="both"/>
              <w:rPr>
                <w:color w:val="005A9E"/>
                <w:sz w:val="18"/>
                <w:szCs w:val="18"/>
              </w:rPr>
            </w:pPr>
            <w:r>
              <w:rPr>
                <w:color w:val="005A9E"/>
                <w:sz w:val="18"/>
                <w:szCs w:val="18"/>
              </w:rPr>
              <w:t>Infections – 22%</w:t>
            </w:r>
          </w:p>
          <w:p w14:paraId="3F3646FD" w14:textId="77777777" w:rsidR="00A75BD0" w:rsidRDefault="009D4DA5" w:rsidP="0BA40188">
            <w:pPr>
              <w:ind w:right="166"/>
              <w:jc w:val="both"/>
              <w:rPr>
                <w:color w:val="005A9E"/>
                <w:sz w:val="18"/>
                <w:szCs w:val="18"/>
                <w:lang w:val="fr-FR"/>
              </w:rPr>
            </w:pPr>
            <w:r w:rsidRPr="0BA40188">
              <w:rPr>
                <w:color w:val="005A9E"/>
                <w:sz w:val="18"/>
                <w:szCs w:val="18"/>
                <w:lang w:val="fr-FR"/>
              </w:rPr>
              <w:t>Arterial hypertension - 11 %</w:t>
            </w:r>
          </w:p>
          <w:p w14:paraId="204E235D" w14:textId="77777777" w:rsidR="00A75BD0" w:rsidRDefault="009D4DA5" w:rsidP="0BA40188">
            <w:pPr>
              <w:ind w:right="166"/>
              <w:jc w:val="both"/>
              <w:rPr>
                <w:color w:val="005A9E"/>
                <w:sz w:val="18"/>
                <w:szCs w:val="18"/>
                <w:lang w:val="fr-FR"/>
              </w:rPr>
            </w:pPr>
            <w:r w:rsidRPr="0BA40188">
              <w:rPr>
                <w:color w:val="005A9E"/>
                <w:sz w:val="18"/>
                <w:szCs w:val="18"/>
                <w:lang w:val="fr-FR"/>
              </w:rPr>
              <w:t>Rheumatologic symptoms – 11 %</w:t>
            </w:r>
          </w:p>
          <w:p w14:paraId="70AF7D40" w14:textId="77777777" w:rsidR="00A75BD0" w:rsidRDefault="009D4DA5" w:rsidP="0BA40188">
            <w:pPr>
              <w:ind w:right="166"/>
              <w:jc w:val="both"/>
              <w:rPr>
                <w:color w:val="005A9E"/>
                <w:sz w:val="18"/>
                <w:szCs w:val="18"/>
                <w:lang w:val="fr-FR"/>
              </w:rPr>
            </w:pPr>
            <w:r w:rsidRPr="0BA40188">
              <w:rPr>
                <w:color w:val="005A9E"/>
                <w:sz w:val="18"/>
                <w:szCs w:val="18"/>
                <w:lang w:val="fr-FR"/>
              </w:rPr>
              <w:t>Wound-healing complications – 3 patients</w:t>
            </w:r>
          </w:p>
          <w:p w14:paraId="1764F19F" w14:textId="77777777" w:rsidR="00A75BD0" w:rsidRDefault="009D4DA5" w:rsidP="0BA40188">
            <w:pPr>
              <w:ind w:right="166"/>
              <w:jc w:val="both"/>
              <w:rPr>
                <w:color w:val="005A9E"/>
                <w:sz w:val="18"/>
                <w:szCs w:val="18"/>
                <w:lang w:val="fr-FR"/>
              </w:rPr>
            </w:pPr>
            <w:r w:rsidRPr="0BA40188">
              <w:rPr>
                <w:color w:val="005A9E"/>
                <w:sz w:val="18"/>
                <w:szCs w:val="18"/>
                <w:lang w:val="fr-FR"/>
              </w:rPr>
              <w:t>Loss of efficacy – 2 patients</w:t>
            </w:r>
          </w:p>
        </w:tc>
      </w:tr>
      <w:tr w:rsidR="00A75BD0" w14:paraId="645D3F9B" w14:textId="77777777" w:rsidTr="0BA40188">
        <w:trPr>
          <w:trHeight w:val="397"/>
        </w:trPr>
        <w:tc>
          <w:tcPr>
            <w:tcW w:w="14933" w:type="dxa"/>
            <w:gridSpan w:val="9"/>
            <w:tcBorders>
              <w:bottom w:val="single" w:sz="4" w:space="0" w:color="000000" w:themeColor="text1"/>
            </w:tcBorders>
            <w:shd w:val="clear" w:color="auto" w:fill="FFFF00"/>
            <w:tcMar>
              <w:left w:w="28" w:type="dxa"/>
              <w:right w:w="28" w:type="dxa"/>
            </w:tcMar>
          </w:tcPr>
          <w:p w14:paraId="15908579" w14:textId="77777777" w:rsidR="00A75BD0" w:rsidRDefault="009D4DA5" w:rsidP="0BA40188">
            <w:pPr>
              <w:keepLines/>
              <w:pBdr>
                <w:top w:val="nil"/>
                <w:left w:val="nil"/>
                <w:bottom w:val="nil"/>
                <w:right w:val="nil"/>
                <w:between w:val="nil"/>
              </w:pBdr>
              <w:ind w:left="113" w:right="166"/>
              <w:jc w:val="both"/>
              <w:rPr>
                <w:color w:val="005A9E"/>
                <w:sz w:val="18"/>
                <w:szCs w:val="18"/>
                <w:lang w:val="fr-FR"/>
              </w:rPr>
            </w:pPr>
            <w:r w:rsidRPr="0BA40188">
              <w:rPr>
                <w:b/>
                <w:bCs/>
                <w:color w:val="005A9E"/>
                <w:sz w:val="18"/>
                <w:szCs w:val="18"/>
                <w:lang w:val="fr-FR"/>
              </w:rPr>
              <w:t>Meta-analysis</w:t>
            </w:r>
          </w:p>
        </w:tc>
      </w:tr>
      <w:tr w:rsidR="00A75BD0" w:rsidRPr="007428DF" w14:paraId="437FB721" w14:textId="77777777" w:rsidTr="0BA40188">
        <w:trPr>
          <w:trHeight w:val="397"/>
        </w:trPr>
        <w:tc>
          <w:tcPr>
            <w:tcW w:w="1273" w:type="dxa"/>
            <w:tcBorders>
              <w:bottom w:val="single" w:sz="4" w:space="0" w:color="000000" w:themeColor="text1"/>
            </w:tcBorders>
            <w:tcMar>
              <w:left w:w="28" w:type="dxa"/>
              <w:right w:w="28" w:type="dxa"/>
            </w:tcMar>
          </w:tcPr>
          <w:p w14:paraId="685E168A" w14:textId="77777777" w:rsidR="00A75BD0" w:rsidRDefault="009D4DA5">
            <w:pPr>
              <w:ind w:right="306"/>
              <w:rPr>
                <w:color w:val="0563C1"/>
                <w:sz w:val="18"/>
                <w:szCs w:val="18"/>
                <w:u w:val="single"/>
              </w:rPr>
            </w:pPr>
            <w:r>
              <w:rPr>
                <w:color w:val="0563C1"/>
                <w:sz w:val="18"/>
                <w:szCs w:val="18"/>
                <w:u w:val="single"/>
              </w:rPr>
              <w:t xml:space="preserve">Chen H 2023 </w:t>
            </w:r>
          </w:p>
        </w:tc>
        <w:tc>
          <w:tcPr>
            <w:tcW w:w="3685" w:type="dxa"/>
            <w:tcBorders>
              <w:bottom w:val="single" w:sz="4" w:space="0" w:color="000000" w:themeColor="text1"/>
            </w:tcBorders>
            <w:tcMar>
              <w:left w:w="28" w:type="dxa"/>
              <w:right w:w="28" w:type="dxa"/>
            </w:tcMar>
          </w:tcPr>
          <w:p w14:paraId="7C93A849" w14:textId="77777777" w:rsidR="00A75BD0" w:rsidRPr="002F6A24" w:rsidRDefault="009D4DA5">
            <w:pPr>
              <w:rPr>
                <w:color w:val="005A9E"/>
                <w:sz w:val="18"/>
                <w:szCs w:val="18"/>
                <w:lang w:val="en-US"/>
              </w:rPr>
            </w:pPr>
            <w:r w:rsidRPr="002F6A24">
              <w:rPr>
                <w:color w:val="005A9E"/>
                <w:sz w:val="18"/>
                <w:szCs w:val="18"/>
                <w:lang w:val="en-US"/>
              </w:rPr>
              <w:t xml:space="preserve">A total of 7 documents met the requirements, including a total of 359 patients, and the literature quality evaluation was grade B. </w:t>
            </w:r>
          </w:p>
        </w:tc>
        <w:tc>
          <w:tcPr>
            <w:tcW w:w="1985" w:type="dxa"/>
            <w:gridSpan w:val="2"/>
            <w:tcBorders>
              <w:bottom w:val="single" w:sz="4" w:space="0" w:color="000000" w:themeColor="text1"/>
            </w:tcBorders>
            <w:tcMar>
              <w:left w:w="28" w:type="dxa"/>
              <w:right w:w="28" w:type="dxa"/>
            </w:tcMar>
          </w:tcPr>
          <w:p w14:paraId="47ABF7E6" w14:textId="77777777" w:rsidR="00A75BD0" w:rsidRPr="002F6A24" w:rsidRDefault="009D4DA5">
            <w:pPr>
              <w:ind w:right="114"/>
              <w:rPr>
                <w:color w:val="005A9E"/>
                <w:sz w:val="18"/>
                <w:szCs w:val="18"/>
                <w:lang w:val="en-US"/>
              </w:rPr>
            </w:pPr>
            <w:r w:rsidRPr="002F6A24">
              <w:rPr>
                <w:color w:val="005A9E"/>
                <w:sz w:val="18"/>
                <w:szCs w:val="18"/>
                <w:lang w:val="en-US"/>
              </w:rPr>
              <w:t xml:space="preserve">Bavacizumab nasal spray 25mg - 100mg or injection 25mg - 100mg </w:t>
            </w:r>
          </w:p>
          <w:p w14:paraId="2B52044E" w14:textId="77777777" w:rsidR="00A75BD0" w:rsidRDefault="009D4DA5">
            <w:pPr>
              <w:ind w:right="114"/>
              <w:rPr>
                <w:color w:val="005A9E"/>
                <w:sz w:val="18"/>
                <w:szCs w:val="18"/>
              </w:rPr>
            </w:pPr>
            <w:r>
              <w:rPr>
                <w:color w:val="005A9E"/>
                <w:sz w:val="18"/>
                <w:szCs w:val="18"/>
              </w:rPr>
              <w:t>Vs</w:t>
            </w:r>
          </w:p>
          <w:p w14:paraId="047BDE56" w14:textId="77777777" w:rsidR="00A75BD0" w:rsidRDefault="009D4DA5">
            <w:pPr>
              <w:ind w:right="114"/>
              <w:rPr>
                <w:color w:val="005A9E"/>
                <w:sz w:val="18"/>
                <w:szCs w:val="18"/>
              </w:rPr>
            </w:pPr>
            <w:r>
              <w:rPr>
                <w:color w:val="005A9E"/>
                <w:sz w:val="18"/>
                <w:szCs w:val="18"/>
              </w:rPr>
              <w:t xml:space="preserve">Control : 0.9% normal saline </w:t>
            </w:r>
          </w:p>
        </w:tc>
        <w:tc>
          <w:tcPr>
            <w:tcW w:w="992" w:type="dxa"/>
            <w:tcBorders>
              <w:bottom w:val="single" w:sz="4" w:space="0" w:color="000000" w:themeColor="text1"/>
            </w:tcBorders>
            <w:tcMar>
              <w:left w:w="28" w:type="dxa"/>
              <w:right w:w="28" w:type="dxa"/>
            </w:tcMar>
          </w:tcPr>
          <w:p w14:paraId="1F0D2CFC" w14:textId="77777777" w:rsidR="00A75BD0" w:rsidRDefault="00A75BD0">
            <w:pPr>
              <w:rPr>
                <w:color w:val="005A9E"/>
                <w:sz w:val="18"/>
                <w:szCs w:val="18"/>
              </w:rPr>
            </w:pPr>
          </w:p>
        </w:tc>
        <w:tc>
          <w:tcPr>
            <w:tcW w:w="2268" w:type="dxa"/>
            <w:gridSpan w:val="3"/>
            <w:tcBorders>
              <w:bottom w:val="single" w:sz="4" w:space="0" w:color="000000" w:themeColor="text1"/>
            </w:tcBorders>
            <w:tcMar>
              <w:left w:w="0" w:type="dxa"/>
              <w:right w:w="0" w:type="dxa"/>
            </w:tcMar>
          </w:tcPr>
          <w:p w14:paraId="57838BAC" w14:textId="77777777" w:rsidR="00A75BD0" w:rsidRDefault="009D4DA5" w:rsidP="0BA40188">
            <w:pPr>
              <w:numPr>
                <w:ilvl w:val="0"/>
                <w:numId w:val="28"/>
              </w:numPr>
              <w:ind w:left="142" w:hanging="142"/>
              <w:rPr>
                <w:color w:val="005A9E"/>
                <w:sz w:val="18"/>
                <w:szCs w:val="18"/>
                <w:lang w:val="fr-FR"/>
              </w:rPr>
            </w:pPr>
            <w:r w:rsidRPr="0BA40188">
              <w:rPr>
                <w:color w:val="005A9E"/>
                <w:sz w:val="18"/>
                <w:szCs w:val="18"/>
                <w:lang w:val="fr-FR"/>
              </w:rPr>
              <w:t>Epistaxis Severity Score (ESS)</w:t>
            </w:r>
          </w:p>
          <w:p w14:paraId="6C92344D" w14:textId="77777777" w:rsidR="00A75BD0" w:rsidRDefault="009D4DA5" w:rsidP="0BA40188">
            <w:pPr>
              <w:numPr>
                <w:ilvl w:val="0"/>
                <w:numId w:val="28"/>
              </w:numPr>
              <w:ind w:left="142" w:hanging="142"/>
              <w:rPr>
                <w:color w:val="005A9E"/>
                <w:sz w:val="18"/>
                <w:szCs w:val="18"/>
                <w:lang w:val="fr-FR"/>
              </w:rPr>
            </w:pPr>
            <w:r w:rsidRPr="0BA40188">
              <w:rPr>
                <w:color w:val="005A9E"/>
                <w:sz w:val="18"/>
                <w:szCs w:val="18"/>
                <w:lang w:val="fr-FR"/>
              </w:rPr>
              <w:t xml:space="preserve">duration of the epistaxis episode </w:t>
            </w:r>
          </w:p>
          <w:p w14:paraId="3FED609D" w14:textId="77777777" w:rsidR="00A75BD0" w:rsidRDefault="009D4DA5" w:rsidP="0BA40188">
            <w:pPr>
              <w:numPr>
                <w:ilvl w:val="0"/>
                <w:numId w:val="28"/>
              </w:numPr>
              <w:ind w:left="142" w:hanging="142"/>
              <w:rPr>
                <w:color w:val="005A9E"/>
                <w:sz w:val="18"/>
                <w:szCs w:val="18"/>
                <w:lang w:val="fr-FR"/>
              </w:rPr>
            </w:pPr>
            <w:r w:rsidRPr="0BA40188">
              <w:rPr>
                <w:color w:val="005A9E"/>
                <w:sz w:val="18"/>
                <w:szCs w:val="18"/>
                <w:lang w:val="fr-FR"/>
              </w:rPr>
              <w:t xml:space="preserve">number of epsitaxis </w:t>
            </w:r>
          </w:p>
        </w:tc>
        <w:tc>
          <w:tcPr>
            <w:tcW w:w="4730" w:type="dxa"/>
            <w:tcBorders>
              <w:bottom w:val="single" w:sz="4" w:space="0" w:color="000000" w:themeColor="text1"/>
            </w:tcBorders>
            <w:tcMar>
              <w:left w:w="28" w:type="dxa"/>
              <w:right w:w="28" w:type="dxa"/>
            </w:tcMar>
          </w:tcPr>
          <w:p w14:paraId="10A03D95" w14:textId="77777777" w:rsidR="00A75BD0" w:rsidRPr="002F6A24" w:rsidRDefault="009D4DA5">
            <w:pPr>
              <w:keepLines/>
              <w:numPr>
                <w:ilvl w:val="0"/>
                <w:numId w:val="34"/>
              </w:numPr>
              <w:pBdr>
                <w:top w:val="nil"/>
                <w:left w:val="nil"/>
                <w:bottom w:val="nil"/>
                <w:right w:val="nil"/>
                <w:between w:val="nil"/>
              </w:pBd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sdt>
              <w:sdtPr>
                <w:tag w:val="goog_rdk_1"/>
                <w:id w:val="287071890"/>
              </w:sdtPr>
              <w:sdtEndPr/>
              <w:sdtContent>
                <w:r w:rsidRPr="002F6A24">
                  <w:rPr>
                    <w:rFonts w:ascii="Arial Unicode MS" w:eastAsia="Arial Unicode MS" w:hAnsi="Arial Unicode MS" w:cs="Arial Unicode MS"/>
                    <w:color w:val="005A9E"/>
                    <w:sz w:val="18"/>
                    <w:szCs w:val="18"/>
                    <w:lang w:val="en-US"/>
                  </w:rPr>
                  <w:t xml:space="preserve"> Epistaxis Severity Score (ESS) in patients with HHT epistaxis compared with the control [WMD = −0.22,95% CI (−0.38, −0.05), p = 0.01]. </w:t>
                </w:r>
              </w:sdtContent>
            </w:sdt>
          </w:p>
          <w:p w14:paraId="6E6728BC" w14:textId="77777777" w:rsidR="00A75BD0" w:rsidRPr="002F6A24" w:rsidRDefault="008853BF">
            <w:pPr>
              <w:keepLines/>
              <w:numPr>
                <w:ilvl w:val="0"/>
                <w:numId w:val="34"/>
              </w:numPr>
              <w:pBdr>
                <w:top w:val="nil"/>
                <w:left w:val="nil"/>
                <w:bottom w:val="nil"/>
                <w:right w:val="nil"/>
                <w:between w:val="nil"/>
              </w:pBdr>
              <w:ind w:right="166"/>
              <w:jc w:val="both"/>
              <w:rPr>
                <w:color w:val="005A9E"/>
                <w:sz w:val="18"/>
                <w:szCs w:val="18"/>
                <w:lang w:val="en-US"/>
              </w:rPr>
            </w:pPr>
            <w:sdt>
              <w:sdtPr>
                <w:tag w:val="goog_rdk_2"/>
                <w:id w:val="-472085102"/>
              </w:sdtPr>
              <w:sdtEndPr/>
              <w:sdtContent>
                <w:r w:rsidR="009D4DA5" w:rsidRPr="002F6A24">
                  <w:rPr>
                    <w:rFonts w:ascii="Arial Unicode MS" w:eastAsia="Arial Unicode MS" w:hAnsi="Arial Unicode MS" w:cs="Arial Unicode MS"/>
                    <w:color w:val="005A9E"/>
                    <w:sz w:val="18"/>
                    <w:szCs w:val="18"/>
                    <w:lang w:val="en-US"/>
                  </w:rPr>
                  <w:t>no significant effect on duration of epistaxis [WMD = −15.59, 95%CI (−70.41,39.23), p = 0.58] and number of epistaxes [WMD = −1.27,95%CI (−10.23,7.70), p = 0.78] in patients with HHT epistaxis</w:t>
                </w:r>
              </w:sdtContent>
            </w:sdt>
          </w:p>
          <w:p w14:paraId="0692A990" w14:textId="77777777" w:rsidR="00A75BD0" w:rsidRPr="002F6A24" w:rsidRDefault="009D4DA5">
            <w:pPr>
              <w:keepLines/>
              <w:numPr>
                <w:ilvl w:val="0"/>
                <w:numId w:val="34"/>
              </w:numPr>
              <w:pBdr>
                <w:top w:val="nil"/>
                <w:left w:val="nil"/>
                <w:bottom w:val="nil"/>
                <w:right w:val="nil"/>
                <w:between w:val="nil"/>
              </w:pBdr>
              <w:ind w:right="166"/>
              <w:jc w:val="both"/>
              <w:rPr>
                <w:color w:val="005A9E"/>
                <w:sz w:val="18"/>
                <w:szCs w:val="18"/>
                <w:lang w:val="en-US"/>
              </w:rPr>
            </w:pPr>
            <w:r w:rsidRPr="002F6A24">
              <w:rPr>
                <w:color w:val="005A9E"/>
                <w:sz w:val="18"/>
                <w:szCs w:val="18"/>
                <w:lang w:val="en-US"/>
              </w:rPr>
              <w:t>AE: no significant difference between the bevacizumab group and control group [OR = 1.36, 95% CI (0.54, 3.44), p = 0.52]</w:t>
            </w:r>
          </w:p>
        </w:tc>
      </w:tr>
      <w:tr w:rsidR="00A75BD0" w14:paraId="664F6E63" w14:textId="77777777" w:rsidTr="0BA40188">
        <w:trPr>
          <w:trHeight w:val="142"/>
        </w:trPr>
        <w:tc>
          <w:tcPr>
            <w:tcW w:w="14933" w:type="dxa"/>
            <w:gridSpan w:val="9"/>
            <w:tcBorders>
              <w:bottom w:val="single" w:sz="4" w:space="0" w:color="000000" w:themeColor="text1"/>
            </w:tcBorders>
            <w:shd w:val="clear" w:color="auto" w:fill="FFFF00"/>
            <w:tcMar>
              <w:left w:w="28" w:type="dxa"/>
              <w:right w:w="28" w:type="dxa"/>
            </w:tcMar>
          </w:tcPr>
          <w:p w14:paraId="15A14136" w14:textId="77777777" w:rsidR="00A75BD0" w:rsidRDefault="009D4DA5">
            <w:pPr>
              <w:ind w:right="114"/>
              <w:jc w:val="both"/>
              <w:rPr>
                <w:b/>
                <w:color w:val="005A9E"/>
                <w:sz w:val="18"/>
                <w:szCs w:val="18"/>
              </w:rPr>
            </w:pPr>
            <w:r w:rsidRPr="002F6A24">
              <w:rPr>
                <w:b/>
                <w:color w:val="005A9E"/>
                <w:sz w:val="18"/>
                <w:szCs w:val="18"/>
                <w:lang w:val="en-US"/>
              </w:rPr>
              <w:t xml:space="preserve"> </w:t>
            </w:r>
            <w:r>
              <w:rPr>
                <w:b/>
                <w:color w:val="005A9E"/>
                <w:sz w:val="18"/>
                <w:szCs w:val="18"/>
              </w:rPr>
              <w:t>Case reports</w:t>
            </w:r>
          </w:p>
        </w:tc>
      </w:tr>
      <w:tr w:rsidR="00A75BD0" w14:paraId="456EBF90"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104AA788" w14:textId="77777777" w:rsidR="00A75BD0" w:rsidRDefault="009D4DA5" w:rsidP="0BA40188">
            <w:pPr>
              <w:ind w:right="306"/>
              <w:rPr>
                <w:b/>
                <w:bCs/>
                <w:color w:val="005A9E"/>
                <w:sz w:val="18"/>
                <w:szCs w:val="18"/>
                <w:lang w:val="fr-FR"/>
              </w:rPr>
            </w:pPr>
            <w:r w:rsidRPr="0BA40188">
              <w:rPr>
                <w:b/>
                <w:bCs/>
                <w:color w:val="005A9E"/>
                <w:sz w:val="18"/>
                <w:szCs w:val="18"/>
                <w:lang w:val="fr-FR"/>
              </w:rPr>
              <w:t>Authors</w:t>
            </w:r>
          </w:p>
        </w:tc>
        <w:tc>
          <w:tcPr>
            <w:tcW w:w="4677" w:type="dxa"/>
            <w:gridSpan w:val="2"/>
            <w:tcBorders>
              <w:top w:val="single" w:sz="4" w:space="0" w:color="000000" w:themeColor="text1"/>
              <w:bottom w:val="single" w:sz="4" w:space="0" w:color="000000" w:themeColor="text1"/>
            </w:tcBorders>
            <w:tcMar>
              <w:left w:w="28" w:type="dxa"/>
              <w:right w:w="28" w:type="dxa"/>
            </w:tcMar>
          </w:tcPr>
          <w:p w14:paraId="1B09BE89" w14:textId="77777777" w:rsidR="00A75BD0" w:rsidRDefault="009D4DA5" w:rsidP="0BA40188">
            <w:pPr>
              <w:ind w:right="306"/>
              <w:rPr>
                <w:b/>
                <w:bCs/>
                <w:color w:val="005A9E"/>
                <w:sz w:val="18"/>
                <w:szCs w:val="18"/>
                <w:lang w:val="fr-FR"/>
              </w:rPr>
            </w:pPr>
            <w:r w:rsidRPr="0BA40188">
              <w:rPr>
                <w:b/>
                <w:bCs/>
                <w:color w:val="005A9E"/>
                <w:sz w:val="18"/>
                <w:szCs w:val="18"/>
                <w:lang w:val="fr-FR"/>
              </w:rPr>
              <w:t>Study description</w:t>
            </w:r>
          </w:p>
        </w:tc>
        <w:tc>
          <w:tcPr>
            <w:tcW w:w="2552" w:type="dxa"/>
            <w:gridSpan w:val="3"/>
            <w:tcBorders>
              <w:top w:val="single" w:sz="4" w:space="0" w:color="000000" w:themeColor="text1"/>
              <w:bottom w:val="single" w:sz="4" w:space="0" w:color="000000" w:themeColor="text1"/>
            </w:tcBorders>
            <w:tcMar>
              <w:left w:w="28" w:type="dxa"/>
              <w:right w:w="28" w:type="dxa"/>
            </w:tcMar>
          </w:tcPr>
          <w:p w14:paraId="5FDF551A" w14:textId="77777777" w:rsidR="00A75BD0" w:rsidRDefault="009D4DA5">
            <w:pPr>
              <w:ind w:right="114"/>
              <w:rPr>
                <w:b/>
                <w:color w:val="005A9E"/>
                <w:sz w:val="18"/>
                <w:szCs w:val="18"/>
              </w:rPr>
            </w:pPr>
            <w:r>
              <w:rPr>
                <w:b/>
                <w:color w:val="005A9E"/>
                <w:sz w:val="18"/>
                <w:szCs w:val="18"/>
              </w:rPr>
              <w:t>Dosage</w:t>
            </w:r>
          </w:p>
        </w:tc>
        <w:tc>
          <w:tcPr>
            <w:tcW w:w="1134" w:type="dxa"/>
            <w:tcBorders>
              <w:top w:val="single" w:sz="4" w:space="0" w:color="000000" w:themeColor="text1"/>
              <w:bottom w:val="single" w:sz="4" w:space="0" w:color="000000" w:themeColor="text1"/>
            </w:tcBorders>
            <w:tcMar>
              <w:left w:w="28" w:type="dxa"/>
              <w:right w:w="28" w:type="dxa"/>
            </w:tcMar>
          </w:tcPr>
          <w:p w14:paraId="15D09D4A" w14:textId="77777777" w:rsidR="00A75BD0" w:rsidRDefault="009D4DA5" w:rsidP="0BA40188">
            <w:pPr>
              <w:rPr>
                <w:b/>
                <w:bCs/>
                <w:color w:val="005A9E"/>
                <w:sz w:val="18"/>
                <w:szCs w:val="18"/>
                <w:lang w:val="fr-FR"/>
              </w:rPr>
            </w:pPr>
            <w:r w:rsidRPr="0BA40188">
              <w:rPr>
                <w:b/>
                <w:bCs/>
                <w:color w:val="005A9E"/>
                <w:sz w:val="18"/>
                <w:szCs w:val="18"/>
                <w:lang w:val="fr-FR"/>
              </w:rPr>
              <w:t>Follow-up (months)</w:t>
            </w:r>
          </w:p>
        </w:tc>
        <w:tc>
          <w:tcPr>
            <w:tcW w:w="5297" w:type="dxa"/>
            <w:gridSpan w:val="2"/>
            <w:tcBorders>
              <w:top w:val="single" w:sz="4" w:space="0" w:color="000000" w:themeColor="text1"/>
              <w:bottom w:val="single" w:sz="4" w:space="0" w:color="000000" w:themeColor="text1"/>
            </w:tcBorders>
            <w:tcMar>
              <w:left w:w="0" w:type="dxa"/>
              <w:right w:w="0" w:type="dxa"/>
            </w:tcMar>
          </w:tcPr>
          <w:p w14:paraId="7F2EE75C" w14:textId="77777777" w:rsidR="00A75BD0" w:rsidRDefault="009D4DA5" w:rsidP="0BA40188">
            <w:pPr>
              <w:ind w:right="166"/>
              <w:jc w:val="both"/>
              <w:rPr>
                <w:b/>
                <w:bCs/>
                <w:color w:val="005A9E"/>
                <w:sz w:val="18"/>
                <w:szCs w:val="18"/>
                <w:lang w:val="fr-FR"/>
              </w:rPr>
            </w:pPr>
            <w:r w:rsidRPr="0BA40188">
              <w:rPr>
                <w:b/>
                <w:bCs/>
                <w:color w:val="005A9E"/>
                <w:sz w:val="18"/>
                <w:szCs w:val="18"/>
                <w:lang w:val="fr-FR"/>
              </w:rPr>
              <w:t>Results</w:t>
            </w:r>
          </w:p>
        </w:tc>
      </w:tr>
      <w:tr w:rsidR="00A75BD0" w:rsidRPr="007428DF" w14:paraId="25F5DB96"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44B7DCFD" w14:textId="77777777" w:rsidR="00A75BD0" w:rsidRDefault="008853BF">
            <w:pPr>
              <w:rPr>
                <w:color w:val="005A9E"/>
                <w:sz w:val="18"/>
                <w:szCs w:val="18"/>
              </w:rPr>
            </w:pPr>
            <w:hyperlink r:id="rId28">
              <w:r w:rsidR="009D4DA5">
                <w:rPr>
                  <w:color w:val="0563C1"/>
                  <w:sz w:val="18"/>
                  <w:szCs w:val="18"/>
                  <w:u w:val="single"/>
                </w:rPr>
                <w:t>Flieger 2006</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5CA5C268" w14:textId="77777777" w:rsidR="00A75BD0" w:rsidRPr="002F6A24" w:rsidRDefault="009D4DA5">
            <w:pPr>
              <w:rPr>
                <w:color w:val="005A9E"/>
                <w:sz w:val="18"/>
                <w:szCs w:val="18"/>
                <w:lang w:val="en-US"/>
              </w:rPr>
            </w:pPr>
            <w:r w:rsidRPr="002F6A24">
              <w:rPr>
                <w:color w:val="005A9E"/>
                <w:sz w:val="18"/>
                <w:szCs w:val="18"/>
                <w:lang w:val="en-US"/>
              </w:rPr>
              <w:t>1 patient 73 y  with  mesothélioma</w:t>
            </w:r>
          </w:p>
          <w:p w14:paraId="5E1FEA38" w14:textId="77777777" w:rsidR="00A75BD0" w:rsidRPr="002F6A24" w:rsidRDefault="009D4DA5">
            <w:pPr>
              <w:rPr>
                <w:color w:val="005A9E"/>
                <w:sz w:val="18"/>
                <w:szCs w:val="18"/>
                <w:lang w:val="en-US"/>
              </w:rPr>
            </w:pPr>
            <w:r w:rsidRPr="002F6A24">
              <w:rPr>
                <w:color w:val="005A9E"/>
                <w:sz w:val="18"/>
                <w:szCs w:val="18"/>
                <w:lang w:val="en-US"/>
              </w:rPr>
              <w:t>Gastrointestinal bleedings and high cardiac output</w:t>
            </w:r>
          </w:p>
        </w:tc>
        <w:tc>
          <w:tcPr>
            <w:tcW w:w="2552" w:type="dxa"/>
            <w:gridSpan w:val="3"/>
            <w:tcBorders>
              <w:top w:val="single" w:sz="4" w:space="0" w:color="000000" w:themeColor="text1"/>
              <w:bottom w:val="single" w:sz="4" w:space="0" w:color="000000" w:themeColor="text1"/>
            </w:tcBorders>
            <w:tcMar>
              <w:left w:w="28" w:type="dxa"/>
              <w:right w:w="28" w:type="dxa"/>
            </w:tcMar>
          </w:tcPr>
          <w:p w14:paraId="09694967" w14:textId="77777777" w:rsidR="00A75BD0" w:rsidRDefault="009D4DA5">
            <w:pPr>
              <w:ind w:right="114"/>
              <w:rPr>
                <w:color w:val="005A9E"/>
                <w:sz w:val="18"/>
                <w:szCs w:val="18"/>
              </w:rPr>
            </w:pPr>
            <w:r>
              <w:rPr>
                <w:color w:val="005A9E"/>
                <w:sz w:val="18"/>
                <w:szCs w:val="18"/>
              </w:rPr>
              <w:t xml:space="preserve">5 mg/kg </w:t>
            </w:r>
          </w:p>
          <w:p w14:paraId="2731ACD7" w14:textId="77777777" w:rsidR="00A75BD0" w:rsidRDefault="009D4DA5" w:rsidP="0BA40188">
            <w:pPr>
              <w:ind w:right="114"/>
              <w:rPr>
                <w:color w:val="005A9E"/>
                <w:sz w:val="18"/>
                <w:szCs w:val="18"/>
                <w:lang w:val="fr-FR"/>
              </w:rPr>
            </w:pPr>
            <w:r w:rsidRPr="0BA40188">
              <w:rPr>
                <w:color w:val="005A9E"/>
                <w:sz w:val="18"/>
                <w:szCs w:val="18"/>
                <w:lang w:val="fr-FR"/>
              </w:rPr>
              <w:t>/2 weeks</w:t>
            </w:r>
          </w:p>
          <w:p w14:paraId="37C08554" w14:textId="77777777" w:rsidR="00A75BD0" w:rsidRDefault="009D4DA5">
            <w:pPr>
              <w:ind w:right="114"/>
              <w:rPr>
                <w:color w:val="005A9E"/>
                <w:sz w:val="18"/>
                <w:szCs w:val="18"/>
              </w:rPr>
            </w:pPr>
            <w:r>
              <w:rPr>
                <w:color w:val="005A9E"/>
                <w:sz w:val="18"/>
                <w:szCs w:val="18"/>
              </w:rPr>
              <w:t>6 doses</w:t>
            </w:r>
          </w:p>
        </w:tc>
        <w:tc>
          <w:tcPr>
            <w:tcW w:w="1134" w:type="dxa"/>
            <w:tcBorders>
              <w:top w:val="single" w:sz="4" w:space="0" w:color="000000" w:themeColor="text1"/>
              <w:bottom w:val="single" w:sz="4" w:space="0" w:color="000000" w:themeColor="text1"/>
            </w:tcBorders>
            <w:tcMar>
              <w:left w:w="28" w:type="dxa"/>
              <w:right w:w="28" w:type="dxa"/>
            </w:tcMar>
          </w:tcPr>
          <w:p w14:paraId="6FC7BD75" w14:textId="77777777" w:rsidR="00A75BD0" w:rsidRDefault="009D4DA5">
            <w:pPr>
              <w:tabs>
                <w:tab w:val="left" w:pos="459"/>
              </w:tabs>
              <w:rPr>
                <w:color w:val="005A9E"/>
                <w:sz w:val="18"/>
                <w:szCs w:val="18"/>
              </w:rPr>
            </w:pPr>
            <w:r>
              <w:rPr>
                <w:color w:val="005A9E"/>
                <w:sz w:val="18"/>
                <w:szCs w:val="18"/>
              </w:rPr>
              <w:t xml:space="preserve">4 </w:t>
            </w:r>
          </w:p>
        </w:tc>
        <w:tc>
          <w:tcPr>
            <w:tcW w:w="5297" w:type="dxa"/>
            <w:gridSpan w:val="2"/>
            <w:tcBorders>
              <w:top w:val="single" w:sz="4" w:space="0" w:color="000000" w:themeColor="text1"/>
              <w:bottom w:val="single" w:sz="4" w:space="0" w:color="000000" w:themeColor="text1"/>
            </w:tcBorders>
            <w:tcMar>
              <w:left w:w="0" w:type="dxa"/>
              <w:right w:w="0" w:type="dxa"/>
            </w:tcMar>
          </w:tcPr>
          <w:p w14:paraId="5CBC1874"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blood transfusions </w:t>
            </w:r>
          </w:p>
          <w:p w14:paraId="37030A29"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Hb </w:t>
            </w:r>
          </w:p>
          <w:p w14:paraId="0AA98F94"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Improvement of GI bleedings and CI</w:t>
            </w:r>
          </w:p>
        </w:tc>
      </w:tr>
      <w:tr w:rsidR="00A75BD0" w14:paraId="2CC43FD2" w14:textId="77777777" w:rsidTr="0BA40188">
        <w:trPr>
          <w:trHeight w:val="578"/>
        </w:trPr>
        <w:tc>
          <w:tcPr>
            <w:tcW w:w="1273" w:type="dxa"/>
            <w:tcBorders>
              <w:top w:val="single" w:sz="4" w:space="0" w:color="000000" w:themeColor="text1"/>
              <w:bottom w:val="single" w:sz="4" w:space="0" w:color="000000" w:themeColor="text1"/>
            </w:tcBorders>
            <w:tcMar>
              <w:left w:w="28" w:type="dxa"/>
              <w:right w:w="28" w:type="dxa"/>
            </w:tcMar>
          </w:tcPr>
          <w:p w14:paraId="63F5D385" w14:textId="77777777" w:rsidR="00A75BD0" w:rsidRDefault="008853BF">
            <w:pPr>
              <w:rPr>
                <w:color w:val="005A9E"/>
                <w:sz w:val="18"/>
                <w:szCs w:val="18"/>
              </w:rPr>
            </w:pPr>
            <w:hyperlink r:id="rId29">
              <w:r w:rsidR="009D4DA5">
                <w:rPr>
                  <w:color w:val="0563C1"/>
                  <w:sz w:val="18"/>
                  <w:szCs w:val="18"/>
                  <w:u w:val="single"/>
                </w:rPr>
                <w:t>Mitchell 2008</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68C080D6" w14:textId="77777777" w:rsidR="00A75BD0" w:rsidRDefault="009D4DA5" w:rsidP="0BA40188">
            <w:pPr>
              <w:rPr>
                <w:color w:val="005A9E"/>
                <w:sz w:val="18"/>
                <w:szCs w:val="18"/>
                <w:lang w:val="fr-FR"/>
              </w:rPr>
            </w:pPr>
            <w:r w:rsidRPr="0BA40188">
              <w:rPr>
                <w:color w:val="005A9E"/>
                <w:sz w:val="18"/>
                <w:szCs w:val="18"/>
                <w:lang w:val="fr-FR"/>
              </w:rPr>
              <w:t xml:space="preserve">1 patient 47 with </w:t>
            </w:r>
          </w:p>
          <w:p w14:paraId="3C1B84AF" w14:textId="77777777" w:rsidR="00A75BD0" w:rsidRDefault="009D4DA5" w:rsidP="0BA40188">
            <w:pPr>
              <w:numPr>
                <w:ilvl w:val="0"/>
                <w:numId w:val="16"/>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high-output cardiac failure,</w:t>
            </w:r>
          </w:p>
          <w:p w14:paraId="06BDF97B" w14:textId="77777777" w:rsidR="00A75BD0" w:rsidRDefault="009D4DA5" w:rsidP="0BA40188">
            <w:pPr>
              <w:numPr>
                <w:ilvl w:val="0"/>
                <w:numId w:val="16"/>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diuretic resistant ascites</w:t>
            </w:r>
          </w:p>
          <w:p w14:paraId="4118973C" w14:textId="77777777" w:rsidR="00A75BD0" w:rsidRDefault="009D4DA5" w:rsidP="0BA40188">
            <w:pPr>
              <w:numPr>
                <w:ilvl w:val="0"/>
                <w:numId w:val="16"/>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bilateral pleural effusions</w:t>
            </w:r>
          </w:p>
          <w:p w14:paraId="676EB16F" w14:textId="77777777" w:rsidR="00A75BD0" w:rsidRDefault="009D4DA5" w:rsidP="0BA40188">
            <w:pPr>
              <w:numPr>
                <w:ilvl w:val="0"/>
                <w:numId w:val="16"/>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cholestasis</w:t>
            </w:r>
          </w:p>
          <w:p w14:paraId="1C99EAF5" w14:textId="77777777" w:rsidR="00A75BD0" w:rsidRDefault="009D4DA5" w:rsidP="0BA40188">
            <w:pPr>
              <w:numPr>
                <w:ilvl w:val="0"/>
                <w:numId w:val="16"/>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massive HAVM</w:t>
            </w:r>
          </w:p>
        </w:tc>
        <w:tc>
          <w:tcPr>
            <w:tcW w:w="2552" w:type="dxa"/>
            <w:gridSpan w:val="3"/>
            <w:tcBorders>
              <w:top w:val="single" w:sz="4" w:space="0" w:color="000000" w:themeColor="text1"/>
              <w:bottom w:val="single" w:sz="4" w:space="0" w:color="000000" w:themeColor="text1"/>
            </w:tcBorders>
            <w:tcMar>
              <w:left w:w="28" w:type="dxa"/>
              <w:right w:w="28" w:type="dxa"/>
            </w:tcMar>
          </w:tcPr>
          <w:p w14:paraId="57D7879A" w14:textId="77777777" w:rsidR="00A75BD0" w:rsidRDefault="009D4DA5" w:rsidP="0BA40188">
            <w:pPr>
              <w:ind w:right="114"/>
              <w:rPr>
                <w:color w:val="005A9E"/>
                <w:sz w:val="18"/>
                <w:szCs w:val="18"/>
                <w:lang w:val="fr-FR"/>
              </w:rPr>
            </w:pPr>
            <w:r w:rsidRPr="0BA40188">
              <w:rPr>
                <w:color w:val="005A9E"/>
                <w:sz w:val="18"/>
                <w:szCs w:val="18"/>
                <w:lang w:val="fr-FR"/>
              </w:rPr>
              <w:t>5 mg/kg/2 weeks</w:t>
            </w:r>
          </w:p>
          <w:p w14:paraId="027A0D8B" w14:textId="77777777" w:rsidR="00A75BD0" w:rsidRDefault="009D4DA5">
            <w:pPr>
              <w:ind w:right="114"/>
              <w:rPr>
                <w:color w:val="005A9E"/>
                <w:sz w:val="18"/>
                <w:szCs w:val="18"/>
              </w:rPr>
            </w:pPr>
            <w:r>
              <w:rPr>
                <w:color w:val="005A9E"/>
                <w:sz w:val="18"/>
                <w:szCs w:val="18"/>
              </w:rPr>
              <w:t>6 injections</w:t>
            </w:r>
          </w:p>
          <w:p w14:paraId="1F6644DF" w14:textId="77777777" w:rsidR="00A75BD0" w:rsidRDefault="00A75BD0">
            <w:pPr>
              <w:ind w:right="114"/>
              <w:rPr>
                <w:color w:val="005A9E"/>
                <w:sz w:val="18"/>
                <w:szCs w:val="18"/>
              </w:rPr>
            </w:pPr>
          </w:p>
        </w:tc>
        <w:tc>
          <w:tcPr>
            <w:tcW w:w="1134" w:type="dxa"/>
            <w:tcBorders>
              <w:top w:val="single" w:sz="4" w:space="0" w:color="000000" w:themeColor="text1"/>
              <w:bottom w:val="single" w:sz="4" w:space="0" w:color="000000" w:themeColor="text1"/>
            </w:tcBorders>
            <w:tcMar>
              <w:left w:w="28" w:type="dxa"/>
              <w:right w:w="28" w:type="dxa"/>
            </w:tcMar>
          </w:tcPr>
          <w:p w14:paraId="316CDB68" w14:textId="77777777" w:rsidR="00A75BD0" w:rsidRDefault="009D4DA5">
            <w:pPr>
              <w:rPr>
                <w:color w:val="005A9E"/>
                <w:sz w:val="18"/>
                <w:szCs w:val="18"/>
              </w:rPr>
            </w:pPr>
            <w:r>
              <w:rPr>
                <w:color w:val="005A9E"/>
                <w:sz w:val="18"/>
                <w:szCs w:val="18"/>
              </w:rPr>
              <w:t>9</w:t>
            </w:r>
          </w:p>
        </w:tc>
        <w:tc>
          <w:tcPr>
            <w:tcW w:w="5297" w:type="dxa"/>
            <w:gridSpan w:val="2"/>
            <w:tcBorders>
              <w:top w:val="single" w:sz="4" w:space="0" w:color="000000" w:themeColor="text1"/>
              <w:bottom w:val="single" w:sz="4" w:space="0" w:color="000000" w:themeColor="text1"/>
            </w:tcBorders>
            <w:tcMar>
              <w:left w:w="0" w:type="dxa"/>
              <w:right w:w="0" w:type="dxa"/>
            </w:tcMar>
          </w:tcPr>
          <w:p w14:paraId="3829FEB2"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reversal of cholestasis</w:t>
            </w:r>
          </w:p>
          <w:p w14:paraId="3E1CCB4E"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resolution of cardiac failure and ascites</w:t>
            </w:r>
          </w:p>
          <w:p w14:paraId="71B0449A"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improvement in nutritional status (</w:t>
            </w:r>
            <w:r w:rsidRPr="002F6A24">
              <w:rPr>
                <w:rFonts w:ascii="Cambria Math" w:eastAsia="Cambria Math" w:hAnsi="Cambria Math" w:cs="Cambria Math"/>
                <w:color w:val="005A9E"/>
                <w:sz w:val="18"/>
                <w:szCs w:val="18"/>
                <w:lang w:val="en-US"/>
              </w:rPr>
              <w:t>↗</w:t>
            </w:r>
            <w:r w:rsidRPr="002F6A24">
              <w:rPr>
                <w:color w:val="005A9E"/>
                <w:sz w:val="18"/>
                <w:szCs w:val="18"/>
                <w:lang w:val="en-US"/>
              </w:rPr>
              <w:t>10% dry weight)</w:t>
            </w:r>
          </w:p>
          <w:p w14:paraId="1244BCE9"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stop diuretic medication</w:t>
            </w:r>
          </w:p>
          <w:p w14:paraId="720FFEF3"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normalization of cardiac output</w:t>
            </w:r>
          </w:p>
          <w:p w14:paraId="6AB494FB"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liver volume</w:t>
            </w:r>
          </w:p>
        </w:tc>
      </w:tr>
      <w:tr w:rsidR="00A75BD0" w14:paraId="087F5B48" w14:textId="77777777" w:rsidTr="0BA40188">
        <w:trPr>
          <w:trHeight w:val="578"/>
        </w:trPr>
        <w:tc>
          <w:tcPr>
            <w:tcW w:w="1273" w:type="dxa"/>
            <w:tcBorders>
              <w:top w:val="single" w:sz="4" w:space="0" w:color="000000" w:themeColor="text1"/>
              <w:bottom w:val="single" w:sz="4" w:space="0" w:color="000000" w:themeColor="text1"/>
            </w:tcBorders>
            <w:tcMar>
              <w:left w:w="28" w:type="dxa"/>
              <w:right w:w="28" w:type="dxa"/>
            </w:tcMar>
          </w:tcPr>
          <w:p w14:paraId="7FD11E92" w14:textId="77777777" w:rsidR="00A75BD0" w:rsidRDefault="008853BF">
            <w:pPr>
              <w:rPr>
                <w:color w:val="005A9E"/>
                <w:sz w:val="18"/>
                <w:szCs w:val="18"/>
              </w:rPr>
            </w:pPr>
            <w:hyperlink r:id="rId30">
              <w:r w:rsidR="009D4DA5">
                <w:rPr>
                  <w:color w:val="0563C1"/>
                  <w:sz w:val="18"/>
                  <w:szCs w:val="18"/>
                  <w:u w:val="single"/>
                </w:rPr>
                <w:t>Bose 2009</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148ECB97" w14:textId="77777777" w:rsidR="00A75BD0" w:rsidRDefault="009D4DA5" w:rsidP="0BA40188">
            <w:pPr>
              <w:rPr>
                <w:color w:val="005A9E"/>
                <w:sz w:val="18"/>
                <w:szCs w:val="18"/>
                <w:lang w:val="fr-FR"/>
              </w:rPr>
            </w:pPr>
            <w:r w:rsidRPr="0BA40188">
              <w:rPr>
                <w:color w:val="005A9E"/>
                <w:sz w:val="18"/>
                <w:szCs w:val="18"/>
                <w:lang w:val="fr-FR"/>
              </w:rPr>
              <w:t xml:space="preserve">1 patient 42 y with </w:t>
            </w:r>
          </w:p>
          <w:p w14:paraId="45251FC5" w14:textId="77777777" w:rsidR="00A75BD0" w:rsidRDefault="009D4DA5">
            <w:pPr>
              <w:numPr>
                <w:ilvl w:val="0"/>
                <w:numId w:val="12"/>
              </w:numPr>
              <w:pBdr>
                <w:top w:val="nil"/>
                <w:left w:val="nil"/>
                <w:bottom w:val="nil"/>
                <w:right w:val="nil"/>
                <w:between w:val="nil"/>
              </w:pBdr>
              <w:spacing w:line="276" w:lineRule="auto"/>
              <w:rPr>
                <w:color w:val="005A9E"/>
                <w:sz w:val="18"/>
                <w:szCs w:val="18"/>
              </w:rPr>
            </w:pPr>
            <w:r>
              <w:rPr>
                <w:color w:val="005A9E"/>
                <w:sz w:val="18"/>
                <w:szCs w:val="18"/>
              </w:rPr>
              <w:t>Epistaxis</w:t>
            </w:r>
          </w:p>
          <w:p w14:paraId="3C40A015" w14:textId="77777777" w:rsidR="00A75BD0" w:rsidRDefault="009D4DA5" w:rsidP="0BA40188">
            <w:pPr>
              <w:numPr>
                <w:ilvl w:val="0"/>
                <w:numId w:val="12"/>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Hemoptysis</w:t>
            </w:r>
          </w:p>
          <w:p w14:paraId="164A2577" w14:textId="77777777" w:rsidR="00A75BD0" w:rsidRDefault="009D4DA5">
            <w:pPr>
              <w:numPr>
                <w:ilvl w:val="0"/>
                <w:numId w:val="12"/>
              </w:numPr>
              <w:pBdr>
                <w:top w:val="nil"/>
                <w:left w:val="nil"/>
                <w:bottom w:val="nil"/>
                <w:right w:val="nil"/>
                <w:between w:val="nil"/>
              </w:pBdr>
              <w:spacing w:line="276" w:lineRule="auto"/>
              <w:rPr>
                <w:color w:val="005A9E"/>
                <w:sz w:val="18"/>
                <w:szCs w:val="18"/>
              </w:rPr>
            </w:pPr>
            <w:r>
              <w:rPr>
                <w:color w:val="005A9E"/>
                <w:sz w:val="18"/>
                <w:szCs w:val="18"/>
              </w:rPr>
              <w:t>PAVM</w:t>
            </w:r>
          </w:p>
          <w:p w14:paraId="358C05EC" w14:textId="77777777" w:rsidR="00A75BD0" w:rsidRDefault="00A75BD0">
            <w:pPr>
              <w:rPr>
                <w:color w:val="005A9E"/>
                <w:sz w:val="18"/>
                <w:szCs w:val="18"/>
              </w:rPr>
            </w:pPr>
          </w:p>
          <w:p w14:paraId="57CBF158" w14:textId="77777777" w:rsidR="00A75BD0" w:rsidRDefault="009D4DA5" w:rsidP="0BA40188">
            <w:pPr>
              <w:rPr>
                <w:color w:val="005A9E"/>
                <w:sz w:val="18"/>
                <w:szCs w:val="18"/>
                <w:lang w:val="fr-FR"/>
              </w:rPr>
            </w:pPr>
            <w:r w:rsidRPr="0BA40188">
              <w:rPr>
                <w:color w:val="005A9E"/>
                <w:sz w:val="18"/>
                <w:szCs w:val="18"/>
                <w:lang w:val="fr-FR"/>
              </w:rPr>
              <w:t>Iron infusions for 6 months</w:t>
            </w:r>
          </w:p>
        </w:tc>
        <w:tc>
          <w:tcPr>
            <w:tcW w:w="2552" w:type="dxa"/>
            <w:gridSpan w:val="3"/>
            <w:tcBorders>
              <w:top w:val="single" w:sz="4" w:space="0" w:color="000000" w:themeColor="text1"/>
              <w:bottom w:val="single" w:sz="4" w:space="0" w:color="000000" w:themeColor="text1"/>
            </w:tcBorders>
            <w:tcMar>
              <w:left w:w="28" w:type="dxa"/>
              <w:right w:w="28" w:type="dxa"/>
            </w:tcMar>
          </w:tcPr>
          <w:p w14:paraId="45F6A92A" w14:textId="77777777" w:rsidR="00A75BD0" w:rsidRDefault="009D4DA5" w:rsidP="0BA40188">
            <w:pPr>
              <w:ind w:right="114"/>
              <w:rPr>
                <w:color w:val="005A9E"/>
                <w:sz w:val="18"/>
                <w:szCs w:val="18"/>
                <w:lang w:val="fr-FR"/>
              </w:rPr>
            </w:pPr>
            <w:r w:rsidRPr="0BA40188">
              <w:rPr>
                <w:color w:val="005A9E"/>
                <w:sz w:val="18"/>
                <w:szCs w:val="18"/>
                <w:lang w:val="fr-FR"/>
              </w:rPr>
              <w:t>10 mg/kg/2 weeks</w:t>
            </w:r>
          </w:p>
          <w:p w14:paraId="22C49530" w14:textId="77777777" w:rsidR="00A75BD0" w:rsidRDefault="009D4DA5">
            <w:pPr>
              <w:ind w:right="114"/>
              <w:rPr>
                <w:color w:val="005A9E"/>
                <w:sz w:val="18"/>
                <w:szCs w:val="18"/>
              </w:rPr>
            </w:pPr>
            <w:r>
              <w:rPr>
                <w:color w:val="005A9E"/>
                <w:sz w:val="18"/>
                <w:szCs w:val="18"/>
              </w:rPr>
              <w:t>2 injections</w:t>
            </w:r>
          </w:p>
          <w:p w14:paraId="6A9C1F9D" w14:textId="77777777" w:rsidR="00A75BD0" w:rsidRDefault="009D4DA5" w:rsidP="0BA40188">
            <w:pPr>
              <w:ind w:right="114"/>
              <w:rPr>
                <w:color w:val="005A9E"/>
                <w:sz w:val="18"/>
                <w:szCs w:val="18"/>
                <w:lang w:val="fr-FR"/>
              </w:rPr>
            </w:pPr>
            <w:r w:rsidRPr="0BA40188">
              <w:rPr>
                <w:color w:val="005A9E"/>
                <w:sz w:val="18"/>
                <w:szCs w:val="18"/>
                <w:lang w:val="fr-FR"/>
              </w:rPr>
              <w:t>5 mg/kg/2 weeks</w:t>
            </w:r>
          </w:p>
          <w:p w14:paraId="0275A753" w14:textId="77777777" w:rsidR="00A75BD0" w:rsidRDefault="009D4DA5">
            <w:pPr>
              <w:ind w:right="114"/>
              <w:rPr>
                <w:color w:val="005A9E"/>
                <w:sz w:val="18"/>
                <w:szCs w:val="18"/>
              </w:rPr>
            </w:pPr>
            <w:r>
              <w:rPr>
                <w:color w:val="005A9E"/>
                <w:sz w:val="18"/>
                <w:szCs w:val="18"/>
              </w:rPr>
              <w:t>2 injections</w:t>
            </w:r>
          </w:p>
          <w:p w14:paraId="76A0D418" w14:textId="77777777" w:rsidR="00A75BD0" w:rsidRDefault="00A75BD0">
            <w:pPr>
              <w:ind w:right="114"/>
              <w:rPr>
                <w:color w:val="005A9E"/>
                <w:sz w:val="18"/>
                <w:szCs w:val="18"/>
              </w:rPr>
            </w:pPr>
          </w:p>
        </w:tc>
        <w:tc>
          <w:tcPr>
            <w:tcW w:w="1134" w:type="dxa"/>
            <w:tcBorders>
              <w:top w:val="single" w:sz="4" w:space="0" w:color="000000" w:themeColor="text1"/>
              <w:bottom w:val="single" w:sz="4" w:space="0" w:color="000000" w:themeColor="text1"/>
            </w:tcBorders>
            <w:tcMar>
              <w:left w:w="28" w:type="dxa"/>
              <w:right w:w="28" w:type="dxa"/>
            </w:tcMar>
          </w:tcPr>
          <w:p w14:paraId="12F59EBA" w14:textId="77777777" w:rsidR="00A75BD0" w:rsidRDefault="009D4DA5">
            <w:pPr>
              <w:rPr>
                <w:color w:val="005A9E"/>
                <w:sz w:val="18"/>
                <w:szCs w:val="18"/>
              </w:rPr>
            </w:pPr>
            <w:r>
              <w:rPr>
                <w:color w:val="005A9E"/>
                <w:sz w:val="18"/>
                <w:szCs w:val="18"/>
              </w:rPr>
              <w:t>9</w:t>
            </w:r>
          </w:p>
        </w:tc>
        <w:tc>
          <w:tcPr>
            <w:tcW w:w="5297" w:type="dxa"/>
            <w:gridSpan w:val="2"/>
            <w:tcBorders>
              <w:top w:val="single" w:sz="4" w:space="0" w:color="000000" w:themeColor="text1"/>
              <w:bottom w:val="single" w:sz="4" w:space="0" w:color="000000" w:themeColor="text1"/>
            </w:tcBorders>
            <w:tcMar>
              <w:left w:w="0" w:type="dxa"/>
              <w:right w:w="0" w:type="dxa"/>
            </w:tcMar>
          </w:tcPr>
          <w:p w14:paraId="73D6EF4D"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Ferritine </w:t>
            </w:r>
          </w:p>
          <w:p w14:paraId="17A763D9"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iron infusions</w:t>
            </w:r>
          </w:p>
          <w:p w14:paraId="0BAE2D83"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&lt;</w:t>
            </w:r>
            <w:r w:rsidRPr="002F6A24">
              <w:rPr>
                <w:color w:val="005A9E"/>
                <w:sz w:val="18"/>
                <w:szCs w:val="18"/>
                <w:lang w:val="en-US"/>
              </w:rPr>
              <w:t xml:space="preserve"> epistaxis (from 3-4 episodes of 30-45 minutes/day to 1-2 episodes of 10 minutes/week) at 3 months of treatment initiation</w:t>
            </w:r>
          </w:p>
          <w:p w14:paraId="3414BE7A" w14:textId="77777777" w:rsidR="00A75BD0" w:rsidRDefault="009D4DA5">
            <w:pPr>
              <w:numPr>
                <w:ilvl w:val="0"/>
                <w:numId w:val="17"/>
              </w:numPr>
              <w:ind w:right="166"/>
              <w:jc w:val="both"/>
              <w:rPr>
                <w:color w:val="005A9E"/>
                <w:sz w:val="18"/>
                <w:szCs w:val="18"/>
              </w:rPr>
            </w:pPr>
            <w:r w:rsidRPr="002F6A24">
              <w:rPr>
                <w:color w:val="005A9E"/>
                <w:sz w:val="18"/>
                <w:szCs w:val="18"/>
                <w:lang w:val="en-US"/>
              </w:rPr>
              <w:t xml:space="preserve"> </w:t>
            </w:r>
            <w:r>
              <w:rPr>
                <w:color w:val="005A9E"/>
                <w:sz w:val="18"/>
                <w:szCs w:val="18"/>
              </w:rPr>
              <w:t>No change on visible telangiectasias</w:t>
            </w:r>
          </w:p>
          <w:p w14:paraId="1ADC1787" w14:textId="77777777" w:rsidR="00A75BD0" w:rsidRDefault="00A75BD0">
            <w:pPr>
              <w:ind w:left="360" w:right="166"/>
              <w:jc w:val="both"/>
              <w:rPr>
                <w:color w:val="005A9E"/>
                <w:sz w:val="18"/>
                <w:szCs w:val="18"/>
              </w:rPr>
            </w:pPr>
          </w:p>
        </w:tc>
      </w:tr>
      <w:tr w:rsidR="00A75BD0" w:rsidRPr="007428DF" w14:paraId="439026C2" w14:textId="77777777" w:rsidTr="0BA40188">
        <w:trPr>
          <w:trHeight w:val="578"/>
        </w:trPr>
        <w:tc>
          <w:tcPr>
            <w:tcW w:w="1273" w:type="dxa"/>
            <w:tcBorders>
              <w:top w:val="single" w:sz="4" w:space="0" w:color="000000" w:themeColor="text1"/>
              <w:bottom w:val="single" w:sz="4" w:space="0" w:color="000000" w:themeColor="text1"/>
            </w:tcBorders>
            <w:tcMar>
              <w:left w:w="28" w:type="dxa"/>
              <w:right w:w="28" w:type="dxa"/>
            </w:tcMar>
          </w:tcPr>
          <w:p w14:paraId="18DD8657" w14:textId="77777777" w:rsidR="00A75BD0" w:rsidRDefault="008853BF">
            <w:pPr>
              <w:rPr>
                <w:color w:val="005A9E"/>
                <w:sz w:val="18"/>
                <w:szCs w:val="18"/>
              </w:rPr>
            </w:pPr>
            <w:hyperlink r:id="rId31">
              <w:r w:rsidR="009D4DA5">
                <w:rPr>
                  <w:color w:val="0563C1"/>
                  <w:sz w:val="18"/>
                  <w:szCs w:val="18"/>
                  <w:u w:val="single"/>
                </w:rPr>
                <w:t>Retornaz 2009</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05777F64" w14:textId="77777777" w:rsidR="00A75BD0" w:rsidRDefault="009D4DA5" w:rsidP="0BA40188">
            <w:pPr>
              <w:rPr>
                <w:color w:val="005A9E"/>
                <w:sz w:val="18"/>
                <w:szCs w:val="18"/>
                <w:lang w:val="fr-FR"/>
              </w:rPr>
            </w:pPr>
            <w:r w:rsidRPr="0BA40188">
              <w:rPr>
                <w:color w:val="005A9E"/>
                <w:sz w:val="18"/>
                <w:szCs w:val="18"/>
                <w:lang w:val="fr-FR"/>
              </w:rPr>
              <w:t xml:space="preserve">1 patient 65 y with </w:t>
            </w:r>
          </w:p>
          <w:p w14:paraId="545ED341" w14:textId="77777777" w:rsidR="00A75BD0" w:rsidRDefault="009D4DA5" w:rsidP="0BA40188">
            <w:pPr>
              <w:rPr>
                <w:color w:val="005A9E"/>
                <w:sz w:val="18"/>
                <w:szCs w:val="18"/>
                <w:lang w:val="fr-FR"/>
              </w:rPr>
            </w:pPr>
            <w:r w:rsidRPr="0BA40188">
              <w:rPr>
                <w:color w:val="005A9E"/>
                <w:sz w:val="18"/>
                <w:szCs w:val="18"/>
                <w:lang w:val="fr-FR"/>
              </w:rPr>
              <w:t>Liver transplantation 10 years ago</w:t>
            </w:r>
          </w:p>
          <w:p w14:paraId="54DB39BB" w14:textId="77777777" w:rsidR="00A75BD0" w:rsidRDefault="009D4DA5">
            <w:pPr>
              <w:rPr>
                <w:color w:val="005A9E"/>
                <w:sz w:val="18"/>
                <w:szCs w:val="18"/>
              </w:rPr>
            </w:pPr>
            <w:r>
              <w:rPr>
                <w:color w:val="005A9E"/>
                <w:sz w:val="18"/>
                <w:szCs w:val="18"/>
              </w:rPr>
              <w:t>Epistaxis</w:t>
            </w:r>
          </w:p>
          <w:p w14:paraId="7942A1F5" w14:textId="77777777" w:rsidR="00A75BD0" w:rsidRDefault="009D4DA5" w:rsidP="0BA40188">
            <w:pPr>
              <w:rPr>
                <w:color w:val="005A9E"/>
                <w:sz w:val="18"/>
                <w:szCs w:val="18"/>
                <w:lang w:val="fr-FR"/>
              </w:rPr>
            </w:pPr>
            <w:r w:rsidRPr="0BA40188">
              <w:rPr>
                <w:color w:val="005A9E"/>
                <w:sz w:val="18"/>
                <w:szCs w:val="18"/>
                <w:lang w:val="fr-FR"/>
              </w:rPr>
              <w:t>GI bleedings</w:t>
            </w:r>
          </w:p>
          <w:p w14:paraId="0C4C2AD8" w14:textId="77777777" w:rsidR="00A75BD0" w:rsidRDefault="009D4DA5" w:rsidP="0BA40188">
            <w:pPr>
              <w:rPr>
                <w:color w:val="005A9E"/>
                <w:sz w:val="18"/>
                <w:szCs w:val="18"/>
                <w:lang w:val="fr-FR"/>
              </w:rPr>
            </w:pPr>
            <w:r w:rsidRPr="0BA40188">
              <w:rPr>
                <w:color w:val="005A9E"/>
                <w:sz w:val="18"/>
                <w:szCs w:val="18"/>
                <w:lang w:val="fr-FR"/>
              </w:rPr>
              <w:t>RBC transfusions (8 units/ month)</w:t>
            </w:r>
          </w:p>
          <w:p w14:paraId="6114573D" w14:textId="77777777" w:rsidR="00A75BD0" w:rsidRDefault="00A75BD0">
            <w:pPr>
              <w:rPr>
                <w:color w:val="005A9E"/>
                <w:sz w:val="18"/>
                <w:szCs w:val="18"/>
              </w:rPr>
            </w:pPr>
          </w:p>
          <w:p w14:paraId="6463B6E5" w14:textId="77777777" w:rsidR="00A75BD0" w:rsidRPr="002F6A24" w:rsidRDefault="009D4DA5">
            <w:pPr>
              <w:rPr>
                <w:color w:val="005A9E"/>
                <w:sz w:val="18"/>
                <w:szCs w:val="18"/>
                <w:lang w:val="en-US"/>
              </w:rPr>
            </w:pPr>
            <w:r w:rsidRPr="002F6A24">
              <w:rPr>
                <w:color w:val="005A9E"/>
                <w:sz w:val="18"/>
                <w:szCs w:val="18"/>
                <w:lang w:val="en-US"/>
              </w:rPr>
              <w:t xml:space="preserve">iron infusions, estrogens, and tranexamic acid failed </w:t>
            </w:r>
          </w:p>
        </w:tc>
        <w:tc>
          <w:tcPr>
            <w:tcW w:w="2552" w:type="dxa"/>
            <w:gridSpan w:val="3"/>
            <w:tcBorders>
              <w:top w:val="single" w:sz="4" w:space="0" w:color="000000" w:themeColor="text1"/>
              <w:bottom w:val="single" w:sz="4" w:space="0" w:color="000000" w:themeColor="text1"/>
            </w:tcBorders>
            <w:tcMar>
              <w:left w:w="28" w:type="dxa"/>
              <w:right w:w="28" w:type="dxa"/>
            </w:tcMar>
          </w:tcPr>
          <w:p w14:paraId="606C5312" w14:textId="77777777" w:rsidR="00A75BD0" w:rsidRDefault="009D4DA5" w:rsidP="0BA40188">
            <w:pPr>
              <w:ind w:right="114"/>
              <w:rPr>
                <w:color w:val="005A9E"/>
                <w:sz w:val="18"/>
                <w:szCs w:val="18"/>
                <w:lang w:val="fr-FR"/>
              </w:rPr>
            </w:pPr>
            <w:r w:rsidRPr="0BA40188">
              <w:rPr>
                <w:color w:val="005A9E"/>
                <w:sz w:val="18"/>
                <w:szCs w:val="18"/>
                <w:lang w:val="fr-FR"/>
              </w:rPr>
              <w:t>5 mg/kg/2 weeks</w:t>
            </w:r>
          </w:p>
          <w:p w14:paraId="36BBB840" w14:textId="77777777" w:rsidR="00A75BD0" w:rsidRDefault="009D4DA5">
            <w:pPr>
              <w:ind w:right="114"/>
              <w:rPr>
                <w:color w:val="005A9E"/>
                <w:sz w:val="18"/>
                <w:szCs w:val="18"/>
              </w:rPr>
            </w:pPr>
            <w:r>
              <w:rPr>
                <w:color w:val="005A9E"/>
                <w:sz w:val="18"/>
                <w:szCs w:val="18"/>
              </w:rPr>
              <w:t>6</w:t>
            </w:r>
          </w:p>
          <w:p w14:paraId="5A983981" w14:textId="77777777" w:rsidR="00A75BD0" w:rsidRDefault="00A75BD0">
            <w:pPr>
              <w:ind w:right="114"/>
              <w:rPr>
                <w:color w:val="005A9E"/>
                <w:sz w:val="18"/>
                <w:szCs w:val="18"/>
              </w:rPr>
            </w:pPr>
          </w:p>
          <w:p w14:paraId="1CE2E3EE" w14:textId="77777777" w:rsidR="00A75BD0" w:rsidRDefault="00A75BD0">
            <w:pPr>
              <w:ind w:right="114"/>
              <w:rPr>
                <w:color w:val="005A9E"/>
                <w:sz w:val="18"/>
                <w:szCs w:val="18"/>
              </w:rPr>
            </w:pPr>
          </w:p>
        </w:tc>
        <w:tc>
          <w:tcPr>
            <w:tcW w:w="1134" w:type="dxa"/>
            <w:tcBorders>
              <w:top w:val="single" w:sz="4" w:space="0" w:color="000000" w:themeColor="text1"/>
              <w:bottom w:val="single" w:sz="4" w:space="0" w:color="000000" w:themeColor="text1"/>
            </w:tcBorders>
            <w:tcMar>
              <w:left w:w="28" w:type="dxa"/>
              <w:right w:w="28" w:type="dxa"/>
            </w:tcMar>
          </w:tcPr>
          <w:p w14:paraId="474EE1AD" w14:textId="77777777" w:rsidR="00A75BD0" w:rsidRDefault="009D4DA5">
            <w:pPr>
              <w:rPr>
                <w:color w:val="005A9E"/>
                <w:sz w:val="18"/>
                <w:szCs w:val="18"/>
              </w:rPr>
            </w:pPr>
            <w:r>
              <w:rPr>
                <w:color w:val="005A9E"/>
                <w:sz w:val="18"/>
                <w:szCs w:val="18"/>
              </w:rPr>
              <w:t>12</w:t>
            </w:r>
          </w:p>
        </w:tc>
        <w:tc>
          <w:tcPr>
            <w:tcW w:w="5297" w:type="dxa"/>
            <w:gridSpan w:val="2"/>
            <w:tcBorders>
              <w:top w:val="single" w:sz="4" w:space="0" w:color="000000" w:themeColor="text1"/>
              <w:bottom w:val="single" w:sz="4" w:space="0" w:color="000000" w:themeColor="text1"/>
            </w:tcBorders>
            <w:tcMar>
              <w:left w:w="0" w:type="dxa"/>
              <w:right w:w="0" w:type="dxa"/>
            </w:tcMar>
          </w:tcPr>
          <w:p w14:paraId="383476E0" w14:textId="77777777" w:rsidR="00A75BD0" w:rsidRPr="002F6A24" w:rsidRDefault="009D4DA5">
            <w:pPr>
              <w:numPr>
                <w:ilvl w:val="0"/>
                <w:numId w:val="19"/>
              </w:numPr>
              <w:ind w:left="255" w:right="166" w:hanging="255"/>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transfusions (no further transfusion for 2 months)</w:t>
            </w:r>
          </w:p>
          <w:p w14:paraId="4FC13EB9" w14:textId="77777777" w:rsidR="00A75BD0" w:rsidRPr="002F6A24" w:rsidRDefault="00A75BD0">
            <w:pPr>
              <w:ind w:right="166"/>
              <w:jc w:val="both"/>
              <w:rPr>
                <w:color w:val="005A9E"/>
                <w:sz w:val="18"/>
                <w:szCs w:val="18"/>
                <w:lang w:val="en-US"/>
              </w:rPr>
            </w:pPr>
          </w:p>
        </w:tc>
      </w:tr>
      <w:tr w:rsidR="00A75BD0" w14:paraId="6920FFD4" w14:textId="77777777" w:rsidTr="0BA40188">
        <w:trPr>
          <w:trHeight w:val="578"/>
        </w:trPr>
        <w:tc>
          <w:tcPr>
            <w:tcW w:w="1273" w:type="dxa"/>
            <w:tcBorders>
              <w:top w:val="single" w:sz="4" w:space="0" w:color="000000" w:themeColor="text1"/>
              <w:bottom w:val="single" w:sz="4" w:space="0" w:color="000000" w:themeColor="text1"/>
            </w:tcBorders>
            <w:tcMar>
              <w:left w:w="28" w:type="dxa"/>
              <w:right w:w="28" w:type="dxa"/>
            </w:tcMar>
          </w:tcPr>
          <w:p w14:paraId="0C2BBB5E" w14:textId="77777777" w:rsidR="00A75BD0" w:rsidRDefault="008853BF">
            <w:pPr>
              <w:rPr>
                <w:color w:val="005A9E"/>
                <w:sz w:val="18"/>
                <w:szCs w:val="18"/>
                <w:vertAlign w:val="superscript"/>
              </w:rPr>
            </w:pPr>
            <w:hyperlink r:id="rId32">
              <w:r w:rsidR="009D4DA5">
                <w:rPr>
                  <w:color w:val="0563C1"/>
                  <w:sz w:val="18"/>
                  <w:szCs w:val="18"/>
                  <w:u w:val="single"/>
                </w:rPr>
                <w:t>Oosting 2009</w:t>
              </w:r>
            </w:hyperlink>
            <w:r w:rsidR="009D4DA5">
              <w:rPr>
                <w:color w:val="005A9E"/>
                <w:sz w:val="18"/>
                <w:szCs w:val="18"/>
                <w:vertAlign w:val="superscript"/>
              </w:rPr>
              <w:t xml:space="preserve"> </w:t>
            </w:r>
          </w:p>
        </w:tc>
        <w:tc>
          <w:tcPr>
            <w:tcW w:w="4677" w:type="dxa"/>
            <w:gridSpan w:val="2"/>
            <w:tcBorders>
              <w:top w:val="single" w:sz="4" w:space="0" w:color="000000" w:themeColor="text1"/>
              <w:bottom w:val="single" w:sz="4" w:space="0" w:color="000000" w:themeColor="text1"/>
            </w:tcBorders>
            <w:tcMar>
              <w:left w:w="28" w:type="dxa"/>
              <w:right w:w="28" w:type="dxa"/>
            </w:tcMar>
          </w:tcPr>
          <w:p w14:paraId="04BFC54A" w14:textId="77777777" w:rsidR="00A75BD0" w:rsidRPr="002F6A24" w:rsidRDefault="009D4DA5">
            <w:pPr>
              <w:rPr>
                <w:color w:val="005A9E"/>
                <w:sz w:val="18"/>
                <w:szCs w:val="18"/>
                <w:lang w:val="en-US"/>
              </w:rPr>
            </w:pPr>
            <w:r w:rsidRPr="002F6A24">
              <w:rPr>
                <w:color w:val="005A9E"/>
                <w:sz w:val="18"/>
                <w:szCs w:val="18"/>
                <w:lang w:val="en-US"/>
              </w:rPr>
              <w:t xml:space="preserve">1 patient 55 y  </w:t>
            </w:r>
          </w:p>
          <w:p w14:paraId="4C006DF1" w14:textId="77777777" w:rsidR="00A75BD0" w:rsidRPr="002F6A24" w:rsidRDefault="009D4DA5">
            <w:pPr>
              <w:rPr>
                <w:color w:val="005A9E"/>
                <w:sz w:val="18"/>
                <w:szCs w:val="18"/>
                <w:lang w:val="en-US"/>
              </w:rPr>
            </w:pPr>
            <w:r w:rsidRPr="002F6A24">
              <w:rPr>
                <w:color w:val="005A9E"/>
                <w:sz w:val="18"/>
                <w:szCs w:val="18"/>
                <w:lang w:val="en-US"/>
              </w:rPr>
              <w:t>severe epistaxis and pancreatic arteriovenous malformations</w:t>
            </w:r>
          </w:p>
          <w:p w14:paraId="47868A05" w14:textId="77777777" w:rsidR="00A75BD0" w:rsidRDefault="009D4DA5" w:rsidP="0BA40188">
            <w:pPr>
              <w:rPr>
                <w:color w:val="005A9E"/>
                <w:sz w:val="18"/>
                <w:szCs w:val="18"/>
                <w:lang w:val="fr-FR"/>
              </w:rPr>
            </w:pPr>
            <w:r w:rsidRPr="0BA40188">
              <w:rPr>
                <w:color w:val="005A9E"/>
                <w:sz w:val="18"/>
                <w:szCs w:val="18"/>
                <w:lang w:val="fr-FR"/>
              </w:rPr>
              <w:t>pancreatitis</w:t>
            </w:r>
          </w:p>
        </w:tc>
        <w:tc>
          <w:tcPr>
            <w:tcW w:w="2552" w:type="dxa"/>
            <w:gridSpan w:val="3"/>
            <w:tcBorders>
              <w:top w:val="single" w:sz="4" w:space="0" w:color="000000" w:themeColor="text1"/>
              <w:bottom w:val="single" w:sz="4" w:space="0" w:color="000000" w:themeColor="text1"/>
            </w:tcBorders>
            <w:tcMar>
              <w:left w:w="28" w:type="dxa"/>
              <w:right w:w="28" w:type="dxa"/>
            </w:tcMar>
          </w:tcPr>
          <w:p w14:paraId="0F69C8FF" w14:textId="77777777" w:rsidR="00A75BD0" w:rsidRPr="002F6A24" w:rsidRDefault="009D4DA5">
            <w:pPr>
              <w:ind w:right="114"/>
              <w:rPr>
                <w:color w:val="005A9E"/>
                <w:sz w:val="18"/>
                <w:szCs w:val="18"/>
                <w:lang w:val="en-US"/>
              </w:rPr>
            </w:pPr>
            <w:r w:rsidRPr="002F6A24">
              <w:rPr>
                <w:color w:val="005A9E"/>
                <w:sz w:val="18"/>
                <w:szCs w:val="18"/>
                <w:lang w:val="en-US"/>
              </w:rPr>
              <w:t>5 mg/kg IV /2 weeks for 7.5 mg/kg/2 weeks</w:t>
            </w:r>
          </w:p>
          <w:p w14:paraId="685096AE" w14:textId="77777777" w:rsidR="00A75BD0" w:rsidRDefault="009D4DA5" w:rsidP="0BA40188">
            <w:pPr>
              <w:ind w:right="114"/>
              <w:rPr>
                <w:color w:val="005A9E"/>
                <w:sz w:val="18"/>
                <w:szCs w:val="18"/>
                <w:lang w:val="fr-FR"/>
              </w:rPr>
            </w:pPr>
            <w:r w:rsidRPr="0BA40188">
              <w:rPr>
                <w:color w:val="005A9E"/>
                <w:sz w:val="18"/>
                <w:szCs w:val="18"/>
                <w:lang w:val="fr-FR"/>
              </w:rPr>
              <w:t>continuous</w:t>
            </w:r>
          </w:p>
        </w:tc>
        <w:tc>
          <w:tcPr>
            <w:tcW w:w="1134" w:type="dxa"/>
            <w:tcBorders>
              <w:top w:val="single" w:sz="4" w:space="0" w:color="000000" w:themeColor="text1"/>
              <w:bottom w:val="single" w:sz="4" w:space="0" w:color="000000" w:themeColor="text1"/>
            </w:tcBorders>
            <w:tcMar>
              <w:left w:w="28" w:type="dxa"/>
              <w:right w:w="28" w:type="dxa"/>
            </w:tcMar>
          </w:tcPr>
          <w:p w14:paraId="76B18C51" w14:textId="77777777" w:rsidR="00A75BD0" w:rsidRDefault="009D4DA5">
            <w:pPr>
              <w:rPr>
                <w:color w:val="005A9E"/>
                <w:sz w:val="18"/>
                <w:szCs w:val="18"/>
              </w:rPr>
            </w:pPr>
            <w:r>
              <w:rPr>
                <w:color w:val="005A9E"/>
                <w:sz w:val="18"/>
                <w:szCs w:val="18"/>
              </w:rPr>
              <w:t>12</w:t>
            </w:r>
          </w:p>
        </w:tc>
        <w:tc>
          <w:tcPr>
            <w:tcW w:w="5297" w:type="dxa"/>
            <w:gridSpan w:val="2"/>
            <w:tcBorders>
              <w:top w:val="single" w:sz="4" w:space="0" w:color="000000" w:themeColor="text1"/>
              <w:bottom w:val="single" w:sz="4" w:space="0" w:color="000000" w:themeColor="text1"/>
            </w:tcBorders>
            <w:tcMar>
              <w:left w:w="0" w:type="dxa"/>
              <w:right w:w="0" w:type="dxa"/>
            </w:tcMar>
          </w:tcPr>
          <w:p w14:paraId="1460E9FA"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epistaxis, </w:t>
            </w:r>
          </w:p>
          <w:p w14:paraId="64FCDAAF"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skin vascular signs</w:t>
            </w:r>
          </w:p>
          <w:p w14:paraId="535E549F"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 xml:space="preserve">↘ </w:t>
            </w:r>
            <w:r w:rsidRPr="0BA40188">
              <w:rPr>
                <w:color w:val="005A9E"/>
                <w:sz w:val="18"/>
                <w:szCs w:val="18"/>
                <w:lang w:val="fr-FR"/>
              </w:rPr>
              <w:t>frequency and severity of pancreatitis</w:t>
            </w:r>
          </w:p>
          <w:p w14:paraId="64E14AED"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Discontinuation of morphine and tube feeding</w:t>
            </w:r>
          </w:p>
          <w:p w14:paraId="320446E8"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 xml:space="preserve">The patient resumed work </w:t>
            </w:r>
          </w:p>
        </w:tc>
      </w:tr>
      <w:tr w:rsidR="00A75BD0" w14:paraId="26DE2902" w14:textId="77777777" w:rsidTr="0BA40188">
        <w:trPr>
          <w:trHeight w:val="694"/>
        </w:trPr>
        <w:tc>
          <w:tcPr>
            <w:tcW w:w="1273" w:type="dxa"/>
            <w:tcBorders>
              <w:top w:val="single" w:sz="4" w:space="0" w:color="000000" w:themeColor="text1"/>
              <w:bottom w:val="single" w:sz="4" w:space="0" w:color="000000" w:themeColor="text1"/>
            </w:tcBorders>
            <w:tcMar>
              <w:left w:w="28" w:type="dxa"/>
              <w:right w:w="28" w:type="dxa"/>
            </w:tcMar>
          </w:tcPr>
          <w:p w14:paraId="32036825" w14:textId="77777777" w:rsidR="00A75BD0" w:rsidRDefault="008853BF">
            <w:pPr>
              <w:rPr>
                <w:color w:val="005A9E"/>
                <w:sz w:val="18"/>
                <w:szCs w:val="18"/>
                <w:vertAlign w:val="superscript"/>
              </w:rPr>
            </w:pPr>
            <w:hyperlink r:id="rId33">
              <w:r w:rsidR="009D4DA5">
                <w:rPr>
                  <w:color w:val="0563C1"/>
                  <w:sz w:val="18"/>
                  <w:szCs w:val="18"/>
                  <w:u w:val="single"/>
                </w:rPr>
                <w:t>Amanzada 2010</w:t>
              </w:r>
            </w:hyperlink>
            <w:r w:rsidR="009D4DA5">
              <w:rPr>
                <w:color w:val="005A9E"/>
                <w:sz w:val="18"/>
                <w:szCs w:val="18"/>
                <w:vertAlign w:val="superscript"/>
              </w:rPr>
              <w:t xml:space="preserve"> </w:t>
            </w:r>
          </w:p>
        </w:tc>
        <w:tc>
          <w:tcPr>
            <w:tcW w:w="4677" w:type="dxa"/>
            <w:gridSpan w:val="2"/>
            <w:tcBorders>
              <w:top w:val="single" w:sz="4" w:space="0" w:color="000000" w:themeColor="text1"/>
              <w:bottom w:val="single" w:sz="4" w:space="0" w:color="000000" w:themeColor="text1"/>
            </w:tcBorders>
            <w:tcMar>
              <w:left w:w="28" w:type="dxa"/>
              <w:right w:w="28" w:type="dxa"/>
            </w:tcMar>
          </w:tcPr>
          <w:p w14:paraId="47BF1E25" w14:textId="77777777" w:rsidR="00A75BD0" w:rsidRDefault="009D4DA5">
            <w:pPr>
              <w:rPr>
                <w:color w:val="005A9E"/>
                <w:sz w:val="18"/>
                <w:szCs w:val="18"/>
              </w:rPr>
            </w:pPr>
            <w:r>
              <w:rPr>
                <w:color w:val="005A9E"/>
                <w:sz w:val="18"/>
                <w:szCs w:val="18"/>
              </w:rPr>
              <w:t xml:space="preserve">1 patient 59 y  </w:t>
            </w:r>
          </w:p>
          <w:p w14:paraId="09F44EF5" w14:textId="77777777" w:rsidR="00A75BD0" w:rsidRPr="002F6A24" w:rsidRDefault="009D4DA5">
            <w:pPr>
              <w:rPr>
                <w:color w:val="005A9E"/>
                <w:sz w:val="18"/>
                <w:szCs w:val="18"/>
                <w:lang w:val="en-US"/>
              </w:rPr>
            </w:pPr>
            <w:r w:rsidRPr="002F6A24">
              <w:rPr>
                <w:color w:val="005A9E"/>
                <w:sz w:val="18"/>
                <w:szCs w:val="18"/>
                <w:lang w:val="en-US"/>
              </w:rPr>
              <w:t>severe bleedings and blood transfusions</w:t>
            </w:r>
          </w:p>
        </w:tc>
        <w:tc>
          <w:tcPr>
            <w:tcW w:w="2552" w:type="dxa"/>
            <w:gridSpan w:val="3"/>
            <w:tcBorders>
              <w:top w:val="single" w:sz="4" w:space="0" w:color="000000" w:themeColor="text1"/>
              <w:bottom w:val="single" w:sz="4" w:space="0" w:color="000000" w:themeColor="text1"/>
            </w:tcBorders>
            <w:tcMar>
              <w:left w:w="28" w:type="dxa"/>
              <w:right w:w="28" w:type="dxa"/>
            </w:tcMar>
          </w:tcPr>
          <w:p w14:paraId="7C85B47D" w14:textId="77777777" w:rsidR="00A75BD0" w:rsidRPr="002F6A24" w:rsidRDefault="00A75BD0">
            <w:pPr>
              <w:ind w:right="114"/>
              <w:rPr>
                <w:color w:val="005A9E"/>
                <w:sz w:val="18"/>
                <w:szCs w:val="18"/>
                <w:lang w:val="en-US"/>
              </w:rPr>
            </w:pPr>
          </w:p>
        </w:tc>
        <w:tc>
          <w:tcPr>
            <w:tcW w:w="1134" w:type="dxa"/>
            <w:tcBorders>
              <w:top w:val="single" w:sz="4" w:space="0" w:color="000000" w:themeColor="text1"/>
              <w:bottom w:val="single" w:sz="4" w:space="0" w:color="000000" w:themeColor="text1"/>
            </w:tcBorders>
            <w:tcMar>
              <w:left w:w="28" w:type="dxa"/>
              <w:right w:w="28" w:type="dxa"/>
            </w:tcMar>
          </w:tcPr>
          <w:p w14:paraId="306A150D" w14:textId="77777777" w:rsidR="00A75BD0" w:rsidRDefault="009D4DA5">
            <w:pPr>
              <w:rPr>
                <w:color w:val="005A9E"/>
                <w:sz w:val="18"/>
                <w:szCs w:val="18"/>
              </w:rPr>
            </w:pPr>
            <w:r>
              <w:rPr>
                <w:color w:val="005A9E"/>
                <w:sz w:val="18"/>
                <w:szCs w:val="18"/>
              </w:rPr>
              <w:t>24</w:t>
            </w:r>
          </w:p>
        </w:tc>
        <w:tc>
          <w:tcPr>
            <w:tcW w:w="5297" w:type="dxa"/>
            <w:gridSpan w:val="2"/>
            <w:tcBorders>
              <w:top w:val="single" w:sz="4" w:space="0" w:color="000000" w:themeColor="text1"/>
              <w:bottom w:val="single" w:sz="4" w:space="0" w:color="000000" w:themeColor="text1"/>
            </w:tcBorders>
            <w:tcMar>
              <w:left w:w="0" w:type="dxa"/>
              <w:right w:w="0" w:type="dxa"/>
            </w:tcMar>
          </w:tcPr>
          <w:p w14:paraId="70B64E17" w14:textId="77777777" w:rsidR="00A75BD0" w:rsidRDefault="009D4DA5" w:rsidP="0BA40188">
            <w:pPr>
              <w:rPr>
                <w:color w:val="005A9E"/>
                <w:sz w:val="18"/>
                <w:szCs w:val="18"/>
                <w:lang w:val="fr-FR"/>
              </w:rPr>
            </w:pPr>
            <w:r w:rsidRPr="0BA40188">
              <w:rPr>
                <w:color w:val="005A9E"/>
                <w:sz w:val="18"/>
                <w:szCs w:val="18"/>
                <w:lang w:val="fr-FR"/>
              </w:rPr>
              <w:t>blood transfusions</w:t>
            </w:r>
          </w:p>
          <w:p w14:paraId="1CDEB54E"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transfusions</w:t>
            </w:r>
          </w:p>
        </w:tc>
      </w:tr>
      <w:tr w:rsidR="00A75BD0" w14:paraId="5A58CF4B" w14:textId="77777777" w:rsidTr="0BA40188">
        <w:trPr>
          <w:trHeight w:val="813"/>
        </w:trPr>
        <w:tc>
          <w:tcPr>
            <w:tcW w:w="1273" w:type="dxa"/>
            <w:tcBorders>
              <w:top w:val="single" w:sz="4" w:space="0" w:color="000000" w:themeColor="text1"/>
              <w:bottom w:val="single" w:sz="4" w:space="0" w:color="000000" w:themeColor="text1"/>
            </w:tcBorders>
            <w:tcMar>
              <w:left w:w="28" w:type="dxa"/>
              <w:right w:w="28" w:type="dxa"/>
            </w:tcMar>
          </w:tcPr>
          <w:p w14:paraId="33D809FE" w14:textId="77777777" w:rsidR="00A75BD0" w:rsidRDefault="008853BF">
            <w:pPr>
              <w:rPr>
                <w:color w:val="005A9E"/>
                <w:sz w:val="18"/>
                <w:szCs w:val="18"/>
                <w:vertAlign w:val="superscript"/>
              </w:rPr>
            </w:pPr>
            <w:hyperlink r:id="rId34">
              <w:r w:rsidR="009D4DA5">
                <w:rPr>
                  <w:color w:val="0563C1"/>
                  <w:sz w:val="18"/>
                  <w:szCs w:val="18"/>
                  <w:u w:val="single"/>
                </w:rPr>
                <w:t>Fodstad 2011</w:t>
              </w:r>
            </w:hyperlink>
            <w:r w:rsidR="009D4DA5">
              <w:rPr>
                <w:color w:val="005A9E"/>
                <w:sz w:val="18"/>
                <w:szCs w:val="18"/>
                <w:vertAlign w:val="superscript"/>
              </w:rPr>
              <w:t xml:space="preserve"> </w:t>
            </w:r>
          </w:p>
        </w:tc>
        <w:tc>
          <w:tcPr>
            <w:tcW w:w="4677" w:type="dxa"/>
            <w:gridSpan w:val="2"/>
            <w:tcBorders>
              <w:top w:val="single" w:sz="4" w:space="0" w:color="000000" w:themeColor="text1"/>
              <w:bottom w:val="single" w:sz="4" w:space="0" w:color="000000" w:themeColor="text1"/>
            </w:tcBorders>
            <w:tcMar>
              <w:left w:w="28" w:type="dxa"/>
              <w:right w:w="28" w:type="dxa"/>
            </w:tcMar>
          </w:tcPr>
          <w:p w14:paraId="02042E11" w14:textId="77777777" w:rsidR="00A75BD0" w:rsidRDefault="009D4DA5">
            <w:pPr>
              <w:rPr>
                <w:color w:val="005A9E"/>
                <w:sz w:val="18"/>
                <w:szCs w:val="18"/>
              </w:rPr>
            </w:pPr>
            <w:r>
              <w:rPr>
                <w:color w:val="005A9E"/>
                <w:sz w:val="18"/>
                <w:szCs w:val="18"/>
              </w:rPr>
              <w:t xml:space="preserve">1 patient 62 y  </w:t>
            </w:r>
          </w:p>
          <w:p w14:paraId="7567FF04" w14:textId="77777777" w:rsidR="00A75BD0" w:rsidRPr="002F6A24" w:rsidRDefault="009D4DA5">
            <w:pPr>
              <w:rPr>
                <w:color w:val="005A9E"/>
                <w:sz w:val="18"/>
                <w:szCs w:val="18"/>
                <w:lang w:val="en-US"/>
              </w:rPr>
            </w:pPr>
            <w:r w:rsidRPr="002F6A24">
              <w:rPr>
                <w:color w:val="005A9E"/>
                <w:sz w:val="18"/>
                <w:szCs w:val="18"/>
                <w:lang w:val="en-US"/>
              </w:rPr>
              <w:t>severe epistaxis, GI bleedings and blood transfusions</w:t>
            </w:r>
          </w:p>
        </w:tc>
        <w:tc>
          <w:tcPr>
            <w:tcW w:w="2552" w:type="dxa"/>
            <w:gridSpan w:val="3"/>
            <w:tcBorders>
              <w:top w:val="single" w:sz="4" w:space="0" w:color="000000" w:themeColor="text1"/>
              <w:bottom w:val="single" w:sz="4" w:space="0" w:color="000000" w:themeColor="text1"/>
            </w:tcBorders>
            <w:tcMar>
              <w:left w:w="28" w:type="dxa"/>
              <w:right w:w="28" w:type="dxa"/>
            </w:tcMar>
          </w:tcPr>
          <w:p w14:paraId="31AF292D" w14:textId="77777777" w:rsidR="00A75BD0" w:rsidRPr="002F6A24" w:rsidRDefault="009D4DA5">
            <w:pPr>
              <w:ind w:right="114"/>
              <w:rPr>
                <w:color w:val="005A9E"/>
                <w:sz w:val="18"/>
                <w:szCs w:val="18"/>
                <w:lang w:val="en-US"/>
              </w:rPr>
            </w:pPr>
            <w:r w:rsidRPr="002F6A24">
              <w:rPr>
                <w:color w:val="005A9E"/>
                <w:sz w:val="18"/>
                <w:szCs w:val="18"/>
                <w:lang w:val="en-US"/>
              </w:rPr>
              <w:t xml:space="preserve">5 mg/kg IV/2 weeks </w:t>
            </w:r>
          </w:p>
          <w:p w14:paraId="27CB8355" w14:textId="77777777" w:rsidR="00A75BD0" w:rsidRPr="002F6A24" w:rsidRDefault="009D4DA5">
            <w:pPr>
              <w:ind w:right="114"/>
              <w:rPr>
                <w:color w:val="005A9E"/>
                <w:sz w:val="18"/>
                <w:szCs w:val="18"/>
                <w:lang w:val="en-US"/>
              </w:rPr>
            </w:pPr>
            <w:r w:rsidRPr="002F6A24">
              <w:rPr>
                <w:color w:val="005A9E"/>
                <w:sz w:val="18"/>
                <w:szCs w:val="18"/>
                <w:lang w:val="en-US"/>
              </w:rPr>
              <w:t xml:space="preserve">Total of 8 injections </w:t>
            </w:r>
          </w:p>
        </w:tc>
        <w:tc>
          <w:tcPr>
            <w:tcW w:w="1134" w:type="dxa"/>
            <w:tcBorders>
              <w:top w:val="single" w:sz="4" w:space="0" w:color="000000" w:themeColor="text1"/>
              <w:bottom w:val="single" w:sz="4" w:space="0" w:color="000000" w:themeColor="text1"/>
            </w:tcBorders>
            <w:tcMar>
              <w:left w:w="28" w:type="dxa"/>
              <w:right w:w="28" w:type="dxa"/>
            </w:tcMar>
          </w:tcPr>
          <w:p w14:paraId="457A2181" w14:textId="77777777" w:rsidR="00A75BD0" w:rsidRDefault="009D4DA5">
            <w:pPr>
              <w:rPr>
                <w:color w:val="005A9E"/>
                <w:sz w:val="18"/>
                <w:szCs w:val="18"/>
              </w:rPr>
            </w:pPr>
            <w:r>
              <w:rPr>
                <w:color w:val="005A9E"/>
                <w:sz w:val="18"/>
                <w:szCs w:val="18"/>
              </w:rPr>
              <w:t xml:space="preserve">8 </w:t>
            </w:r>
          </w:p>
        </w:tc>
        <w:tc>
          <w:tcPr>
            <w:tcW w:w="5297" w:type="dxa"/>
            <w:gridSpan w:val="2"/>
            <w:tcBorders>
              <w:top w:val="single" w:sz="4" w:space="0" w:color="000000" w:themeColor="text1"/>
              <w:bottom w:val="single" w:sz="4" w:space="0" w:color="000000" w:themeColor="text1"/>
            </w:tcBorders>
            <w:tcMar>
              <w:left w:w="0" w:type="dxa"/>
              <w:right w:w="0" w:type="dxa"/>
            </w:tcMar>
          </w:tcPr>
          <w:p w14:paraId="79643298"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Epistaxis and GI bleedings improvement</w:t>
            </w:r>
          </w:p>
          <w:p w14:paraId="13F5DE2B"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 xml:space="preserve"> Hb (7,3 g/L to 10g/L)</w:t>
            </w:r>
          </w:p>
        </w:tc>
      </w:tr>
      <w:tr w:rsidR="00A75BD0" w14:paraId="4242441A" w14:textId="77777777" w:rsidTr="0BA40188">
        <w:trPr>
          <w:trHeight w:val="907"/>
        </w:trPr>
        <w:tc>
          <w:tcPr>
            <w:tcW w:w="1273" w:type="dxa"/>
            <w:tcBorders>
              <w:top w:val="single" w:sz="4" w:space="0" w:color="000000" w:themeColor="text1"/>
              <w:bottom w:val="single" w:sz="4" w:space="0" w:color="000000" w:themeColor="text1"/>
            </w:tcBorders>
            <w:tcMar>
              <w:left w:w="28" w:type="dxa"/>
              <w:right w:w="28" w:type="dxa"/>
            </w:tcMar>
          </w:tcPr>
          <w:p w14:paraId="1C154884" w14:textId="77777777" w:rsidR="00A75BD0" w:rsidRDefault="008853BF">
            <w:pPr>
              <w:rPr>
                <w:color w:val="005A9E"/>
                <w:sz w:val="18"/>
                <w:szCs w:val="18"/>
                <w:vertAlign w:val="superscript"/>
              </w:rPr>
            </w:pPr>
            <w:hyperlink r:id="rId35">
              <w:r w:rsidR="009D4DA5">
                <w:rPr>
                  <w:color w:val="0563C1"/>
                  <w:sz w:val="18"/>
                  <w:szCs w:val="18"/>
                  <w:u w:val="single"/>
                </w:rPr>
                <w:t>Lazaraki 2011</w:t>
              </w:r>
            </w:hyperlink>
            <w:r w:rsidR="009D4DA5">
              <w:rPr>
                <w:color w:val="005A9E"/>
                <w:sz w:val="18"/>
                <w:szCs w:val="18"/>
                <w:vertAlign w:val="superscript"/>
              </w:rPr>
              <w:t xml:space="preserve"> </w:t>
            </w:r>
          </w:p>
        </w:tc>
        <w:tc>
          <w:tcPr>
            <w:tcW w:w="4677" w:type="dxa"/>
            <w:gridSpan w:val="2"/>
            <w:tcBorders>
              <w:top w:val="single" w:sz="4" w:space="0" w:color="000000" w:themeColor="text1"/>
              <w:bottom w:val="single" w:sz="4" w:space="0" w:color="000000" w:themeColor="text1"/>
            </w:tcBorders>
            <w:tcMar>
              <w:left w:w="28" w:type="dxa"/>
              <w:right w:w="28" w:type="dxa"/>
            </w:tcMar>
          </w:tcPr>
          <w:p w14:paraId="778BA260" w14:textId="77777777" w:rsidR="00A75BD0" w:rsidRDefault="009D4DA5">
            <w:pPr>
              <w:rPr>
                <w:color w:val="005A9E"/>
                <w:sz w:val="18"/>
                <w:szCs w:val="18"/>
              </w:rPr>
            </w:pPr>
            <w:r>
              <w:rPr>
                <w:color w:val="005A9E"/>
                <w:sz w:val="18"/>
                <w:szCs w:val="18"/>
              </w:rPr>
              <w:t xml:space="preserve">1 patient 71 y  </w:t>
            </w:r>
          </w:p>
          <w:p w14:paraId="42E14672" w14:textId="77777777" w:rsidR="00A75BD0" w:rsidRPr="002F6A24" w:rsidRDefault="009D4DA5">
            <w:pPr>
              <w:rPr>
                <w:color w:val="005A9E"/>
                <w:sz w:val="18"/>
                <w:szCs w:val="18"/>
                <w:lang w:val="en-US"/>
              </w:rPr>
            </w:pPr>
            <w:r w:rsidRPr="002F6A24">
              <w:rPr>
                <w:color w:val="005A9E"/>
                <w:sz w:val="18"/>
                <w:szCs w:val="18"/>
                <w:lang w:val="en-US"/>
              </w:rPr>
              <w:t xml:space="preserve">severe epistaxis, GI bleedings and blood transfusions </w:t>
            </w:r>
          </w:p>
        </w:tc>
        <w:tc>
          <w:tcPr>
            <w:tcW w:w="2552" w:type="dxa"/>
            <w:gridSpan w:val="3"/>
            <w:tcBorders>
              <w:top w:val="single" w:sz="4" w:space="0" w:color="000000" w:themeColor="text1"/>
              <w:bottom w:val="single" w:sz="4" w:space="0" w:color="000000" w:themeColor="text1"/>
            </w:tcBorders>
            <w:tcMar>
              <w:left w:w="28" w:type="dxa"/>
              <w:right w:w="28" w:type="dxa"/>
            </w:tcMar>
          </w:tcPr>
          <w:p w14:paraId="575849C5" w14:textId="77777777" w:rsidR="00A75BD0" w:rsidRPr="002F6A24" w:rsidRDefault="009D4DA5">
            <w:pPr>
              <w:ind w:right="114"/>
              <w:rPr>
                <w:color w:val="005A9E"/>
                <w:sz w:val="18"/>
                <w:szCs w:val="18"/>
                <w:lang w:val="en-US"/>
              </w:rPr>
            </w:pPr>
            <w:r w:rsidRPr="002F6A24">
              <w:rPr>
                <w:color w:val="005A9E"/>
                <w:sz w:val="18"/>
                <w:szCs w:val="18"/>
                <w:lang w:val="en-US"/>
              </w:rPr>
              <w:t xml:space="preserve">5 mg/kg IV/2 weeks Total of 12 injections </w:t>
            </w:r>
          </w:p>
          <w:p w14:paraId="7112F9E8" w14:textId="77777777" w:rsidR="00A75BD0" w:rsidRPr="002F6A24" w:rsidRDefault="009D4DA5">
            <w:pPr>
              <w:ind w:right="114"/>
              <w:rPr>
                <w:color w:val="005A9E"/>
                <w:sz w:val="18"/>
                <w:szCs w:val="18"/>
                <w:lang w:val="en-US"/>
              </w:rPr>
            </w:pPr>
            <w:r w:rsidRPr="002F6A24">
              <w:rPr>
                <w:color w:val="005A9E"/>
                <w:sz w:val="18"/>
                <w:szCs w:val="18"/>
                <w:lang w:val="en-US"/>
              </w:rPr>
              <w:t>then 1 mg/kg /week, 9 injections</w:t>
            </w:r>
          </w:p>
        </w:tc>
        <w:tc>
          <w:tcPr>
            <w:tcW w:w="1134" w:type="dxa"/>
            <w:tcBorders>
              <w:top w:val="single" w:sz="4" w:space="0" w:color="000000" w:themeColor="text1"/>
              <w:bottom w:val="single" w:sz="4" w:space="0" w:color="000000" w:themeColor="text1"/>
            </w:tcBorders>
            <w:tcMar>
              <w:left w:w="28" w:type="dxa"/>
              <w:right w:w="28" w:type="dxa"/>
            </w:tcMar>
          </w:tcPr>
          <w:p w14:paraId="000A3657" w14:textId="77777777" w:rsidR="00A75BD0" w:rsidRDefault="009D4DA5">
            <w:pPr>
              <w:rPr>
                <w:color w:val="005A9E"/>
                <w:sz w:val="18"/>
                <w:szCs w:val="18"/>
              </w:rPr>
            </w:pPr>
            <w:r>
              <w:rPr>
                <w:color w:val="005A9E"/>
                <w:sz w:val="18"/>
                <w:szCs w:val="18"/>
              </w:rPr>
              <w:t>18</w:t>
            </w:r>
          </w:p>
        </w:tc>
        <w:tc>
          <w:tcPr>
            <w:tcW w:w="5297" w:type="dxa"/>
            <w:gridSpan w:val="2"/>
            <w:tcBorders>
              <w:top w:val="single" w:sz="4" w:space="0" w:color="000000" w:themeColor="text1"/>
              <w:bottom w:val="single" w:sz="4" w:space="0" w:color="000000" w:themeColor="text1"/>
            </w:tcBorders>
            <w:tcMar>
              <w:left w:w="0" w:type="dxa"/>
              <w:right w:w="0" w:type="dxa"/>
            </w:tcMar>
          </w:tcPr>
          <w:p w14:paraId="22D3613A"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Hb (6,7 g/dL to 15,2 g/dL) </w:t>
            </w:r>
          </w:p>
          <w:p w14:paraId="2245BBB3"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 epistaxis</w:t>
            </w:r>
          </w:p>
          <w:p w14:paraId="683E8A08" w14:textId="77777777" w:rsidR="00A75BD0" w:rsidRDefault="00A75BD0">
            <w:pPr>
              <w:ind w:right="166"/>
              <w:jc w:val="both"/>
              <w:rPr>
                <w:color w:val="005A9E"/>
                <w:sz w:val="18"/>
                <w:szCs w:val="18"/>
              </w:rPr>
            </w:pPr>
          </w:p>
        </w:tc>
      </w:tr>
      <w:tr w:rsidR="00A75BD0" w14:paraId="681CBD69" w14:textId="77777777" w:rsidTr="0BA40188">
        <w:trPr>
          <w:trHeight w:val="142"/>
        </w:trPr>
        <w:tc>
          <w:tcPr>
            <w:tcW w:w="1273" w:type="dxa"/>
            <w:tcBorders>
              <w:bottom w:val="single" w:sz="4" w:space="0" w:color="000000" w:themeColor="text1"/>
            </w:tcBorders>
            <w:tcMar>
              <w:left w:w="28" w:type="dxa"/>
              <w:right w:w="28" w:type="dxa"/>
            </w:tcMar>
          </w:tcPr>
          <w:p w14:paraId="033B6234" w14:textId="77777777" w:rsidR="00A75BD0" w:rsidRDefault="008853BF">
            <w:pPr>
              <w:rPr>
                <w:color w:val="005A9E"/>
                <w:sz w:val="18"/>
                <w:szCs w:val="18"/>
                <w:vertAlign w:val="superscript"/>
              </w:rPr>
            </w:pPr>
            <w:hyperlink r:id="rId36">
              <w:r w:rsidR="009D4DA5">
                <w:rPr>
                  <w:color w:val="0563C1"/>
                  <w:sz w:val="18"/>
                  <w:szCs w:val="18"/>
                  <w:u w:val="single"/>
                </w:rPr>
                <w:t>Suppressa 2011</w:t>
              </w:r>
            </w:hyperlink>
          </w:p>
        </w:tc>
        <w:tc>
          <w:tcPr>
            <w:tcW w:w="4677" w:type="dxa"/>
            <w:gridSpan w:val="2"/>
            <w:tcBorders>
              <w:bottom w:val="single" w:sz="4" w:space="0" w:color="000000" w:themeColor="text1"/>
            </w:tcBorders>
            <w:tcMar>
              <w:left w:w="28" w:type="dxa"/>
              <w:right w:w="28" w:type="dxa"/>
            </w:tcMar>
          </w:tcPr>
          <w:p w14:paraId="183326AE" w14:textId="77777777" w:rsidR="00A75BD0" w:rsidRDefault="009D4DA5">
            <w:pPr>
              <w:rPr>
                <w:color w:val="005A9E"/>
                <w:sz w:val="18"/>
                <w:szCs w:val="18"/>
              </w:rPr>
            </w:pPr>
            <w:r>
              <w:rPr>
                <w:color w:val="005A9E"/>
                <w:sz w:val="18"/>
                <w:szCs w:val="18"/>
              </w:rPr>
              <w:t xml:space="preserve">1 patient 50 y  </w:t>
            </w:r>
          </w:p>
          <w:p w14:paraId="7D5FA71E" w14:textId="77777777" w:rsidR="00A75BD0" w:rsidRPr="002F6A24" w:rsidRDefault="009D4DA5">
            <w:pPr>
              <w:rPr>
                <w:color w:val="005A9E"/>
                <w:sz w:val="18"/>
                <w:szCs w:val="18"/>
                <w:lang w:val="en-US"/>
              </w:rPr>
            </w:pPr>
            <w:r w:rsidRPr="002F6A24">
              <w:rPr>
                <w:color w:val="005A9E"/>
                <w:sz w:val="18"/>
                <w:szCs w:val="18"/>
                <w:lang w:val="en-US"/>
              </w:rPr>
              <w:t>severe epistaxis, GI bleedings and blood transfusions</w:t>
            </w:r>
          </w:p>
        </w:tc>
        <w:tc>
          <w:tcPr>
            <w:tcW w:w="2552" w:type="dxa"/>
            <w:gridSpan w:val="3"/>
            <w:tcBorders>
              <w:bottom w:val="single" w:sz="4" w:space="0" w:color="000000" w:themeColor="text1"/>
            </w:tcBorders>
            <w:tcMar>
              <w:left w:w="28" w:type="dxa"/>
              <w:right w:w="28" w:type="dxa"/>
            </w:tcMar>
          </w:tcPr>
          <w:p w14:paraId="599B2CCC" w14:textId="77777777" w:rsidR="00A75BD0" w:rsidRPr="002F6A24" w:rsidRDefault="009D4DA5">
            <w:pPr>
              <w:ind w:right="114"/>
              <w:rPr>
                <w:color w:val="005A9E"/>
                <w:sz w:val="18"/>
                <w:szCs w:val="18"/>
                <w:lang w:val="en-US"/>
              </w:rPr>
            </w:pPr>
            <w:r w:rsidRPr="002F6A24">
              <w:rPr>
                <w:color w:val="005A9E"/>
                <w:sz w:val="18"/>
                <w:szCs w:val="18"/>
                <w:lang w:val="en-US"/>
              </w:rPr>
              <w:t>1 mg/kg /3 weeks total of 6 injections</w:t>
            </w:r>
          </w:p>
        </w:tc>
        <w:tc>
          <w:tcPr>
            <w:tcW w:w="1134" w:type="dxa"/>
            <w:tcBorders>
              <w:bottom w:val="single" w:sz="4" w:space="0" w:color="000000" w:themeColor="text1"/>
            </w:tcBorders>
            <w:tcMar>
              <w:left w:w="28" w:type="dxa"/>
              <w:right w:w="28" w:type="dxa"/>
            </w:tcMar>
          </w:tcPr>
          <w:p w14:paraId="3112748A" w14:textId="77777777" w:rsidR="00A75BD0" w:rsidRPr="002F6A24" w:rsidRDefault="00A75BD0">
            <w:pPr>
              <w:rPr>
                <w:color w:val="005A9E"/>
                <w:sz w:val="18"/>
                <w:szCs w:val="18"/>
                <w:lang w:val="en-US"/>
              </w:rPr>
            </w:pPr>
          </w:p>
        </w:tc>
        <w:tc>
          <w:tcPr>
            <w:tcW w:w="5297" w:type="dxa"/>
            <w:gridSpan w:val="2"/>
            <w:tcBorders>
              <w:bottom w:val="single" w:sz="4" w:space="0" w:color="000000" w:themeColor="text1"/>
            </w:tcBorders>
            <w:tcMar>
              <w:left w:w="0" w:type="dxa"/>
              <w:right w:w="0" w:type="dxa"/>
            </w:tcMar>
          </w:tcPr>
          <w:p w14:paraId="2C0D9139"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Epistaxis  and GI bleedings improvement</w:t>
            </w:r>
          </w:p>
          <w:p w14:paraId="1F890F4D" w14:textId="77777777" w:rsidR="00A75BD0" w:rsidRDefault="00A75BD0">
            <w:pPr>
              <w:ind w:right="166"/>
              <w:jc w:val="both"/>
              <w:rPr>
                <w:color w:val="005A9E"/>
                <w:sz w:val="18"/>
                <w:szCs w:val="18"/>
              </w:rPr>
            </w:pPr>
          </w:p>
        </w:tc>
      </w:tr>
      <w:tr w:rsidR="00A75BD0" w:rsidRPr="007428DF" w14:paraId="42DFF911"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319B4714" w14:textId="77777777" w:rsidR="00A75BD0" w:rsidRDefault="008853BF">
            <w:hyperlink r:id="rId37">
              <w:r w:rsidR="009D4DA5">
                <w:rPr>
                  <w:color w:val="0563C1"/>
                  <w:sz w:val="18"/>
                  <w:szCs w:val="18"/>
                  <w:u w:val="single"/>
                </w:rPr>
                <w:t>Brinkerhoff 2011</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2D028D41" w14:textId="77777777" w:rsidR="00A75BD0" w:rsidRDefault="009D4DA5">
            <w:pPr>
              <w:ind w:right="114"/>
              <w:rPr>
                <w:color w:val="005A9E"/>
                <w:sz w:val="18"/>
                <w:szCs w:val="18"/>
              </w:rPr>
            </w:pPr>
            <w:r>
              <w:rPr>
                <w:color w:val="005A9E"/>
                <w:sz w:val="18"/>
                <w:szCs w:val="18"/>
              </w:rPr>
              <w:t>1 patient 62y</w:t>
            </w:r>
          </w:p>
          <w:p w14:paraId="55F1B8EC" w14:textId="77777777" w:rsidR="00A75BD0" w:rsidRDefault="009D4DA5" w:rsidP="0BA40188">
            <w:pPr>
              <w:rPr>
                <w:color w:val="005A9E"/>
                <w:sz w:val="18"/>
                <w:szCs w:val="18"/>
                <w:lang w:val="fr-FR"/>
              </w:rPr>
            </w:pPr>
            <w:r w:rsidRPr="0BA40188">
              <w:rPr>
                <w:color w:val="005A9E"/>
                <w:sz w:val="18"/>
                <w:szCs w:val="18"/>
                <w:lang w:val="fr-FR"/>
              </w:rPr>
              <w:t>Blodd transfusions for epistaxis</w:t>
            </w:r>
          </w:p>
        </w:tc>
        <w:tc>
          <w:tcPr>
            <w:tcW w:w="2552" w:type="dxa"/>
            <w:gridSpan w:val="3"/>
            <w:tcBorders>
              <w:top w:val="single" w:sz="4" w:space="0" w:color="000000" w:themeColor="text1"/>
              <w:bottom w:val="single" w:sz="4" w:space="0" w:color="000000" w:themeColor="text1"/>
            </w:tcBorders>
            <w:tcMar>
              <w:left w:w="28" w:type="dxa"/>
              <w:right w:w="28" w:type="dxa"/>
            </w:tcMar>
          </w:tcPr>
          <w:p w14:paraId="35502C6C" w14:textId="77777777" w:rsidR="00A75BD0" w:rsidRDefault="009D4DA5" w:rsidP="0BA40188">
            <w:pPr>
              <w:ind w:right="114"/>
              <w:rPr>
                <w:color w:val="005A9E"/>
                <w:sz w:val="18"/>
                <w:szCs w:val="18"/>
                <w:lang w:val="fr-FR"/>
              </w:rPr>
            </w:pPr>
            <w:r w:rsidRPr="0BA40188">
              <w:rPr>
                <w:color w:val="005A9E"/>
                <w:sz w:val="18"/>
                <w:szCs w:val="18"/>
                <w:lang w:val="fr-FR"/>
              </w:rPr>
              <w:t xml:space="preserve">5 mg/kg / 2 week,    </w:t>
            </w:r>
          </w:p>
          <w:p w14:paraId="5FC4FA48" w14:textId="77777777" w:rsidR="00A75BD0" w:rsidRDefault="009D4DA5">
            <w:pPr>
              <w:ind w:right="114"/>
              <w:rPr>
                <w:color w:val="005A9E"/>
                <w:sz w:val="18"/>
                <w:szCs w:val="18"/>
              </w:rPr>
            </w:pPr>
            <w:r>
              <w:rPr>
                <w:color w:val="005A9E"/>
                <w:sz w:val="18"/>
                <w:szCs w:val="18"/>
              </w:rPr>
              <w:t>4 injections</w:t>
            </w:r>
          </w:p>
          <w:p w14:paraId="22C28E33" w14:textId="77777777" w:rsidR="00A75BD0" w:rsidRDefault="009D4DA5">
            <w:pPr>
              <w:ind w:right="114"/>
              <w:rPr>
                <w:color w:val="005A9E"/>
                <w:sz w:val="18"/>
                <w:szCs w:val="18"/>
              </w:rPr>
            </w:pPr>
            <w:r>
              <w:rPr>
                <w:color w:val="005A9E"/>
                <w:sz w:val="18"/>
                <w:szCs w:val="18"/>
              </w:rPr>
              <w:t xml:space="preserve">3 cycles </w:t>
            </w:r>
          </w:p>
        </w:tc>
        <w:tc>
          <w:tcPr>
            <w:tcW w:w="1134" w:type="dxa"/>
            <w:tcBorders>
              <w:top w:val="single" w:sz="4" w:space="0" w:color="000000" w:themeColor="text1"/>
              <w:bottom w:val="single" w:sz="4" w:space="0" w:color="000000" w:themeColor="text1"/>
            </w:tcBorders>
            <w:tcMar>
              <w:left w:w="28" w:type="dxa"/>
              <w:right w:w="28" w:type="dxa"/>
            </w:tcMar>
          </w:tcPr>
          <w:p w14:paraId="1CD5FF8A" w14:textId="77777777" w:rsidR="00A75BD0" w:rsidRDefault="009D4DA5">
            <w:pPr>
              <w:rPr>
                <w:color w:val="005A9E"/>
                <w:sz w:val="18"/>
                <w:szCs w:val="18"/>
              </w:rPr>
            </w:pPr>
            <w:r>
              <w:rPr>
                <w:color w:val="005A9E"/>
                <w:sz w:val="18"/>
                <w:szCs w:val="18"/>
              </w:rPr>
              <w:t>24</w:t>
            </w:r>
          </w:p>
        </w:tc>
        <w:tc>
          <w:tcPr>
            <w:tcW w:w="5297" w:type="dxa"/>
            <w:gridSpan w:val="2"/>
            <w:tcBorders>
              <w:top w:val="single" w:sz="4" w:space="0" w:color="000000" w:themeColor="text1"/>
              <w:bottom w:val="single" w:sz="4" w:space="0" w:color="000000" w:themeColor="text1"/>
            </w:tcBorders>
            <w:tcMar>
              <w:left w:w="0" w:type="dxa"/>
              <w:right w:w="0" w:type="dxa"/>
            </w:tcMar>
          </w:tcPr>
          <w:p w14:paraId="58B90FC6"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epistaxis</w:t>
            </w:r>
          </w:p>
          <w:p w14:paraId="4E9EF313" w14:textId="77777777" w:rsidR="00A75BD0" w:rsidRPr="002F6A24" w:rsidRDefault="009D4DA5">
            <w:pPr>
              <w:numPr>
                <w:ilvl w:val="0"/>
                <w:numId w:val="17"/>
              </w:numPr>
              <w:ind w:right="166"/>
              <w:jc w:val="both"/>
              <w:rPr>
                <w:rFonts w:ascii="Cambria Math" w:eastAsia="Cambria Math" w:hAnsi="Cambria Math" w:cs="Cambria Math"/>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Hb (from 5-7 g/dL to 13g/dL)</w:t>
            </w:r>
          </w:p>
        </w:tc>
      </w:tr>
      <w:tr w:rsidR="00A75BD0" w:rsidRPr="007428DF" w14:paraId="16889956"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2562E0DC" w14:textId="77777777" w:rsidR="00A75BD0" w:rsidRDefault="008853BF">
            <w:hyperlink r:id="rId38">
              <w:r w:rsidR="009D4DA5">
                <w:rPr>
                  <w:color w:val="0563C1"/>
                  <w:sz w:val="18"/>
                  <w:szCs w:val="18"/>
                  <w:u w:val="single"/>
                </w:rPr>
                <w:t>Cruikshank 2018</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5D593009" w14:textId="77777777" w:rsidR="00A75BD0" w:rsidRPr="002F6A24" w:rsidRDefault="009D4DA5">
            <w:pPr>
              <w:spacing w:after="280"/>
              <w:ind w:right="114"/>
              <w:rPr>
                <w:color w:val="005A9E"/>
                <w:sz w:val="18"/>
                <w:szCs w:val="18"/>
                <w:lang w:val="en-US"/>
              </w:rPr>
            </w:pPr>
            <w:r w:rsidRPr="002F6A24">
              <w:rPr>
                <w:color w:val="005A9E"/>
                <w:sz w:val="18"/>
                <w:szCs w:val="18"/>
                <w:lang w:val="en-US"/>
              </w:rPr>
              <w:t>1 patient  71 y</w:t>
            </w:r>
          </w:p>
          <w:p w14:paraId="4194BA7D" w14:textId="77777777" w:rsidR="00A75BD0" w:rsidRPr="002F6A24" w:rsidRDefault="009D4DA5">
            <w:pPr>
              <w:rPr>
                <w:color w:val="005A9E"/>
                <w:sz w:val="18"/>
                <w:szCs w:val="18"/>
                <w:lang w:val="en-US"/>
              </w:rPr>
            </w:pPr>
            <w:r w:rsidRPr="002F6A24">
              <w:rPr>
                <w:color w:val="005A9E"/>
                <w:sz w:val="18"/>
                <w:szCs w:val="18"/>
                <w:lang w:val="en-US"/>
              </w:rPr>
              <w:t>Blood transfusions for epistaxis, GI bleeding, hémoptysia</w:t>
            </w:r>
          </w:p>
        </w:tc>
        <w:tc>
          <w:tcPr>
            <w:tcW w:w="2552" w:type="dxa"/>
            <w:gridSpan w:val="3"/>
            <w:tcBorders>
              <w:top w:val="single" w:sz="4" w:space="0" w:color="000000" w:themeColor="text1"/>
              <w:bottom w:val="single" w:sz="4" w:space="0" w:color="000000" w:themeColor="text1"/>
            </w:tcBorders>
            <w:tcMar>
              <w:left w:w="28" w:type="dxa"/>
              <w:right w:w="28" w:type="dxa"/>
            </w:tcMar>
          </w:tcPr>
          <w:p w14:paraId="01C31280" w14:textId="77777777" w:rsidR="00A75BD0" w:rsidRDefault="009D4DA5" w:rsidP="0BA40188">
            <w:pPr>
              <w:ind w:right="114"/>
              <w:rPr>
                <w:color w:val="005A9E"/>
                <w:sz w:val="18"/>
                <w:szCs w:val="18"/>
                <w:lang w:val="fr-FR"/>
              </w:rPr>
            </w:pPr>
            <w:r w:rsidRPr="0BA40188">
              <w:rPr>
                <w:color w:val="005A9E"/>
                <w:sz w:val="18"/>
                <w:szCs w:val="18"/>
                <w:lang w:val="fr-FR"/>
              </w:rPr>
              <w:t>5 mg/kg toutes les 2 sem,</w:t>
            </w:r>
            <w:r>
              <w:br/>
            </w:r>
            <w:r w:rsidRPr="0BA40188">
              <w:rPr>
                <w:color w:val="005A9E"/>
                <w:sz w:val="18"/>
                <w:szCs w:val="18"/>
                <w:lang w:val="fr-FR"/>
              </w:rPr>
              <w:t>6 cycles</w:t>
            </w:r>
          </w:p>
          <w:p w14:paraId="33A957BF" w14:textId="77777777" w:rsidR="00A75BD0" w:rsidRDefault="00A75BD0">
            <w:pPr>
              <w:ind w:right="114"/>
              <w:rPr>
                <w:color w:val="005A9E"/>
                <w:sz w:val="18"/>
                <w:szCs w:val="18"/>
              </w:rPr>
            </w:pPr>
          </w:p>
        </w:tc>
        <w:tc>
          <w:tcPr>
            <w:tcW w:w="1134" w:type="dxa"/>
            <w:tcBorders>
              <w:top w:val="single" w:sz="4" w:space="0" w:color="000000" w:themeColor="text1"/>
              <w:bottom w:val="single" w:sz="4" w:space="0" w:color="000000" w:themeColor="text1"/>
            </w:tcBorders>
            <w:tcMar>
              <w:left w:w="28" w:type="dxa"/>
              <w:right w:w="28" w:type="dxa"/>
            </w:tcMar>
          </w:tcPr>
          <w:p w14:paraId="02980A6B" w14:textId="77777777" w:rsidR="00A75BD0" w:rsidRDefault="009D4DA5">
            <w:pPr>
              <w:rPr>
                <w:color w:val="005A9E"/>
                <w:sz w:val="18"/>
                <w:szCs w:val="18"/>
              </w:rPr>
            </w:pPr>
            <w:r>
              <w:rPr>
                <w:color w:val="005A9E"/>
                <w:sz w:val="18"/>
                <w:szCs w:val="18"/>
              </w:rPr>
              <w:t xml:space="preserve">8 </w:t>
            </w:r>
          </w:p>
        </w:tc>
        <w:tc>
          <w:tcPr>
            <w:tcW w:w="5297" w:type="dxa"/>
            <w:gridSpan w:val="2"/>
            <w:tcBorders>
              <w:top w:val="single" w:sz="4" w:space="0" w:color="000000" w:themeColor="text1"/>
              <w:bottom w:val="single" w:sz="4" w:space="0" w:color="000000" w:themeColor="text1"/>
            </w:tcBorders>
            <w:tcMar>
              <w:left w:w="0" w:type="dxa"/>
              <w:right w:w="0" w:type="dxa"/>
            </w:tcMar>
          </w:tcPr>
          <w:p w14:paraId="1DD44EB0"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Improvement of GI bleeding and epistaxis</w:t>
            </w:r>
          </w:p>
          <w:p w14:paraId="74DB8908"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Decrease in facial and digestive telangiectasias</w:t>
            </w:r>
          </w:p>
          <w:p w14:paraId="2524F99C" w14:textId="77777777" w:rsidR="00A75BD0" w:rsidRPr="002F6A24" w:rsidRDefault="00A75BD0">
            <w:pPr>
              <w:ind w:right="166"/>
              <w:jc w:val="both"/>
              <w:rPr>
                <w:lang w:val="en-US"/>
              </w:rPr>
            </w:pPr>
          </w:p>
        </w:tc>
      </w:tr>
      <w:tr w:rsidR="00A75BD0" w:rsidRPr="007428DF" w14:paraId="2714CCD0"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116F2C8C" w14:textId="77777777" w:rsidR="00A75BD0" w:rsidRDefault="008853BF">
            <w:hyperlink r:id="rId39">
              <w:r w:rsidR="009D4DA5">
                <w:rPr>
                  <w:color w:val="0563C1"/>
                  <w:sz w:val="18"/>
                  <w:szCs w:val="18"/>
                  <w:u w:val="single"/>
                </w:rPr>
                <w:t>Fleagle 2012</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710CA217" w14:textId="77777777" w:rsidR="00A75BD0" w:rsidRPr="002F6A24" w:rsidRDefault="009D4DA5">
            <w:pPr>
              <w:spacing w:after="200"/>
              <w:ind w:right="114"/>
              <w:rPr>
                <w:color w:val="005A9E"/>
                <w:sz w:val="18"/>
                <w:szCs w:val="18"/>
                <w:lang w:val="en-US"/>
              </w:rPr>
            </w:pPr>
            <w:r w:rsidRPr="002F6A24">
              <w:rPr>
                <w:color w:val="005A9E"/>
                <w:sz w:val="18"/>
                <w:szCs w:val="18"/>
                <w:lang w:val="en-US"/>
              </w:rPr>
              <w:t>1 patient 52 y</w:t>
            </w:r>
          </w:p>
          <w:p w14:paraId="0CB34525" w14:textId="77777777" w:rsidR="00A75BD0" w:rsidRPr="002F6A24" w:rsidRDefault="009D4DA5">
            <w:pPr>
              <w:rPr>
                <w:color w:val="005A9E"/>
                <w:sz w:val="18"/>
                <w:szCs w:val="18"/>
                <w:lang w:val="en-US"/>
              </w:rPr>
            </w:pPr>
            <w:r w:rsidRPr="002F6A24">
              <w:rPr>
                <w:color w:val="005A9E"/>
                <w:sz w:val="18"/>
                <w:szCs w:val="18"/>
                <w:lang w:val="en-US"/>
              </w:rPr>
              <w:t>Blood transfusions for epistaxis, GI bleedings</w:t>
            </w:r>
          </w:p>
        </w:tc>
        <w:tc>
          <w:tcPr>
            <w:tcW w:w="2552" w:type="dxa"/>
            <w:gridSpan w:val="3"/>
            <w:tcBorders>
              <w:top w:val="single" w:sz="4" w:space="0" w:color="000000" w:themeColor="text1"/>
              <w:bottom w:val="single" w:sz="4" w:space="0" w:color="000000" w:themeColor="text1"/>
            </w:tcBorders>
            <w:tcMar>
              <w:left w:w="28" w:type="dxa"/>
              <w:right w:w="28" w:type="dxa"/>
            </w:tcMar>
          </w:tcPr>
          <w:p w14:paraId="5470486C" w14:textId="77777777" w:rsidR="00A75BD0" w:rsidRDefault="009D4DA5" w:rsidP="0BA40188">
            <w:pPr>
              <w:spacing w:after="200"/>
              <w:ind w:right="306"/>
              <w:rPr>
                <w:color w:val="005A9E"/>
                <w:sz w:val="18"/>
                <w:szCs w:val="18"/>
                <w:lang w:val="fr-FR"/>
              </w:rPr>
            </w:pPr>
            <w:r w:rsidRPr="0BA40188">
              <w:rPr>
                <w:color w:val="005A9E"/>
                <w:sz w:val="18"/>
                <w:szCs w:val="18"/>
                <w:lang w:val="fr-FR"/>
              </w:rPr>
              <w:t>5 mg/kg /2 weeks</w:t>
            </w:r>
          </w:p>
          <w:p w14:paraId="729748F9" w14:textId="77777777" w:rsidR="00A75BD0" w:rsidRDefault="009D4DA5">
            <w:pPr>
              <w:ind w:right="114"/>
              <w:rPr>
                <w:color w:val="005A9E"/>
                <w:sz w:val="18"/>
                <w:szCs w:val="18"/>
              </w:rPr>
            </w:pPr>
            <w:r>
              <w:rPr>
                <w:color w:val="005A9E"/>
                <w:sz w:val="18"/>
                <w:szCs w:val="18"/>
              </w:rPr>
              <w:t xml:space="preserve">4 injections </w:t>
            </w:r>
          </w:p>
        </w:tc>
        <w:tc>
          <w:tcPr>
            <w:tcW w:w="1134" w:type="dxa"/>
            <w:tcBorders>
              <w:top w:val="single" w:sz="4" w:space="0" w:color="000000" w:themeColor="text1"/>
              <w:bottom w:val="single" w:sz="4" w:space="0" w:color="000000" w:themeColor="text1"/>
            </w:tcBorders>
            <w:tcMar>
              <w:left w:w="28" w:type="dxa"/>
              <w:right w:w="28" w:type="dxa"/>
            </w:tcMar>
          </w:tcPr>
          <w:p w14:paraId="30D76E52" w14:textId="77777777" w:rsidR="00A75BD0" w:rsidRDefault="009D4DA5">
            <w:pPr>
              <w:rPr>
                <w:color w:val="005A9E"/>
                <w:sz w:val="18"/>
                <w:szCs w:val="18"/>
              </w:rPr>
            </w:pPr>
            <w:r>
              <w:rPr>
                <w:sz w:val="18"/>
                <w:szCs w:val="18"/>
              </w:rPr>
              <w:t>8</w:t>
            </w:r>
          </w:p>
        </w:tc>
        <w:tc>
          <w:tcPr>
            <w:tcW w:w="5297" w:type="dxa"/>
            <w:gridSpan w:val="2"/>
            <w:tcBorders>
              <w:top w:val="single" w:sz="4" w:space="0" w:color="000000" w:themeColor="text1"/>
              <w:bottom w:val="single" w:sz="4" w:space="0" w:color="000000" w:themeColor="text1"/>
            </w:tcBorders>
            <w:tcMar>
              <w:left w:w="0" w:type="dxa"/>
              <w:right w:w="0" w:type="dxa"/>
            </w:tcMar>
          </w:tcPr>
          <w:p w14:paraId="53B00EFD"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 xml:space="preserve">Improvement in bleeding </w:t>
            </w:r>
          </w:p>
          <w:p w14:paraId="243BD987" w14:textId="77777777" w:rsidR="00A75BD0" w:rsidRPr="002F6A24" w:rsidRDefault="009D4DA5">
            <w:pPr>
              <w:numPr>
                <w:ilvl w:val="0"/>
                <w:numId w:val="17"/>
              </w:numPr>
              <w:ind w:right="166"/>
              <w:jc w:val="both"/>
              <w:rPr>
                <w:rFonts w:ascii="Cambria Math" w:eastAsia="Cambria Math" w:hAnsi="Cambria Math" w:cs="Cambria Math"/>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Hb (from 6.4 g/dL to 13.7g/dL at 4 months) </w:t>
            </w:r>
          </w:p>
        </w:tc>
      </w:tr>
      <w:tr w:rsidR="00A75BD0" w:rsidRPr="007428DF" w14:paraId="684E41FF"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640206F3" w14:textId="77777777" w:rsidR="00A75BD0" w:rsidRDefault="008853BF">
            <w:pPr>
              <w:rPr>
                <w:color w:val="005A9E"/>
                <w:sz w:val="18"/>
                <w:szCs w:val="18"/>
                <w:vertAlign w:val="superscript"/>
              </w:rPr>
            </w:pPr>
            <w:hyperlink r:id="rId40">
              <w:r w:rsidR="009D4DA5">
                <w:rPr>
                  <w:color w:val="0563C1"/>
                  <w:sz w:val="18"/>
                  <w:szCs w:val="18"/>
                  <w:u w:val="single"/>
                </w:rPr>
                <w:t>Föllner 2012</w:t>
              </w:r>
            </w:hyperlink>
            <w:r w:rsidR="009D4DA5">
              <w:rPr>
                <w:color w:val="005A9E"/>
                <w:sz w:val="18"/>
                <w:szCs w:val="18"/>
                <w:vertAlign w:val="superscript"/>
              </w:rPr>
              <w:t xml:space="preserve"> </w:t>
            </w:r>
          </w:p>
        </w:tc>
        <w:tc>
          <w:tcPr>
            <w:tcW w:w="4677" w:type="dxa"/>
            <w:gridSpan w:val="2"/>
            <w:tcBorders>
              <w:top w:val="single" w:sz="4" w:space="0" w:color="000000" w:themeColor="text1"/>
              <w:bottom w:val="single" w:sz="4" w:space="0" w:color="000000" w:themeColor="text1"/>
            </w:tcBorders>
            <w:tcMar>
              <w:left w:w="28" w:type="dxa"/>
              <w:right w:w="28" w:type="dxa"/>
            </w:tcMar>
          </w:tcPr>
          <w:p w14:paraId="3CD18BBE" w14:textId="77777777" w:rsidR="00A75BD0" w:rsidRPr="002F6A24" w:rsidRDefault="009D4DA5">
            <w:pPr>
              <w:rPr>
                <w:color w:val="005A9E"/>
                <w:sz w:val="18"/>
                <w:szCs w:val="18"/>
                <w:lang w:val="en-US"/>
              </w:rPr>
            </w:pPr>
            <w:r w:rsidRPr="002F6A24">
              <w:rPr>
                <w:color w:val="005A9E"/>
                <w:sz w:val="18"/>
                <w:szCs w:val="18"/>
                <w:lang w:val="en-US"/>
              </w:rPr>
              <w:t>2 patients 82 and 55 y with severe epistaxis, GI bleedings and blood transfusions</w:t>
            </w:r>
          </w:p>
        </w:tc>
        <w:tc>
          <w:tcPr>
            <w:tcW w:w="2552" w:type="dxa"/>
            <w:gridSpan w:val="3"/>
            <w:tcBorders>
              <w:top w:val="single" w:sz="4" w:space="0" w:color="000000" w:themeColor="text1"/>
              <w:bottom w:val="single" w:sz="4" w:space="0" w:color="000000" w:themeColor="text1"/>
            </w:tcBorders>
            <w:tcMar>
              <w:left w:w="28" w:type="dxa"/>
              <w:right w:w="28" w:type="dxa"/>
            </w:tcMar>
          </w:tcPr>
          <w:p w14:paraId="4DEACE57" w14:textId="77777777" w:rsidR="00A75BD0" w:rsidRDefault="009D4DA5">
            <w:pPr>
              <w:ind w:right="114"/>
              <w:rPr>
                <w:color w:val="005A9E"/>
                <w:sz w:val="18"/>
                <w:szCs w:val="18"/>
              </w:rPr>
            </w:pPr>
            <w:r>
              <w:rPr>
                <w:color w:val="005A9E"/>
                <w:sz w:val="18"/>
                <w:szCs w:val="18"/>
              </w:rPr>
              <w:t>5 mg/kg /2weeks</w:t>
            </w:r>
          </w:p>
          <w:p w14:paraId="43FAC309" w14:textId="77777777" w:rsidR="00A75BD0" w:rsidRDefault="009D4DA5">
            <w:pPr>
              <w:ind w:right="114"/>
              <w:rPr>
                <w:color w:val="005A9E"/>
                <w:sz w:val="18"/>
                <w:szCs w:val="18"/>
              </w:rPr>
            </w:pPr>
            <w:r>
              <w:rPr>
                <w:color w:val="005A9E"/>
                <w:sz w:val="18"/>
                <w:szCs w:val="18"/>
              </w:rPr>
              <w:t>(3 injections)</w:t>
            </w:r>
          </w:p>
        </w:tc>
        <w:tc>
          <w:tcPr>
            <w:tcW w:w="1134" w:type="dxa"/>
            <w:tcBorders>
              <w:top w:val="single" w:sz="4" w:space="0" w:color="000000" w:themeColor="text1"/>
              <w:bottom w:val="single" w:sz="4" w:space="0" w:color="000000" w:themeColor="text1"/>
            </w:tcBorders>
            <w:tcMar>
              <w:left w:w="28" w:type="dxa"/>
              <w:right w:w="28" w:type="dxa"/>
            </w:tcMar>
          </w:tcPr>
          <w:p w14:paraId="06190B89" w14:textId="77777777" w:rsidR="00A75BD0" w:rsidRDefault="009D4DA5">
            <w:pPr>
              <w:rPr>
                <w:color w:val="005A9E"/>
                <w:sz w:val="18"/>
                <w:szCs w:val="18"/>
              </w:rPr>
            </w:pPr>
            <w:r>
              <w:rPr>
                <w:color w:val="005A9E"/>
                <w:sz w:val="18"/>
                <w:szCs w:val="18"/>
              </w:rPr>
              <w:t>24</w:t>
            </w:r>
          </w:p>
        </w:tc>
        <w:tc>
          <w:tcPr>
            <w:tcW w:w="5297" w:type="dxa"/>
            <w:gridSpan w:val="2"/>
            <w:tcBorders>
              <w:top w:val="single" w:sz="4" w:space="0" w:color="000000" w:themeColor="text1"/>
              <w:bottom w:val="single" w:sz="4" w:space="0" w:color="000000" w:themeColor="text1"/>
            </w:tcBorders>
            <w:tcMar>
              <w:left w:w="0" w:type="dxa"/>
              <w:right w:w="0" w:type="dxa"/>
            </w:tcMar>
          </w:tcPr>
          <w:p w14:paraId="09DC4364"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blood transfusions for 6 weeks</w:t>
            </w:r>
          </w:p>
          <w:p w14:paraId="621204C7"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No efficacy for the second patient</w:t>
            </w:r>
          </w:p>
        </w:tc>
      </w:tr>
      <w:tr w:rsidR="00A75BD0" w14:paraId="575B9B57" w14:textId="77777777" w:rsidTr="0BA40188">
        <w:trPr>
          <w:trHeight w:val="1121"/>
        </w:trPr>
        <w:tc>
          <w:tcPr>
            <w:tcW w:w="1273" w:type="dxa"/>
            <w:tcBorders>
              <w:top w:val="single" w:sz="4" w:space="0" w:color="000000" w:themeColor="text1"/>
              <w:bottom w:val="single" w:sz="4" w:space="0" w:color="000000" w:themeColor="text1"/>
            </w:tcBorders>
            <w:tcMar>
              <w:left w:w="28" w:type="dxa"/>
              <w:right w:w="28" w:type="dxa"/>
            </w:tcMar>
          </w:tcPr>
          <w:p w14:paraId="1D46CF92" w14:textId="77777777" w:rsidR="00A75BD0" w:rsidRDefault="008853BF">
            <w:pPr>
              <w:rPr>
                <w:color w:val="005A9E"/>
                <w:sz w:val="18"/>
                <w:szCs w:val="18"/>
                <w:vertAlign w:val="superscript"/>
              </w:rPr>
            </w:pPr>
            <w:hyperlink r:id="rId41">
              <w:r w:rsidR="009D4DA5">
                <w:rPr>
                  <w:color w:val="0563C1"/>
                  <w:sz w:val="18"/>
                  <w:szCs w:val="18"/>
                  <w:u w:val="single"/>
                </w:rPr>
                <w:t>Lupu 2013</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4095D826" w14:textId="77777777" w:rsidR="00A75BD0" w:rsidRDefault="009D4DA5">
            <w:pPr>
              <w:rPr>
                <w:color w:val="005A9E"/>
                <w:sz w:val="18"/>
                <w:szCs w:val="18"/>
              </w:rPr>
            </w:pPr>
            <w:r>
              <w:rPr>
                <w:color w:val="005A9E"/>
                <w:sz w:val="18"/>
                <w:szCs w:val="18"/>
              </w:rPr>
              <w:t xml:space="preserve">1 patient 85y  </w:t>
            </w:r>
          </w:p>
          <w:p w14:paraId="4F9207EA" w14:textId="77777777" w:rsidR="00A75BD0" w:rsidRDefault="009D4DA5" w:rsidP="0BA40188">
            <w:pPr>
              <w:numPr>
                <w:ilvl w:val="0"/>
                <w:numId w:val="21"/>
              </w:numPr>
              <w:pBdr>
                <w:top w:val="nil"/>
                <w:left w:val="nil"/>
                <w:bottom w:val="nil"/>
                <w:right w:val="nil"/>
                <w:between w:val="nil"/>
              </w:pBdr>
              <w:spacing w:line="276" w:lineRule="auto"/>
              <w:ind w:left="256" w:hanging="256"/>
              <w:rPr>
                <w:color w:val="005A9E"/>
                <w:sz w:val="18"/>
                <w:szCs w:val="18"/>
                <w:lang w:val="fr-FR"/>
              </w:rPr>
            </w:pPr>
            <w:r w:rsidRPr="0BA40188">
              <w:rPr>
                <w:color w:val="005A9E"/>
                <w:sz w:val="18"/>
                <w:szCs w:val="18"/>
                <w:lang w:val="fr-FR"/>
              </w:rPr>
              <w:t>severe epistaxis</w:t>
            </w:r>
          </w:p>
          <w:p w14:paraId="30467B3E" w14:textId="77777777" w:rsidR="00A75BD0" w:rsidRDefault="009D4DA5" w:rsidP="0BA40188">
            <w:pPr>
              <w:numPr>
                <w:ilvl w:val="0"/>
                <w:numId w:val="21"/>
              </w:numPr>
              <w:pBdr>
                <w:top w:val="nil"/>
                <w:left w:val="nil"/>
                <w:bottom w:val="nil"/>
                <w:right w:val="nil"/>
                <w:between w:val="nil"/>
              </w:pBdr>
              <w:spacing w:line="276" w:lineRule="auto"/>
              <w:ind w:left="256" w:hanging="256"/>
              <w:rPr>
                <w:color w:val="005A9E"/>
                <w:sz w:val="18"/>
                <w:szCs w:val="18"/>
                <w:lang w:val="fr-FR"/>
              </w:rPr>
            </w:pPr>
            <w:r w:rsidRPr="0BA40188">
              <w:rPr>
                <w:color w:val="005A9E"/>
                <w:sz w:val="18"/>
                <w:szCs w:val="18"/>
                <w:lang w:val="fr-FR"/>
              </w:rPr>
              <w:t>GI bleedings</w:t>
            </w:r>
          </w:p>
          <w:p w14:paraId="1AF2CE32" w14:textId="77777777" w:rsidR="00A75BD0" w:rsidRDefault="009D4DA5" w:rsidP="0BA40188">
            <w:pPr>
              <w:numPr>
                <w:ilvl w:val="0"/>
                <w:numId w:val="21"/>
              </w:numPr>
              <w:pBdr>
                <w:top w:val="nil"/>
                <w:left w:val="nil"/>
                <w:bottom w:val="nil"/>
                <w:right w:val="nil"/>
                <w:between w:val="nil"/>
              </w:pBdr>
              <w:spacing w:line="276" w:lineRule="auto"/>
              <w:ind w:left="256" w:hanging="256"/>
              <w:rPr>
                <w:color w:val="005A9E"/>
                <w:sz w:val="18"/>
                <w:szCs w:val="18"/>
                <w:lang w:val="fr-FR"/>
              </w:rPr>
            </w:pPr>
            <w:r w:rsidRPr="0BA40188">
              <w:rPr>
                <w:color w:val="005A9E"/>
                <w:sz w:val="18"/>
                <w:szCs w:val="18"/>
                <w:lang w:val="fr-FR"/>
              </w:rPr>
              <w:t>blood transfusions</w:t>
            </w:r>
          </w:p>
          <w:p w14:paraId="6FDD1161" w14:textId="77777777" w:rsidR="00A75BD0" w:rsidRDefault="009D4DA5" w:rsidP="0BA40188">
            <w:pPr>
              <w:numPr>
                <w:ilvl w:val="0"/>
                <w:numId w:val="21"/>
              </w:numPr>
              <w:pBdr>
                <w:top w:val="nil"/>
                <w:left w:val="nil"/>
                <w:bottom w:val="nil"/>
                <w:right w:val="nil"/>
                <w:between w:val="nil"/>
              </w:pBdr>
              <w:spacing w:line="276" w:lineRule="auto"/>
              <w:ind w:left="256" w:hanging="256"/>
              <w:rPr>
                <w:color w:val="005A9E"/>
                <w:sz w:val="18"/>
                <w:szCs w:val="18"/>
                <w:lang w:val="fr-FR"/>
              </w:rPr>
            </w:pPr>
            <w:r w:rsidRPr="0BA40188">
              <w:rPr>
                <w:color w:val="005A9E"/>
                <w:sz w:val="18"/>
                <w:szCs w:val="18"/>
                <w:lang w:val="fr-FR"/>
              </w:rPr>
              <w:t>High cardiac output</w:t>
            </w:r>
          </w:p>
        </w:tc>
        <w:tc>
          <w:tcPr>
            <w:tcW w:w="2552" w:type="dxa"/>
            <w:gridSpan w:val="3"/>
            <w:tcBorders>
              <w:top w:val="single" w:sz="4" w:space="0" w:color="000000" w:themeColor="text1"/>
              <w:bottom w:val="single" w:sz="4" w:space="0" w:color="000000" w:themeColor="text1"/>
            </w:tcBorders>
            <w:tcMar>
              <w:left w:w="28" w:type="dxa"/>
              <w:right w:w="28" w:type="dxa"/>
            </w:tcMar>
          </w:tcPr>
          <w:p w14:paraId="0EF09F71" w14:textId="77777777" w:rsidR="00A75BD0" w:rsidRPr="002F6A24" w:rsidRDefault="009D4DA5">
            <w:pPr>
              <w:ind w:right="114"/>
              <w:rPr>
                <w:color w:val="005A9E"/>
                <w:sz w:val="18"/>
                <w:szCs w:val="18"/>
                <w:lang w:val="en-US"/>
              </w:rPr>
            </w:pPr>
            <w:r w:rsidRPr="002F6A24">
              <w:rPr>
                <w:color w:val="005A9E"/>
                <w:sz w:val="18"/>
                <w:szCs w:val="18"/>
                <w:lang w:val="en-US"/>
              </w:rPr>
              <w:t>3 mg/kg/ 3 weeks:  15 injections, then 3 mg/kg/3 weeks: 1 year</w:t>
            </w:r>
          </w:p>
        </w:tc>
        <w:tc>
          <w:tcPr>
            <w:tcW w:w="1134" w:type="dxa"/>
            <w:tcBorders>
              <w:top w:val="single" w:sz="4" w:space="0" w:color="000000" w:themeColor="text1"/>
              <w:bottom w:val="single" w:sz="4" w:space="0" w:color="000000" w:themeColor="text1"/>
            </w:tcBorders>
            <w:tcMar>
              <w:left w:w="28" w:type="dxa"/>
              <w:right w:w="28" w:type="dxa"/>
            </w:tcMar>
          </w:tcPr>
          <w:p w14:paraId="4021666D" w14:textId="77777777" w:rsidR="00A75BD0" w:rsidRDefault="009D4DA5">
            <w:pPr>
              <w:rPr>
                <w:color w:val="005A9E"/>
                <w:sz w:val="18"/>
                <w:szCs w:val="18"/>
              </w:rPr>
            </w:pPr>
            <w:r>
              <w:rPr>
                <w:color w:val="005A9E"/>
                <w:sz w:val="18"/>
                <w:szCs w:val="18"/>
              </w:rPr>
              <w:t>12</w:t>
            </w:r>
          </w:p>
        </w:tc>
        <w:tc>
          <w:tcPr>
            <w:tcW w:w="5297" w:type="dxa"/>
            <w:gridSpan w:val="2"/>
            <w:tcBorders>
              <w:top w:val="single" w:sz="4" w:space="0" w:color="000000" w:themeColor="text1"/>
              <w:bottom w:val="single" w:sz="4" w:space="0" w:color="000000" w:themeColor="text1"/>
            </w:tcBorders>
            <w:tcMar>
              <w:left w:w="0" w:type="dxa"/>
              <w:right w:w="0" w:type="dxa"/>
            </w:tcMar>
          </w:tcPr>
          <w:p w14:paraId="5C633C29"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Hb </w:t>
            </w:r>
          </w:p>
          <w:p w14:paraId="6607E58E"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Stop blood transfusions</w:t>
            </w:r>
          </w:p>
          <w:p w14:paraId="57FE71AB"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 more epistaxis</w:t>
            </w:r>
          </w:p>
        </w:tc>
      </w:tr>
      <w:tr w:rsidR="00A75BD0" w14:paraId="791AAF6C"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706339DC" w14:textId="77777777" w:rsidR="00A75BD0" w:rsidRDefault="008853BF">
            <w:pPr>
              <w:rPr>
                <w:color w:val="005A9E"/>
                <w:sz w:val="18"/>
                <w:szCs w:val="18"/>
              </w:rPr>
            </w:pPr>
            <w:hyperlink r:id="rId42">
              <w:r w:rsidR="009D4DA5">
                <w:rPr>
                  <w:color w:val="0563C1"/>
                  <w:sz w:val="18"/>
                  <w:szCs w:val="18"/>
                  <w:u w:val="single"/>
                </w:rPr>
                <w:t>Chavan 2013</w:t>
              </w:r>
            </w:hyperlink>
            <w:r w:rsidR="009D4DA5">
              <w:rPr>
                <w:color w:val="005A9E"/>
                <w:sz w:val="18"/>
                <w:szCs w:val="18"/>
              </w:rPr>
              <w:t xml:space="preserve"> </w:t>
            </w:r>
          </w:p>
        </w:tc>
        <w:tc>
          <w:tcPr>
            <w:tcW w:w="4677" w:type="dxa"/>
            <w:gridSpan w:val="2"/>
            <w:tcBorders>
              <w:top w:val="single" w:sz="4" w:space="0" w:color="000000" w:themeColor="text1"/>
              <w:bottom w:val="single" w:sz="4" w:space="0" w:color="000000" w:themeColor="text1"/>
            </w:tcBorders>
            <w:tcMar>
              <w:left w:w="28" w:type="dxa"/>
              <w:right w:w="28" w:type="dxa"/>
            </w:tcMar>
          </w:tcPr>
          <w:p w14:paraId="29AFA449" w14:textId="77777777" w:rsidR="00A75BD0" w:rsidRPr="002F6A24" w:rsidRDefault="009D4DA5">
            <w:pPr>
              <w:rPr>
                <w:color w:val="005A9E"/>
                <w:sz w:val="18"/>
                <w:szCs w:val="18"/>
                <w:lang w:val="en-US"/>
              </w:rPr>
            </w:pPr>
            <w:r w:rsidRPr="002F6A24">
              <w:rPr>
                <w:color w:val="005A9E"/>
                <w:sz w:val="18"/>
                <w:szCs w:val="18"/>
                <w:lang w:val="en-US"/>
              </w:rPr>
              <w:t>3 patients 63, 57, 32 y with epistaxis and high cardiac output</w:t>
            </w:r>
          </w:p>
        </w:tc>
        <w:tc>
          <w:tcPr>
            <w:tcW w:w="2552" w:type="dxa"/>
            <w:gridSpan w:val="3"/>
            <w:tcBorders>
              <w:top w:val="single" w:sz="4" w:space="0" w:color="000000" w:themeColor="text1"/>
              <w:bottom w:val="single" w:sz="4" w:space="0" w:color="000000" w:themeColor="text1"/>
            </w:tcBorders>
            <w:tcMar>
              <w:left w:w="28" w:type="dxa"/>
              <w:right w:w="28" w:type="dxa"/>
            </w:tcMar>
          </w:tcPr>
          <w:p w14:paraId="523E45A2" w14:textId="77777777" w:rsidR="00A75BD0" w:rsidRPr="002F6A24" w:rsidRDefault="009D4DA5">
            <w:pPr>
              <w:ind w:right="114"/>
              <w:rPr>
                <w:color w:val="005A9E"/>
                <w:sz w:val="18"/>
                <w:szCs w:val="18"/>
                <w:lang w:val="en-US"/>
              </w:rPr>
            </w:pPr>
            <w:r w:rsidRPr="002F6A24">
              <w:rPr>
                <w:color w:val="005A9E"/>
                <w:sz w:val="18"/>
                <w:szCs w:val="18"/>
                <w:lang w:val="en-US"/>
              </w:rPr>
              <w:t>5 mg/kg/2 weeks</w:t>
            </w:r>
          </w:p>
          <w:p w14:paraId="3A022BC6" w14:textId="77777777" w:rsidR="00A75BD0" w:rsidRPr="002F6A24" w:rsidRDefault="009D4DA5">
            <w:pPr>
              <w:ind w:right="114"/>
              <w:rPr>
                <w:color w:val="005A9E"/>
                <w:sz w:val="18"/>
                <w:szCs w:val="18"/>
                <w:lang w:val="en-US"/>
              </w:rPr>
            </w:pPr>
            <w:r w:rsidRPr="002F6A24">
              <w:rPr>
                <w:color w:val="005A9E"/>
                <w:sz w:val="18"/>
                <w:szCs w:val="18"/>
                <w:lang w:val="en-US"/>
              </w:rPr>
              <w:t xml:space="preserve">total of 6 injections </w:t>
            </w:r>
          </w:p>
        </w:tc>
        <w:tc>
          <w:tcPr>
            <w:tcW w:w="1134" w:type="dxa"/>
            <w:tcBorders>
              <w:top w:val="single" w:sz="4" w:space="0" w:color="000000" w:themeColor="text1"/>
              <w:bottom w:val="single" w:sz="4" w:space="0" w:color="000000" w:themeColor="text1"/>
            </w:tcBorders>
            <w:tcMar>
              <w:left w:w="28" w:type="dxa"/>
              <w:right w:w="28" w:type="dxa"/>
            </w:tcMar>
          </w:tcPr>
          <w:p w14:paraId="00560F32" w14:textId="77777777" w:rsidR="00A75BD0" w:rsidRPr="002F6A24" w:rsidRDefault="00A75BD0">
            <w:pPr>
              <w:rPr>
                <w:color w:val="005A9E"/>
                <w:sz w:val="18"/>
                <w:szCs w:val="18"/>
                <w:lang w:val="en-US"/>
              </w:rPr>
            </w:pPr>
          </w:p>
        </w:tc>
        <w:tc>
          <w:tcPr>
            <w:tcW w:w="5297" w:type="dxa"/>
            <w:gridSpan w:val="2"/>
            <w:tcBorders>
              <w:top w:val="single" w:sz="4" w:space="0" w:color="000000" w:themeColor="text1"/>
              <w:bottom w:val="single" w:sz="4" w:space="0" w:color="000000" w:themeColor="text1"/>
            </w:tcBorders>
            <w:tcMar>
              <w:left w:w="0" w:type="dxa"/>
              <w:right w:w="0" w:type="dxa"/>
            </w:tcMar>
          </w:tcPr>
          <w:p w14:paraId="0091907D"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Epistaxis and cardiac index improvement</w:t>
            </w:r>
          </w:p>
          <w:p w14:paraId="6B60BC0A" w14:textId="77777777" w:rsidR="00A75BD0" w:rsidRDefault="00A75BD0">
            <w:pPr>
              <w:ind w:right="166"/>
              <w:jc w:val="both"/>
              <w:rPr>
                <w:color w:val="005A9E"/>
                <w:sz w:val="18"/>
                <w:szCs w:val="18"/>
              </w:rPr>
            </w:pPr>
          </w:p>
        </w:tc>
      </w:tr>
      <w:tr w:rsidR="00A75BD0" w:rsidRPr="007428DF" w14:paraId="5D6C6AB3"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0FC8B51A" w14:textId="77777777" w:rsidR="00A75BD0" w:rsidRDefault="008853BF">
            <w:hyperlink r:id="rId43">
              <w:r w:rsidR="009D4DA5">
                <w:rPr>
                  <w:color w:val="0563C1"/>
                  <w:sz w:val="18"/>
                  <w:szCs w:val="18"/>
                  <w:u w:val="single"/>
                </w:rPr>
                <w:t>Vlachou 2013</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21D86B75" w14:textId="77777777" w:rsidR="00A75BD0" w:rsidRDefault="009D4DA5">
            <w:pPr>
              <w:ind w:right="306"/>
              <w:rPr>
                <w:color w:val="005A9E"/>
                <w:sz w:val="18"/>
                <w:szCs w:val="18"/>
              </w:rPr>
            </w:pPr>
            <w:r>
              <w:rPr>
                <w:color w:val="005A9E"/>
                <w:sz w:val="18"/>
                <w:szCs w:val="18"/>
              </w:rPr>
              <w:t>1 patient 43 y</w:t>
            </w:r>
          </w:p>
          <w:p w14:paraId="069F2626" w14:textId="77777777" w:rsidR="00A75BD0" w:rsidRPr="002F6A24" w:rsidRDefault="009D4DA5">
            <w:pPr>
              <w:ind w:right="306"/>
              <w:rPr>
                <w:color w:val="005A9E"/>
                <w:sz w:val="18"/>
                <w:szCs w:val="18"/>
                <w:lang w:val="en-US"/>
              </w:rPr>
            </w:pPr>
            <w:r w:rsidRPr="002F6A24">
              <w:rPr>
                <w:color w:val="005A9E"/>
                <w:sz w:val="18"/>
                <w:szCs w:val="18"/>
                <w:lang w:val="en-US"/>
              </w:rPr>
              <w:t>1 patient 32 y : Blood tranfusions for epistaxis and GI bleedings</w:t>
            </w:r>
          </w:p>
          <w:p w14:paraId="22872D97" w14:textId="77777777" w:rsidR="00A75BD0" w:rsidRPr="002F6A24" w:rsidRDefault="009D4DA5">
            <w:pPr>
              <w:rPr>
                <w:color w:val="005A9E"/>
                <w:sz w:val="18"/>
                <w:szCs w:val="18"/>
                <w:lang w:val="en-US"/>
              </w:rPr>
            </w:pPr>
            <w:r w:rsidRPr="002F6A24">
              <w:rPr>
                <w:color w:val="005A9E"/>
                <w:sz w:val="18"/>
                <w:szCs w:val="18"/>
                <w:lang w:val="en-US"/>
              </w:rPr>
              <w:t>1 patient 25 y: High cardiac output</w:t>
            </w:r>
          </w:p>
        </w:tc>
        <w:tc>
          <w:tcPr>
            <w:tcW w:w="2552" w:type="dxa"/>
            <w:gridSpan w:val="3"/>
            <w:tcBorders>
              <w:top w:val="single" w:sz="4" w:space="0" w:color="000000" w:themeColor="text1"/>
              <w:bottom w:val="single" w:sz="4" w:space="0" w:color="000000" w:themeColor="text1"/>
            </w:tcBorders>
            <w:tcMar>
              <w:left w:w="28" w:type="dxa"/>
              <w:right w:w="28" w:type="dxa"/>
            </w:tcMar>
          </w:tcPr>
          <w:p w14:paraId="36ECACA8" w14:textId="77777777" w:rsidR="00A75BD0" w:rsidRPr="002F6A24" w:rsidRDefault="009D4DA5">
            <w:pPr>
              <w:rPr>
                <w:color w:val="005A9E"/>
                <w:sz w:val="18"/>
                <w:szCs w:val="18"/>
                <w:lang w:val="en-US"/>
              </w:rPr>
            </w:pPr>
            <w:r w:rsidRPr="002F6A24">
              <w:rPr>
                <w:color w:val="005A9E"/>
                <w:sz w:val="18"/>
                <w:szCs w:val="18"/>
                <w:lang w:val="en-US"/>
              </w:rPr>
              <w:t>5 mg/kg / 2 weeks</w:t>
            </w:r>
          </w:p>
          <w:p w14:paraId="30A888B7" w14:textId="77777777" w:rsidR="00A75BD0" w:rsidRPr="002F6A24" w:rsidRDefault="009D4DA5">
            <w:pPr>
              <w:rPr>
                <w:color w:val="005A9E"/>
                <w:sz w:val="18"/>
                <w:szCs w:val="18"/>
                <w:lang w:val="en-US"/>
              </w:rPr>
            </w:pPr>
            <w:r w:rsidRPr="002F6A24">
              <w:rPr>
                <w:color w:val="005A9E"/>
                <w:sz w:val="18"/>
                <w:szCs w:val="18"/>
                <w:lang w:val="en-US"/>
              </w:rPr>
              <w:t xml:space="preserve">6 injections </w:t>
            </w:r>
          </w:p>
          <w:p w14:paraId="4C91AC98" w14:textId="77777777" w:rsidR="00A75BD0" w:rsidRPr="002F6A24" w:rsidRDefault="009D4DA5">
            <w:pPr>
              <w:rPr>
                <w:color w:val="005A9E"/>
                <w:sz w:val="18"/>
                <w:szCs w:val="18"/>
                <w:lang w:val="en-US"/>
              </w:rPr>
            </w:pPr>
            <w:r w:rsidRPr="002F6A24">
              <w:rPr>
                <w:color w:val="005A9E"/>
                <w:sz w:val="18"/>
                <w:szCs w:val="18"/>
                <w:lang w:val="en-US"/>
              </w:rPr>
              <w:t>Continuous maintenance every 3 months during 1 year</w:t>
            </w:r>
          </w:p>
          <w:p w14:paraId="0B973470" w14:textId="77777777" w:rsidR="00A75BD0" w:rsidRPr="002F6A24" w:rsidRDefault="00A75BD0">
            <w:pPr>
              <w:rPr>
                <w:color w:val="005A9E"/>
                <w:sz w:val="18"/>
                <w:szCs w:val="18"/>
                <w:lang w:val="en-US"/>
              </w:rPr>
            </w:pPr>
          </w:p>
          <w:p w14:paraId="42C371C6" w14:textId="77777777" w:rsidR="00A75BD0" w:rsidRPr="002F6A24" w:rsidRDefault="009D4DA5">
            <w:pPr>
              <w:ind w:right="114"/>
              <w:rPr>
                <w:color w:val="005A9E"/>
                <w:sz w:val="18"/>
                <w:szCs w:val="18"/>
                <w:lang w:val="en-US"/>
              </w:rPr>
            </w:pPr>
            <w:r w:rsidRPr="002F6A24">
              <w:rPr>
                <w:color w:val="005A9E"/>
                <w:sz w:val="18"/>
                <w:szCs w:val="18"/>
                <w:lang w:val="en-US"/>
              </w:rPr>
              <w:t>5 mg/kg / 2 weeks</w:t>
            </w:r>
            <w:r w:rsidRPr="002F6A24">
              <w:rPr>
                <w:color w:val="005A9E"/>
                <w:sz w:val="18"/>
                <w:szCs w:val="18"/>
                <w:lang w:val="en-US"/>
              </w:rPr>
              <w:br/>
              <w:t>6 injections then every month during 3 months then every 3 months during one year</w:t>
            </w:r>
          </w:p>
        </w:tc>
        <w:tc>
          <w:tcPr>
            <w:tcW w:w="1134" w:type="dxa"/>
            <w:tcBorders>
              <w:top w:val="single" w:sz="4" w:space="0" w:color="000000" w:themeColor="text1"/>
              <w:bottom w:val="single" w:sz="4" w:space="0" w:color="000000" w:themeColor="text1"/>
            </w:tcBorders>
            <w:tcMar>
              <w:left w:w="28" w:type="dxa"/>
              <w:right w:w="28" w:type="dxa"/>
            </w:tcMar>
          </w:tcPr>
          <w:p w14:paraId="5EF07E89" w14:textId="77777777" w:rsidR="00A75BD0" w:rsidRDefault="009D4DA5">
            <w:pPr>
              <w:rPr>
                <w:color w:val="005A9E"/>
                <w:sz w:val="18"/>
                <w:szCs w:val="18"/>
              </w:rPr>
            </w:pPr>
            <w:r>
              <w:rPr>
                <w:color w:val="005A9E"/>
                <w:sz w:val="18"/>
                <w:szCs w:val="18"/>
              </w:rPr>
              <w:t>12</w:t>
            </w:r>
          </w:p>
        </w:tc>
        <w:tc>
          <w:tcPr>
            <w:tcW w:w="5297" w:type="dxa"/>
            <w:gridSpan w:val="2"/>
            <w:tcBorders>
              <w:top w:val="single" w:sz="4" w:space="0" w:color="000000" w:themeColor="text1"/>
              <w:bottom w:val="single" w:sz="4" w:space="0" w:color="000000" w:themeColor="text1"/>
            </w:tcBorders>
            <w:tcMar>
              <w:left w:w="0" w:type="dxa"/>
              <w:right w:w="0" w:type="dxa"/>
            </w:tcMar>
          </w:tcPr>
          <w:p w14:paraId="4B334428"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Normalisation of cardiac output</w:t>
            </w:r>
          </w:p>
          <w:p w14:paraId="08CA8C13"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Removal from liver transplant lists</w:t>
            </w:r>
          </w:p>
        </w:tc>
      </w:tr>
      <w:tr w:rsidR="00A75BD0" w14:paraId="0B831E4A"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23463EE7" w14:textId="77777777" w:rsidR="00A75BD0" w:rsidRDefault="008853BF">
            <w:pPr>
              <w:rPr>
                <w:color w:val="005A9E"/>
                <w:sz w:val="18"/>
                <w:szCs w:val="18"/>
              </w:rPr>
            </w:pPr>
            <w:hyperlink r:id="rId44">
              <w:r w:rsidR="009D4DA5">
                <w:rPr>
                  <w:color w:val="0563C1"/>
                  <w:sz w:val="18"/>
                  <w:szCs w:val="18"/>
                  <w:u w:val="single"/>
                </w:rPr>
                <w:t>Epperla 2014</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58E7F0A5" w14:textId="77777777" w:rsidR="00A75BD0" w:rsidRDefault="009D4DA5" w:rsidP="0BA40188">
            <w:pPr>
              <w:rPr>
                <w:color w:val="005A9E"/>
                <w:sz w:val="18"/>
                <w:szCs w:val="18"/>
                <w:lang w:val="fr-FR"/>
              </w:rPr>
            </w:pPr>
            <w:r w:rsidRPr="0BA40188">
              <w:rPr>
                <w:color w:val="005A9E"/>
                <w:sz w:val="18"/>
                <w:szCs w:val="18"/>
                <w:lang w:val="fr-FR"/>
              </w:rPr>
              <w:t xml:space="preserve">1 patient 57y with  </w:t>
            </w:r>
          </w:p>
          <w:p w14:paraId="5507C3C8" w14:textId="77777777" w:rsidR="00A75BD0" w:rsidRDefault="009D4DA5" w:rsidP="0BA40188">
            <w:pPr>
              <w:numPr>
                <w:ilvl w:val="0"/>
                <w:numId w:val="17"/>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GI telangiectasias</w:t>
            </w:r>
          </w:p>
          <w:p w14:paraId="25EEA154" w14:textId="77777777" w:rsidR="00A75BD0" w:rsidRDefault="009D4DA5" w:rsidP="0BA40188">
            <w:pPr>
              <w:numPr>
                <w:ilvl w:val="0"/>
                <w:numId w:val="17"/>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hematemesis</w:t>
            </w:r>
          </w:p>
          <w:p w14:paraId="4EAFECE8" w14:textId="77777777" w:rsidR="00A75BD0" w:rsidRDefault="009D4DA5" w:rsidP="0BA40188">
            <w:pPr>
              <w:numPr>
                <w:ilvl w:val="0"/>
                <w:numId w:val="17"/>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melena history</w:t>
            </w:r>
          </w:p>
          <w:p w14:paraId="4E204E81" w14:textId="77777777" w:rsidR="00A75BD0" w:rsidRDefault="009D4DA5" w:rsidP="0BA40188">
            <w:pPr>
              <w:numPr>
                <w:ilvl w:val="0"/>
                <w:numId w:val="17"/>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epistaxis</w:t>
            </w:r>
          </w:p>
          <w:p w14:paraId="48709CFB" w14:textId="77777777" w:rsidR="00A75BD0" w:rsidRDefault="009D4DA5" w:rsidP="0BA40188">
            <w:pPr>
              <w:numPr>
                <w:ilvl w:val="0"/>
                <w:numId w:val="17"/>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 xml:space="preserve">2-4 units RBC/month, </w:t>
            </w:r>
          </w:p>
          <w:p w14:paraId="2343152A" w14:textId="77777777" w:rsidR="00A75BD0" w:rsidRDefault="009D4DA5" w:rsidP="0BA40188">
            <w:pPr>
              <w:numPr>
                <w:ilvl w:val="0"/>
                <w:numId w:val="17"/>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1 iron infusion/month</w:t>
            </w:r>
          </w:p>
          <w:p w14:paraId="5F8FA6C6" w14:textId="77777777" w:rsidR="00A75BD0" w:rsidRPr="002F6A24" w:rsidRDefault="009D4DA5">
            <w:pPr>
              <w:numPr>
                <w:ilvl w:val="0"/>
                <w:numId w:val="17"/>
              </w:numPr>
              <w:pBdr>
                <w:top w:val="nil"/>
                <w:left w:val="nil"/>
                <w:bottom w:val="nil"/>
                <w:right w:val="nil"/>
                <w:between w:val="nil"/>
              </w:pBdr>
              <w:spacing w:line="276" w:lineRule="auto"/>
              <w:rPr>
                <w:color w:val="005A9E"/>
                <w:sz w:val="18"/>
                <w:szCs w:val="18"/>
                <w:lang w:val="en-US"/>
              </w:rPr>
            </w:pPr>
            <w:r w:rsidRPr="002F6A24">
              <w:rPr>
                <w:color w:val="005A9E"/>
                <w:sz w:val="18"/>
                <w:szCs w:val="18"/>
                <w:lang w:val="en-US"/>
              </w:rPr>
              <w:t xml:space="preserve">asymptomatic PAVMs (one embolized due to size), </w:t>
            </w:r>
          </w:p>
          <w:p w14:paraId="24FDF4D0" w14:textId="77777777" w:rsidR="00A75BD0" w:rsidRPr="002F6A24" w:rsidRDefault="00A75BD0">
            <w:pPr>
              <w:rPr>
                <w:color w:val="005A9E"/>
                <w:sz w:val="18"/>
                <w:szCs w:val="18"/>
                <w:lang w:val="en-US"/>
              </w:rPr>
            </w:pPr>
          </w:p>
          <w:p w14:paraId="3DA5A535" w14:textId="77777777" w:rsidR="00A75BD0" w:rsidRDefault="009D4DA5" w:rsidP="0BA40188">
            <w:pPr>
              <w:rPr>
                <w:color w:val="005A9E"/>
                <w:sz w:val="18"/>
                <w:szCs w:val="18"/>
                <w:lang w:val="fr-FR"/>
              </w:rPr>
            </w:pPr>
            <w:r w:rsidRPr="0BA40188">
              <w:rPr>
                <w:color w:val="005A9E"/>
                <w:sz w:val="18"/>
                <w:szCs w:val="18"/>
                <w:lang w:val="fr-FR"/>
              </w:rPr>
              <w:t>estrogen supplementation (ethinyl estradiol) failed</w:t>
            </w:r>
          </w:p>
        </w:tc>
        <w:tc>
          <w:tcPr>
            <w:tcW w:w="2552" w:type="dxa"/>
            <w:gridSpan w:val="3"/>
            <w:tcBorders>
              <w:top w:val="single" w:sz="4" w:space="0" w:color="000000" w:themeColor="text1"/>
              <w:bottom w:val="single" w:sz="4" w:space="0" w:color="000000" w:themeColor="text1"/>
            </w:tcBorders>
            <w:tcMar>
              <w:left w:w="28" w:type="dxa"/>
              <w:right w:w="28" w:type="dxa"/>
            </w:tcMar>
          </w:tcPr>
          <w:p w14:paraId="16BFAD56" w14:textId="77777777" w:rsidR="00A75BD0" w:rsidRPr="002F6A24" w:rsidRDefault="009D4DA5">
            <w:pPr>
              <w:ind w:right="114"/>
              <w:rPr>
                <w:color w:val="005A9E"/>
                <w:sz w:val="18"/>
                <w:szCs w:val="18"/>
                <w:lang w:val="en-US"/>
              </w:rPr>
            </w:pPr>
            <w:r w:rsidRPr="002F6A24">
              <w:rPr>
                <w:color w:val="005A9E"/>
                <w:sz w:val="18"/>
                <w:szCs w:val="18"/>
                <w:lang w:val="en-US"/>
              </w:rPr>
              <w:t>10 mg/kg/2 weeks, 3 doses</w:t>
            </w:r>
          </w:p>
          <w:p w14:paraId="52696FDE" w14:textId="77777777" w:rsidR="00A75BD0" w:rsidRPr="002F6A24" w:rsidRDefault="009D4DA5">
            <w:pPr>
              <w:ind w:right="114"/>
              <w:rPr>
                <w:color w:val="005A9E"/>
                <w:sz w:val="18"/>
                <w:szCs w:val="18"/>
                <w:lang w:val="en-US"/>
              </w:rPr>
            </w:pPr>
            <w:r w:rsidRPr="002F6A24">
              <w:rPr>
                <w:color w:val="005A9E"/>
                <w:sz w:val="18"/>
                <w:szCs w:val="18"/>
                <w:lang w:val="en-US"/>
              </w:rPr>
              <w:t>10 mg/kg/3 weeks, 3 doses</w:t>
            </w:r>
          </w:p>
          <w:p w14:paraId="31F57742" w14:textId="77777777" w:rsidR="00A75BD0" w:rsidRPr="002F6A24" w:rsidRDefault="009D4DA5">
            <w:pPr>
              <w:ind w:right="114"/>
              <w:rPr>
                <w:color w:val="005A9E"/>
                <w:sz w:val="18"/>
                <w:szCs w:val="18"/>
                <w:lang w:val="en-US"/>
              </w:rPr>
            </w:pPr>
            <w:r w:rsidRPr="002F6A24">
              <w:rPr>
                <w:color w:val="005A9E"/>
                <w:sz w:val="18"/>
                <w:szCs w:val="18"/>
                <w:lang w:val="en-US"/>
              </w:rPr>
              <w:t>10 mg/kg/4 weeks, 3 doses</w:t>
            </w:r>
          </w:p>
          <w:p w14:paraId="30ECF020" w14:textId="77777777" w:rsidR="00A75BD0" w:rsidRPr="002F6A24" w:rsidRDefault="009D4DA5">
            <w:pPr>
              <w:ind w:right="114"/>
              <w:rPr>
                <w:color w:val="005A9E"/>
                <w:sz w:val="18"/>
                <w:szCs w:val="18"/>
                <w:lang w:val="en-US"/>
              </w:rPr>
            </w:pPr>
            <w:r w:rsidRPr="002F6A24">
              <w:rPr>
                <w:color w:val="005A9E"/>
                <w:sz w:val="18"/>
                <w:szCs w:val="18"/>
                <w:lang w:val="en-US"/>
              </w:rPr>
              <w:t>7.5 mg/kg/4 weeks, 3 doses</w:t>
            </w:r>
          </w:p>
          <w:p w14:paraId="0CC4CA9A" w14:textId="77777777" w:rsidR="00A75BD0" w:rsidRPr="002F6A24" w:rsidRDefault="009D4DA5">
            <w:pPr>
              <w:ind w:right="114"/>
              <w:rPr>
                <w:color w:val="005A9E"/>
                <w:sz w:val="18"/>
                <w:szCs w:val="18"/>
                <w:lang w:val="en-US"/>
              </w:rPr>
            </w:pPr>
            <w:r w:rsidRPr="002F6A24">
              <w:rPr>
                <w:color w:val="005A9E"/>
                <w:sz w:val="18"/>
                <w:szCs w:val="18"/>
                <w:lang w:val="en-US"/>
              </w:rPr>
              <w:t>5 mg/kg/4 weeks, 2 doses</w:t>
            </w:r>
          </w:p>
          <w:p w14:paraId="749D3AA7" w14:textId="77777777" w:rsidR="00A75BD0" w:rsidRPr="002F6A24" w:rsidRDefault="009D4DA5">
            <w:pPr>
              <w:ind w:right="114"/>
              <w:rPr>
                <w:color w:val="005A9E"/>
                <w:sz w:val="18"/>
                <w:szCs w:val="18"/>
                <w:lang w:val="en-US"/>
              </w:rPr>
            </w:pPr>
            <w:r w:rsidRPr="002F6A24">
              <w:rPr>
                <w:color w:val="005A9E"/>
                <w:sz w:val="18"/>
                <w:szCs w:val="18"/>
                <w:lang w:val="en-US"/>
              </w:rPr>
              <w:t>7.5 mg/kg/4 weeks, 1 dose</w:t>
            </w:r>
          </w:p>
          <w:p w14:paraId="4EE00829" w14:textId="77777777" w:rsidR="00A75BD0" w:rsidRPr="002F6A24" w:rsidRDefault="009D4DA5">
            <w:pPr>
              <w:ind w:right="114"/>
              <w:rPr>
                <w:color w:val="005A9E"/>
                <w:sz w:val="18"/>
                <w:szCs w:val="18"/>
                <w:lang w:val="en-US"/>
              </w:rPr>
            </w:pPr>
            <w:r w:rsidRPr="002F6A24">
              <w:rPr>
                <w:color w:val="005A9E"/>
                <w:sz w:val="18"/>
                <w:szCs w:val="18"/>
                <w:lang w:val="en-US"/>
              </w:rPr>
              <w:t>7.5 mg/kg/3 weeks, 4 doses</w:t>
            </w:r>
          </w:p>
          <w:p w14:paraId="03A5F187" w14:textId="77777777" w:rsidR="00A75BD0" w:rsidRPr="002F6A24" w:rsidRDefault="00A75BD0">
            <w:pPr>
              <w:ind w:right="114"/>
              <w:rPr>
                <w:color w:val="005A9E"/>
                <w:sz w:val="18"/>
                <w:szCs w:val="18"/>
                <w:lang w:val="en-US"/>
              </w:rPr>
            </w:pPr>
          </w:p>
          <w:p w14:paraId="102F7959" w14:textId="77777777" w:rsidR="00A75BD0" w:rsidRPr="002F6A24" w:rsidRDefault="009D4DA5">
            <w:pPr>
              <w:ind w:right="114"/>
              <w:rPr>
                <w:color w:val="005A9E"/>
                <w:sz w:val="18"/>
                <w:szCs w:val="18"/>
                <w:lang w:val="en-US"/>
              </w:rPr>
            </w:pPr>
            <w:r w:rsidRPr="002F6A24">
              <w:rPr>
                <w:color w:val="005A9E"/>
                <w:sz w:val="18"/>
                <w:szCs w:val="18"/>
                <w:lang w:val="en-US"/>
              </w:rPr>
              <w:t>total of 18 injections</w:t>
            </w:r>
          </w:p>
        </w:tc>
        <w:tc>
          <w:tcPr>
            <w:tcW w:w="1134" w:type="dxa"/>
            <w:tcBorders>
              <w:top w:val="single" w:sz="4" w:space="0" w:color="000000" w:themeColor="text1"/>
              <w:bottom w:val="single" w:sz="4" w:space="0" w:color="000000" w:themeColor="text1"/>
            </w:tcBorders>
            <w:tcMar>
              <w:left w:w="28" w:type="dxa"/>
              <w:right w:w="28" w:type="dxa"/>
            </w:tcMar>
          </w:tcPr>
          <w:p w14:paraId="084F12BE" w14:textId="77777777" w:rsidR="00A75BD0" w:rsidRDefault="009D4DA5">
            <w:pPr>
              <w:rPr>
                <w:color w:val="005A9E"/>
                <w:sz w:val="18"/>
                <w:szCs w:val="18"/>
              </w:rPr>
            </w:pPr>
            <w:r>
              <w:rPr>
                <w:color w:val="005A9E"/>
                <w:sz w:val="18"/>
                <w:szCs w:val="18"/>
              </w:rPr>
              <w:t>13</w:t>
            </w:r>
          </w:p>
        </w:tc>
        <w:tc>
          <w:tcPr>
            <w:tcW w:w="5297" w:type="dxa"/>
            <w:gridSpan w:val="2"/>
            <w:tcBorders>
              <w:top w:val="single" w:sz="4" w:space="0" w:color="000000" w:themeColor="text1"/>
              <w:bottom w:val="single" w:sz="4" w:space="0" w:color="000000" w:themeColor="text1"/>
            </w:tcBorders>
            <w:tcMar>
              <w:left w:w="0" w:type="dxa"/>
              <w:right w:w="0" w:type="dxa"/>
            </w:tcMar>
          </w:tcPr>
          <w:p w14:paraId="5C8EBA78"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 more melena</w:t>
            </w:r>
          </w:p>
          <w:p w14:paraId="6A947751"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 more iron infusions</w:t>
            </w:r>
          </w:p>
          <w:p w14:paraId="5CB24394"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 xml:space="preserve">No more blood transfusions </w:t>
            </w:r>
          </w:p>
          <w:p w14:paraId="3DD766D9"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Hb normalized (8.5 g/dL to &gt; 12.5 g/dL)</w:t>
            </w:r>
          </w:p>
          <w:p w14:paraId="0B9163C2"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Ferritine </w:t>
            </w:r>
          </w:p>
          <w:p w14:paraId="63ACC38B"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Epistaxis</w:t>
            </w:r>
          </w:p>
          <w:p w14:paraId="75D6A2EE"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 xml:space="preserve">↘ </w:t>
            </w:r>
            <w:r w:rsidRPr="0BA40188">
              <w:rPr>
                <w:color w:val="005A9E"/>
                <w:sz w:val="18"/>
                <w:szCs w:val="18"/>
                <w:lang w:val="fr-FR"/>
              </w:rPr>
              <w:t>visible oral mucosal</w:t>
            </w:r>
          </w:p>
          <w:p w14:paraId="463572D5" w14:textId="77777777" w:rsidR="00A75BD0" w:rsidRDefault="009D4DA5" w:rsidP="0BA40188">
            <w:pPr>
              <w:ind w:left="360" w:right="166"/>
              <w:jc w:val="both"/>
              <w:rPr>
                <w:color w:val="005A9E"/>
                <w:sz w:val="18"/>
                <w:szCs w:val="18"/>
                <w:lang w:val="fr-FR"/>
              </w:rPr>
            </w:pPr>
            <w:r w:rsidRPr="0BA40188">
              <w:rPr>
                <w:color w:val="005A9E"/>
                <w:sz w:val="18"/>
                <w:szCs w:val="18"/>
                <w:lang w:val="fr-FR"/>
              </w:rPr>
              <w:t>telangiectasias</w:t>
            </w:r>
          </w:p>
        </w:tc>
      </w:tr>
      <w:tr w:rsidR="00A75BD0" w14:paraId="63D02868"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402DA63E" w14:textId="77777777" w:rsidR="00A75BD0" w:rsidRDefault="008853BF">
            <w:pPr>
              <w:rPr>
                <w:color w:val="005A9E"/>
                <w:sz w:val="18"/>
                <w:szCs w:val="18"/>
              </w:rPr>
            </w:pPr>
            <w:hyperlink r:id="rId45">
              <w:r w:rsidR="009D4DA5">
                <w:rPr>
                  <w:color w:val="0563C1"/>
                  <w:sz w:val="18"/>
                  <w:szCs w:val="18"/>
                  <w:u w:val="single"/>
                </w:rPr>
                <w:t>Wee 2014</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324F7C8E" w14:textId="77777777" w:rsidR="00A75BD0" w:rsidRDefault="009D4DA5" w:rsidP="0BA40188">
            <w:pPr>
              <w:rPr>
                <w:color w:val="005A9E"/>
                <w:sz w:val="18"/>
                <w:szCs w:val="18"/>
                <w:lang w:val="fr-FR"/>
              </w:rPr>
            </w:pPr>
            <w:r w:rsidRPr="0BA40188">
              <w:rPr>
                <w:color w:val="005A9E"/>
                <w:sz w:val="18"/>
                <w:szCs w:val="18"/>
                <w:lang w:val="fr-FR"/>
              </w:rPr>
              <w:t xml:space="preserve">1 patient 55y with </w:t>
            </w:r>
          </w:p>
          <w:p w14:paraId="2E6A19DF" w14:textId="77777777" w:rsidR="00A75BD0" w:rsidRDefault="009D4DA5" w:rsidP="0BA40188">
            <w:pPr>
              <w:numPr>
                <w:ilvl w:val="0"/>
                <w:numId w:val="22"/>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epistaxis</w:t>
            </w:r>
          </w:p>
          <w:p w14:paraId="376F4206" w14:textId="77777777" w:rsidR="00A75BD0" w:rsidRDefault="009D4DA5" w:rsidP="0BA40188">
            <w:pPr>
              <w:numPr>
                <w:ilvl w:val="0"/>
                <w:numId w:val="22"/>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melena</w:t>
            </w:r>
          </w:p>
          <w:p w14:paraId="4244BAFE" w14:textId="77777777" w:rsidR="00A75BD0" w:rsidRDefault="009D4DA5" w:rsidP="0BA40188">
            <w:pPr>
              <w:numPr>
                <w:ilvl w:val="0"/>
                <w:numId w:val="22"/>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GI bleedings</w:t>
            </w:r>
          </w:p>
          <w:p w14:paraId="61C681CE" w14:textId="77777777" w:rsidR="00A75BD0" w:rsidRDefault="009D4DA5" w:rsidP="0BA40188">
            <w:pPr>
              <w:numPr>
                <w:ilvl w:val="0"/>
                <w:numId w:val="22"/>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4 units RBC/2 weeks</w:t>
            </w:r>
          </w:p>
          <w:p w14:paraId="176EAC62" w14:textId="77777777" w:rsidR="00A75BD0" w:rsidRDefault="00A75BD0">
            <w:pPr>
              <w:rPr>
                <w:color w:val="005A9E"/>
                <w:sz w:val="10"/>
                <w:szCs w:val="10"/>
              </w:rPr>
            </w:pPr>
          </w:p>
          <w:p w14:paraId="0BD7D856" w14:textId="77777777" w:rsidR="00A75BD0" w:rsidRDefault="009D4DA5" w:rsidP="0BA40188">
            <w:pPr>
              <w:rPr>
                <w:color w:val="005A9E"/>
                <w:sz w:val="18"/>
                <w:szCs w:val="18"/>
                <w:lang w:val="fr-FR"/>
              </w:rPr>
            </w:pPr>
            <w:r w:rsidRPr="0BA40188">
              <w:rPr>
                <w:color w:val="005A9E"/>
                <w:sz w:val="18"/>
                <w:szCs w:val="18"/>
                <w:lang w:val="fr-FR"/>
              </w:rPr>
              <w:t>Oral iron et endoscopic APC failed</w:t>
            </w:r>
          </w:p>
        </w:tc>
        <w:tc>
          <w:tcPr>
            <w:tcW w:w="2552" w:type="dxa"/>
            <w:gridSpan w:val="3"/>
            <w:tcBorders>
              <w:top w:val="single" w:sz="4" w:space="0" w:color="000000" w:themeColor="text1"/>
              <w:bottom w:val="single" w:sz="4" w:space="0" w:color="000000" w:themeColor="text1"/>
            </w:tcBorders>
            <w:tcMar>
              <w:left w:w="28" w:type="dxa"/>
              <w:right w:w="28" w:type="dxa"/>
            </w:tcMar>
          </w:tcPr>
          <w:p w14:paraId="72931F93" w14:textId="77777777" w:rsidR="00A75BD0" w:rsidRPr="002F6A24" w:rsidRDefault="009D4DA5">
            <w:pPr>
              <w:ind w:right="114"/>
              <w:rPr>
                <w:color w:val="005A9E"/>
                <w:sz w:val="18"/>
                <w:szCs w:val="18"/>
                <w:lang w:val="en-US"/>
              </w:rPr>
            </w:pPr>
            <w:r w:rsidRPr="002F6A24">
              <w:rPr>
                <w:color w:val="005A9E"/>
                <w:sz w:val="18"/>
                <w:szCs w:val="18"/>
                <w:lang w:val="en-US"/>
              </w:rPr>
              <w:t>2 mg/kg/3 weeks, 4 doses</w:t>
            </w:r>
          </w:p>
          <w:p w14:paraId="112F3D6C" w14:textId="77777777" w:rsidR="00A75BD0" w:rsidRPr="002F6A24" w:rsidRDefault="00A75BD0">
            <w:pPr>
              <w:ind w:right="114"/>
              <w:rPr>
                <w:color w:val="005A9E"/>
                <w:sz w:val="18"/>
                <w:szCs w:val="18"/>
                <w:lang w:val="en-US"/>
              </w:rPr>
            </w:pPr>
          </w:p>
          <w:p w14:paraId="5C5404D1" w14:textId="77777777" w:rsidR="00A75BD0" w:rsidRPr="002F6A24" w:rsidRDefault="009D4DA5">
            <w:pPr>
              <w:ind w:right="114"/>
              <w:rPr>
                <w:color w:val="005A9E"/>
                <w:sz w:val="18"/>
                <w:szCs w:val="18"/>
                <w:lang w:val="en-US"/>
              </w:rPr>
            </w:pPr>
            <w:r w:rsidRPr="002F6A24">
              <w:rPr>
                <w:color w:val="005A9E"/>
                <w:sz w:val="18"/>
                <w:szCs w:val="18"/>
                <w:lang w:val="en-US"/>
              </w:rPr>
              <w:t>low dose for cost reason</w:t>
            </w:r>
          </w:p>
        </w:tc>
        <w:tc>
          <w:tcPr>
            <w:tcW w:w="1134" w:type="dxa"/>
            <w:tcBorders>
              <w:top w:val="single" w:sz="4" w:space="0" w:color="000000" w:themeColor="text1"/>
              <w:bottom w:val="single" w:sz="4" w:space="0" w:color="000000" w:themeColor="text1"/>
            </w:tcBorders>
            <w:tcMar>
              <w:left w:w="28" w:type="dxa"/>
              <w:right w:w="28" w:type="dxa"/>
            </w:tcMar>
          </w:tcPr>
          <w:p w14:paraId="1E49A2B0" w14:textId="77777777" w:rsidR="00A75BD0" w:rsidRDefault="009D4DA5">
            <w:pPr>
              <w:rPr>
                <w:color w:val="005A9E"/>
                <w:sz w:val="18"/>
                <w:szCs w:val="18"/>
              </w:rPr>
            </w:pPr>
            <w:r>
              <w:rPr>
                <w:color w:val="005A9E"/>
                <w:sz w:val="18"/>
                <w:szCs w:val="18"/>
              </w:rPr>
              <w:t>9</w:t>
            </w:r>
          </w:p>
        </w:tc>
        <w:tc>
          <w:tcPr>
            <w:tcW w:w="5297" w:type="dxa"/>
            <w:gridSpan w:val="2"/>
            <w:tcBorders>
              <w:top w:val="single" w:sz="4" w:space="0" w:color="000000" w:themeColor="text1"/>
              <w:bottom w:val="single" w:sz="4" w:space="0" w:color="000000" w:themeColor="text1"/>
            </w:tcBorders>
            <w:tcMar>
              <w:left w:w="0" w:type="dxa"/>
              <w:right w:w="0" w:type="dxa"/>
            </w:tcMar>
          </w:tcPr>
          <w:p w14:paraId="09F30ED6"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Hb </w:t>
            </w:r>
          </w:p>
          <w:p w14:paraId="4C8CD380"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Ferritine </w:t>
            </w:r>
          </w:p>
          <w:p w14:paraId="519AB256"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50% Epistaxis</w:t>
            </w:r>
          </w:p>
          <w:p w14:paraId="36B8691B"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transfusion after the course (no more transfusion for 2 months during treatment)</w:t>
            </w:r>
          </w:p>
          <w:p w14:paraId="5BA4FECF"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 xml:space="preserve">↘ </w:t>
            </w:r>
            <w:r w:rsidRPr="0BA40188">
              <w:rPr>
                <w:color w:val="005A9E"/>
                <w:sz w:val="18"/>
                <w:szCs w:val="18"/>
                <w:lang w:val="fr-FR"/>
              </w:rPr>
              <w:t xml:space="preserve">visible gastric mucosal telangiectasias </w:t>
            </w:r>
          </w:p>
        </w:tc>
      </w:tr>
      <w:tr w:rsidR="00A75BD0" w:rsidRPr="007428DF" w14:paraId="674F4BF3"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43AB1C7C" w14:textId="77777777" w:rsidR="00A75BD0" w:rsidRDefault="008853BF">
            <w:pPr>
              <w:rPr>
                <w:color w:val="005A9E"/>
                <w:sz w:val="18"/>
                <w:szCs w:val="18"/>
              </w:rPr>
            </w:pPr>
            <w:hyperlink r:id="rId46">
              <w:r w:rsidR="009D4DA5">
                <w:rPr>
                  <w:color w:val="0563C1"/>
                  <w:sz w:val="18"/>
                  <w:szCs w:val="18"/>
                  <w:u w:val="single"/>
                </w:rPr>
                <w:t>Bennesser Alaoui 2015</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1670A0CF" w14:textId="77777777" w:rsidR="00A75BD0" w:rsidRDefault="009D4DA5" w:rsidP="0BA40188">
            <w:pPr>
              <w:rPr>
                <w:color w:val="005A9E"/>
                <w:sz w:val="18"/>
                <w:szCs w:val="18"/>
                <w:lang w:val="fr-FR"/>
              </w:rPr>
            </w:pPr>
            <w:r w:rsidRPr="0BA40188">
              <w:rPr>
                <w:color w:val="005A9E"/>
                <w:sz w:val="18"/>
                <w:szCs w:val="18"/>
                <w:lang w:val="fr-FR"/>
              </w:rPr>
              <w:t>1 patient 66y with epistaxis, iron infusions, blood transfusions, PAVM, GI telangiectasias</w:t>
            </w:r>
          </w:p>
        </w:tc>
        <w:tc>
          <w:tcPr>
            <w:tcW w:w="2552" w:type="dxa"/>
            <w:gridSpan w:val="3"/>
            <w:tcBorders>
              <w:top w:val="single" w:sz="4" w:space="0" w:color="000000" w:themeColor="text1"/>
              <w:bottom w:val="single" w:sz="4" w:space="0" w:color="000000" w:themeColor="text1"/>
            </w:tcBorders>
            <w:tcMar>
              <w:left w:w="28" w:type="dxa"/>
              <w:right w:w="28" w:type="dxa"/>
            </w:tcMar>
          </w:tcPr>
          <w:p w14:paraId="79D5DDEB" w14:textId="77777777" w:rsidR="00A75BD0" w:rsidRPr="002F6A24" w:rsidRDefault="009D4DA5">
            <w:pPr>
              <w:ind w:right="114"/>
              <w:rPr>
                <w:color w:val="005A9E"/>
                <w:sz w:val="18"/>
                <w:szCs w:val="18"/>
                <w:lang w:val="en-US"/>
              </w:rPr>
            </w:pPr>
            <w:r w:rsidRPr="002F6A24">
              <w:rPr>
                <w:color w:val="005A9E"/>
                <w:sz w:val="18"/>
                <w:szCs w:val="18"/>
                <w:lang w:val="en-US"/>
              </w:rPr>
              <w:t>5 mg/kg/2 weeks</w:t>
            </w:r>
          </w:p>
          <w:p w14:paraId="1CAF6D78" w14:textId="77777777" w:rsidR="00A75BD0" w:rsidRPr="002F6A24" w:rsidRDefault="009D4DA5">
            <w:pPr>
              <w:ind w:right="114"/>
              <w:rPr>
                <w:color w:val="005A9E"/>
                <w:sz w:val="18"/>
                <w:szCs w:val="18"/>
                <w:lang w:val="en-US"/>
              </w:rPr>
            </w:pPr>
            <w:r w:rsidRPr="002F6A24">
              <w:rPr>
                <w:color w:val="005A9E"/>
                <w:sz w:val="18"/>
                <w:szCs w:val="18"/>
                <w:lang w:val="en-US"/>
              </w:rPr>
              <w:t>total of 6 injections</w:t>
            </w:r>
          </w:p>
        </w:tc>
        <w:tc>
          <w:tcPr>
            <w:tcW w:w="1134" w:type="dxa"/>
            <w:tcBorders>
              <w:top w:val="single" w:sz="4" w:space="0" w:color="000000" w:themeColor="text1"/>
              <w:bottom w:val="single" w:sz="4" w:space="0" w:color="000000" w:themeColor="text1"/>
            </w:tcBorders>
            <w:tcMar>
              <w:left w:w="28" w:type="dxa"/>
              <w:right w:w="28" w:type="dxa"/>
            </w:tcMar>
          </w:tcPr>
          <w:p w14:paraId="11075A0E" w14:textId="77777777" w:rsidR="00A75BD0" w:rsidRDefault="009D4DA5">
            <w:pPr>
              <w:rPr>
                <w:color w:val="005A9E"/>
                <w:sz w:val="18"/>
                <w:szCs w:val="18"/>
              </w:rPr>
            </w:pPr>
            <w:r>
              <w:rPr>
                <w:color w:val="005A9E"/>
                <w:sz w:val="18"/>
                <w:szCs w:val="18"/>
              </w:rPr>
              <w:t>12</w:t>
            </w:r>
          </w:p>
        </w:tc>
        <w:tc>
          <w:tcPr>
            <w:tcW w:w="5297" w:type="dxa"/>
            <w:gridSpan w:val="2"/>
            <w:tcBorders>
              <w:top w:val="single" w:sz="4" w:space="0" w:color="000000" w:themeColor="text1"/>
              <w:bottom w:val="single" w:sz="4" w:space="0" w:color="000000" w:themeColor="text1"/>
            </w:tcBorders>
            <w:tcMar>
              <w:left w:w="0" w:type="dxa"/>
              <w:right w:w="0" w:type="dxa"/>
            </w:tcMar>
          </w:tcPr>
          <w:p w14:paraId="62168D2C"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Epistaxis</w:t>
            </w:r>
          </w:p>
          <w:p w14:paraId="1632B2C5"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transfusions</w:t>
            </w:r>
          </w:p>
          <w:p w14:paraId="3200E49E"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Hb normalized (6.5g/dL to 13g/dL)</w:t>
            </w:r>
          </w:p>
        </w:tc>
      </w:tr>
      <w:tr w:rsidR="00A75BD0" w:rsidRPr="007428DF" w14:paraId="0D1C7F09"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68219F36" w14:textId="77777777" w:rsidR="00A75BD0" w:rsidRDefault="008853BF">
            <w:pPr>
              <w:rPr>
                <w:color w:val="005A9E"/>
                <w:sz w:val="18"/>
                <w:szCs w:val="18"/>
              </w:rPr>
            </w:pPr>
            <w:hyperlink r:id="rId47">
              <w:r w:rsidR="009D4DA5">
                <w:rPr>
                  <w:color w:val="0563C1"/>
                  <w:sz w:val="18"/>
                  <w:szCs w:val="18"/>
                  <w:u w:val="single"/>
                </w:rPr>
                <w:t>Maestraggi 2015</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6CE5D712" w14:textId="77777777" w:rsidR="00A75BD0" w:rsidRPr="002F6A24" w:rsidRDefault="009D4DA5">
            <w:pPr>
              <w:rPr>
                <w:color w:val="005A9E"/>
                <w:sz w:val="18"/>
                <w:szCs w:val="18"/>
                <w:lang w:val="en-US"/>
              </w:rPr>
            </w:pPr>
            <w:r w:rsidRPr="002F6A24">
              <w:rPr>
                <w:color w:val="005A9E"/>
                <w:sz w:val="18"/>
                <w:szCs w:val="18"/>
                <w:lang w:val="en-US"/>
              </w:rPr>
              <w:t>1 patient 63 y with epistaxis, HAVM, cholangiopathy, hepatic arteriovenous shunting and intrahepatic bilomas</w:t>
            </w:r>
          </w:p>
        </w:tc>
        <w:tc>
          <w:tcPr>
            <w:tcW w:w="2552" w:type="dxa"/>
            <w:gridSpan w:val="3"/>
            <w:tcBorders>
              <w:top w:val="single" w:sz="4" w:space="0" w:color="000000" w:themeColor="text1"/>
              <w:bottom w:val="single" w:sz="4" w:space="0" w:color="000000" w:themeColor="text1"/>
            </w:tcBorders>
            <w:tcMar>
              <w:left w:w="28" w:type="dxa"/>
              <w:right w:w="28" w:type="dxa"/>
            </w:tcMar>
          </w:tcPr>
          <w:p w14:paraId="4878C26D" w14:textId="77777777" w:rsidR="00A75BD0" w:rsidRPr="002F6A24" w:rsidRDefault="009D4DA5">
            <w:pPr>
              <w:ind w:right="114"/>
              <w:rPr>
                <w:color w:val="005A9E"/>
                <w:sz w:val="18"/>
                <w:szCs w:val="18"/>
                <w:lang w:val="en-US"/>
              </w:rPr>
            </w:pPr>
            <w:r w:rsidRPr="002F6A24">
              <w:rPr>
                <w:color w:val="005A9E"/>
                <w:sz w:val="18"/>
                <w:szCs w:val="18"/>
                <w:lang w:val="en-US"/>
              </w:rPr>
              <w:t>5 mg/kg/2 weeks</w:t>
            </w:r>
          </w:p>
          <w:p w14:paraId="5BC7B739" w14:textId="77777777" w:rsidR="00A75BD0" w:rsidRPr="002F6A24" w:rsidRDefault="009D4DA5">
            <w:pPr>
              <w:ind w:right="114"/>
              <w:rPr>
                <w:color w:val="005A9E"/>
                <w:sz w:val="18"/>
                <w:szCs w:val="18"/>
                <w:lang w:val="en-US"/>
              </w:rPr>
            </w:pPr>
            <w:r w:rsidRPr="002F6A24">
              <w:rPr>
                <w:color w:val="005A9E"/>
                <w:sz w:val="18"/>
                <w:szCs w:val="18"/>
                <w:lang w:val="en-US"/>
              </w:rPr>
              <w:t>total of 6 injections</w:t>
            </w:r>
          </w:p>
        </w:tc>
        <w:tc>
          <w:tcPr>
            <w:tcW w:w="1134" w:type="dxa"/>
            <w:tcBorders>
              <w:top w:val="single" w:sz="4" w:space="0" w:color="000000" w:themeColor="text1"/>
              <w:bottom w:val="single" w:sz="4" w:space="0" w:color="000000" w:themeColor="text1"/>
            </w:tcBorders>
            <w:tcMar>
              <w:left w:w="28" w:type="dxa"/>
              <w:right w:w="28" w:type="dxa"/>
            </w:tcMar>
          </w:tcPr>
          <w:p w14:paraId="17CCE791" w14:textId="77777777" w:rsidR="00A75BD0" w:rsidRDefault="009D4DA5">
            <w:pPr>
              <w:rPr>
                <w:color w:val="005A9E"/>
                <w:sz w:val="18"/>
                <w:szCs w:val="18"/>
              </w:rPr>
            </w:pPr>
            <w:r>
              <w:rPr>
                <w:color w:val="005A9E"/>
                <w:sz w:val="18"/>
                <w:szCs w:val="18"/>
              </w:rPr>
              <w:t>12</w:t>
            </w:r>
          </w:p>
        </w:tc>
        <w:tc>
          <w:tcPr>
            <w:tcW w:w="5297" w:type="dxa"/>
            <w:gridSpan w:val="2"/>
            <w:tcBorders>
              <w:top w:val="single" w:sz="4" w:space="0" w:color="000000" w:themeColor="text1"/>
              <w:bottom w:val="single" w:sz="4" w:space="0" w:color="000000" w:themeColor="text1"/>
            </w:tcBorders>
            <w:tcMar>
              <w:left w:w="0" w:type="dxa"/>
              <w:right w:w="0" w:type="dxa"/>
            </w:tcMar>
          </w:tcPr>
          <w:p w14:paraId="2ADC61B2"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no improvement of biliary ischemia with bevacizumab</w:t>
            </w:r>
          </w:p>
          <w:p w14:paraId="639CB018"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bevacizumab stopped and liver transplanted</w:t>
            </w:r>
          </w:p>
        </w:tc>
      </w:tr>
      <w:tr w:rsidR="00A75BD0" w14:paraId="0E661F23"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1942287B" w14:textId="77777777" w:rsidR="00A75BD0" w:rsidRDefault="008853BF">
            <w:pPr>
              <w:rPr>
                <w:color w:val="005A9E"/>
                <w:sz w:val="18"/>
                <w:szCs w:val="18"/>
              </w:rPr>
            </w:pPr>
            <w:hyperlink r:id="rId48">
              <w:r w:rsidR="009D4DA5">
                <w:rPr>
                  <w:color w:val="0563C1"/>
                  <w:sz w:val="18"/>
                  <w:szCs w:val="18"/>
                  <w:u w:val="single"/>
                </w:rPr>
                <w:t>Amann 2015</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1A17B09B" w14:textId="77777777" w:rsidR="00A75BD0" w:rsidRPr="002F6A24" w:rsidRDefault="009D4DA5">
            <w:pPr>
              <w:rPr>
                <w:color w:val="005A9E"/>
                <w:sz w:val="18"/>
                <w:szCs w:val="18"/>
                <w:lang w:val="en-US"/>
              </w:rPr>
            </w:pPr>
            <w:r w:rsidRPr="002F6A24">
              <w:rPr>
                <w:color w:val="005A9E"/>
                <w:sz w:val="18"/>
                <w:szCs w:val="18"/>
                <w:lang w:val="en-US"/>
              </w:rPr>
              <w:t xml:space="preserve">1 patient 66 y with intestinal AVMs, thrombosis of the mesenterial vein, PAVMs embolized, PAH, </w:t>
            </w:r>
          </w:p>
          <w:p w14:paraId="19DEED72" w14:textId="77777777" w:rsidR="00A75BD0" w:rsidRPr="002F6A24" w:rsidRDefault="009D4DA5">
            <w:pPr>
              <w:rPr>
                <w:color w:val="005A9E"/>
                <w:sz w:val="18"/>
                <w:szCs w:val="18"/>
                <w:lang w:val="en-US"/>
              </w:rPr>
            </w:pPr>
            <w:r w:rsidRPr="002F6A24">
              <w:rPr>
                <w:color w:val="005A9E"/>
                <w:sz w:val="18"/>
                <w:szCs w:val="18"/>
                <w:lang w:val="en-US"/>
              </w:rPr>
              <w:t>epistaxis (950 minutes/month),</w:t>
            </w:r>
          </w:p>
          <w:p w14:paraId="1847FEAA" w14:textId="77777777" w:rsidR="00A75BD0" w:rsidRPr="002F6A24" w:rsidRDefault="009D4DA5">
            <w:pPr>
              <w:rPr>
                <w:color w:val="005A9E"/>
                <w:sz w:val="18"/>
                <w:szCs w:val="18"/>
                <w:lang w:val="en-US"/>
              </w:rPr>
            </w:pPr>
            <w:r w:rsidRPr="002F6A24">
              <w:rPr>
                <w:color w:val="005A9E"/>
                <w:sz w:val="18"/>
                <w:szCs w:val="18"/>
                <w:lang w:val="en-US"/>
              </w:rPr>
              <w:t>20 units RBC transfusion / 6 months</w:t>
            </w:r>
          </w:p>
          <w:p w14:paraId="1D0187D7" w14:textId="77777777" w:rsidR="00A75BD0" w:rsidRPr="002F6A24" w:rsidRDefault="00A75BD0">
            <w:pPr>
              <w:rPr>
                <w:color w:val="005A9E"/>
                <w:sz w:val="18"/>
                <w:szCs w:val="18"/>
                <w:lang w:val="en-US"/>
              </w:rPr>
            </w:pPr>
          </w:p>
          <w:p w14:paraId="5EC512E7" w14:textId="77777777" w:rsidR="00A75BD0" w:rsidRPr="002F6A24" w:rsidRDefault="009D4DA5">
            <w:pPr>
              <w:rPr>
                <w:color w:val="005A9E"/>
                <w:sz w:val="18"/>
                <w:szCs w:val="18"/>
                <w:lang w:val="en-US"/>
              </w:rPr>
            </w:pPr>
            <w:r w:rsidRPr="002F6A24">
              <w:rPr>
                <w:color w:val="005A9E"/>
                <w:sz w:val="18"/>
                <w:szCs w:val="18"/>
                <w:lang w:val="en-US"/>
              </w:rPr>
              <w:t>Endoscopic sclerotherapy, lenalidomide, tamoxifen + estriol cream failed</w:t>
            </w:r>
          </w:p>
        </w:tc>
        <w:tc>
          <w:tcPr>
            <w:tcW w:w="2552" w:type="dxa"/>
            <w:gridSpan w:val="3"/>
            <w:tcBorders>
              <w:top w:val="single" w:sz="4" w:space="0" w:color="000000" w:themeColor="text1"/>
              <w:bottom w:val="single" w:sz="4" w:space="0" w:color="000000" w:themeColor="text1"/>
            </w:tcBorders>
            <w:tcMar>
              <w:left w:w="28" w:type="dxa"/>
              <w:right w:w="28" w:type="dxa"/>
            </w:tcMar>
          </w:tcPr>
          <w:p w14:paraId="497312EA" w14:textId="77777777" w:rsidR="00A75BD0" w:rsidRPr="002F6A24" w:rsidRDefault="009D4DA5">
            <w:pPr>
              <w:ind w:right="114"/>
              <w:rPr>
                <w:color w:val="005A9E"/>
                <w:sz w:val="18"/>
                <w:szCs w:val="18"/>
                <w:lang w:val="en-US"/>
              </w:rPr>
            </w:pPr>
            <w:r w:rsidRPr="002F6A24">
              <w:rPr>
                <w:color w:val="005A9E"/>
                <w:sz w:val="18"/>
                <w:szCs w:val="18"/>
                <w:lang w:val="en-US"/>
              </w:rPr>
              <w:t>5 mg/kg/2 weeks</w:t>
            </w:r>
          </w:p>
          <w:p w14:paraId="5EA98388" w14:textId="77777777" w:rsidR="00A75BD0" w:rsidRPr="002F6A24" w:rsidRDefault="009D4DA5">
            <w:pPr>
              <w:ind w:right="114"/>
              <w:rPr>
                <w:color w:val="005A9E"/>
                <w:sz w:val="18"/>
                <w:szCs w:val="18"/>
                <w:lang w:val="en-US"/>
              </w:rPr>
            </w:pPr>
            <w:r w:rsidRPr="002F6A24">
              <w:rPr>
                <w:color w:val="005A9E"/>
                <w:sz w:val="18"/>
                <w:szCs w:val="18"/>
                <w:lang w:val="en-US"/>
              </w:rPr>
              <w:t>total of 6 injections</w:t>
            </w:r>
          </w:p>
        </w:tc>
        <w:tc>
          <w:tcPr>
            <w:tcW w:w="1134" w:type="dxa"/>
            <w:tcBorders>
              <w:top w:val="single" w:sz="4" w:space="0" w:color="000000" w:themeColor="text1"/>
              <w:bottom w:val="single" w:sz="4" w:space="0" w:color="000000" w:themeColor="text1"/>
            </w:tcBorders>
            <w:tcMar>
              <w:left w:w="28" w:type="dxa"/>
              <w:right w:w="28" w:type="dxa"/>
            </w:tcMar>
          </w:tcPr>
          <w:p w14:paraId="2827E128" w14:textId="77777777" w:rsidR="00A75BD0" w:rsidRDefault="009D4DA5">
            <w:pPr>
              <w:rPr>
                <w:color w:val="005A9E"/>
                <w:sz w:val="18"/>
                <w:szCs w:val="18"/>
              </w:rPr>
            </w:pPr>
            <w:r>
              <w:rPr>
                <w:color w:val="005A9E"/>
                <w:sz w:val="18"/>
                <w:szCs w:val="18"/>
              </w:rPr>
              <w:t>4</w:t>
            </w:r>
          </w:p>
        </w:tc>
        <w:tc>
          <w:tcPr>
            <w:tcW w:w="5297" w:type="dxa"/>
            <w:gridSpan w:val="2"/>
            <w:tcBorders>
              <w:top w:val="single" w:sz="4" w:space="0" w:color="000000" w:themeColor="text1"/>
              <w:bottom w:val="single" w:sz="4" w:space="0" w:color="000000" w:themeColor="text1"/>
            </w:tcBorders>
            <w:tcMar>
              <w:left w:w="0" w:type="dxa"/>
              <w:right w:w="0" w:type="dxa"/>
            </w:tcMar>
          </w:tcPr>
          <w:p w14:paraId="1CF592D3"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69% Epistaxis</w:t>
            </w:r>
          </w:p>
          <w:p w14:paraId="140E7395"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PAP (from 53 to 42.5 mmHg) and the dropped </w:t>
            </w:r>
          </w:p>
          <w:p w14:paraId="0974E72F"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stroke volume index (from 78.6 to 42.2 ml/m</w:t>
            </w:r>
            <w:r w:rsidRPr="002F6A24">
              <w:rPr>
                <w:color w:val="005A9E"/>
                <w:sz w:val="18"/>
                <w:szCs w:val="18"/>
                <w:vertAlign w:val="superscript"/>
                <w:lang w:val="en-US"/>
              </w:rPr>
              <w:t>2</w:t>
            </w:r>
            <w:r w:rsidRPr="002F6A24">
              <w:rPr>
                <w:color w:val="005A9E"/>
                <w:sz w:val="18"/>
                <w:szCs w:val="18"/>
                <w:lang w:val="en-US"/>
              </w:rPr>
              <w:t>)</w:t>
            </w:r>
          </w:p>
          <w:p w14:paraId="64D5B78F"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Heart rate (from 77 to 96 bpm)</w:t>
            </w:r>
          </w:p>
          <w:p w14:paraId="75EFDFB5" w14:textId="77777777" w:rsidR="00A75BD0" w:rsidRDefault="009D4DA5">
            <w:pPr>
              <w:numPr>
                <w:ilvl w:val="0"/>
                <w:numId w:val="17"/>
              </w:numPr>
              <w:ind w:right="166"/>
              <w:jc w:val="both"/>
              <w:rPr>
                <w:color w:val="005A9E"/>
                <w:sz w:val="18"/>
                <w:szCs w:val="18"/>
              </w:rPr>
            </w:pPr>
            <w:r>
              <w:rPr>
                <w:color w:val="005A9E"/>
                <w:sz w:val="18"/>
                <w:szCs w:val="18"/>
              </w:rPr>
              <w:t>Blood pressure stable</w:t>
            </w:r>
          </w:p>
        </w:tc>
      </w:tr>
      <w:tr w:rsidR="00A75BD0" w14:paraId="0AA4CCF3"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7EC54945" w14:textId="77777777" w:rsidR="00A75BD0" w:rsidRDefault="008853BF">
            <w:pPr>
              <w:rPr>
                <w:color w:val="005A9E"/>
                <w:sz w:val="18"/>
                <w:szCs w:val="18"/>
              </w:rPr>
            </w:pPr>
            <w:hyperlink r:id="rId49">
              <w:r w:rsidR="009D4DA5">
                <w:rPr>
                  <w:color w:val="0563C1"/>
                  <w:sz w:val="18"/>
                  <w:szCs w:val="18"/>
                  <w:u w:val="single"/>
                </w:rPr>
                <w:t>Kochanowski 2015</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7198C7D0" w14:textId="77777777" w:rsidR="00A75BD0" w:rsidRDefault="009D4DA5" w:rsidP="0BA40188">
            <w:pPr>
              <w:rPr>
                <w:color w:val="005A9E"/>
                <w:sz w:val="18"/>
                <w:szCs w:val="18"/>
                <w:lang w:val="fr-FR"/>
              </w:rPr>
            </w:pPr>
            <w:r w:rsidRPr="0BA40188">
              <w:rPr>
                <w:color w:val="005A9E"/>
                <w:sz w:val="18"/>
                <w:szCs w:val="18"/>
                <w:lang w:val="fr-FR"/>
              </w:rPr>
              <w:t>1 patient 56 y with</w:t>
            </w:r>
          </w:p>
          <w:p w14:paraId="0D365833" w14:textId="77777777" w:rsidR="00A75BD0" w:rsidRPr="002F6A24" w:rsidRDefault="009D4DA5">
            <w:pPr>
              <w:rPr>
                <w:color w:val="005A9E"/>
                <w:sz w:val="18"/>
                <w:szCs w:val="18"/>
                <w:lang w:val="en-US"/>
              </w:rPr>
            </w:pPr>
            <w:r w:rsidRPr="002F6A24">
              <w:rPr>
                <w:color w:val="005A9E"/>
                <w:sz w:val="18"/>
                <w:szCs w:val="18"/>
                <w:lang w:val="en-US"/>
              </w:rPr>
              <w:t>GI bleedings treated by argon coagulation</w:t>
            </w:r>
          </w:p>
          <w:p w14:paraId="78E243B6" w14:textId="77777777" w:rsidR="00A75BD0" w:rsidRPr="002F6A24" w:rsidRDefault="009D4DA5">
            <w:pPr>
              <w:rPr>
                <w:color w:val="005A9E"/>
                <w:sz w:val="18"/>
                <w:szCs w:val="18"/>
                <w:lang w:val="en-US"/>
              </w:rPr>
            </w:pPr>
            <w:r w:rsidRPr="002F6A24">
              <w:rPr>
                <w:color w:val="005A9E"/>
                <w:sz w:val="18"/>
                <w:szCs w:val="18"/>
                <w:lang w:val="en-US"/>
              </w:rPr>
              <w:t>Iron infusions</w:t>
            </w:r>
          </w:p>
          <w:p w14:paraId="1B4C9D3F" w14:textId="77777777" w:rsidR="00A75BD0" w:rsidRPr="002F6A24" w:rsidRDefault="009D4DA5">
            <w:pPr>
              <w:rPr>
                <w:color w:val="005A9E"/>
                <w:sz w:val="18"/>
                <w:szCs w:val="18"/>
                <w:lang w:val="en-US"/>
              </w:rPr>
            </w:pPr>
            <w:r w:rsidRPr="002F6A24">
              <w:rPr>
                <w:color w:val="005A9E"/>
                <w:sz w:val="18"/>
                <w:szCs w:val="18"/>
                <w:lang w:val="en-US"/>
              </w:rPr>
              <w:t>2-3 units LRBC transfusions (2-4 weeks)</w:t>
            </w:r>
          </w:p>
          <w:p w14:paraId="653944BD" w14:textId="77777777" w:rsidR="00A75BD0" w:rsidRPr="002F6A24" w:rsidRDefault="00A75BD0">
            <w:pPr>
              <w:rPr>
                <w:color w:val="005A9E"/>
                <w:sz w:val="18"/>
                <w:szCs w:val="18"/>
                <w:lang w:val="en-US"/>
              </w:rPr>
            </w:pPr>
          </w:p>
          <w:p w14:paraId="610EF21B" w14:textId="77777777" w:rsidR="00A75BD0" w:rsidRPr="002F6A24" w:rsidRDefault="009D4DA5">
            <w:pPr>
              <w:rPr>
                <w:color w:val="005A9E"/>
                <w:sz w:val="18"/>
                <w:szCs w:val="18"/>
                <w:lang w:val="en-US"/>
              </w:rPr>
            </w:pPr>
            <w:r w:rsidRPr="002F6A24">
              <w:rPr>
                <w:color w:val="005A9E"/>
                <w:sz w:val="18"/>
                <w:szCs w:val="18"/>
                <w:lang w:val="en-US"/>
              </w:rPr>
              <w:t xml:space="preserve">development of post-transfusion complications </w:t>
            </w:r>
          </w:p>
          <w:p w14:paraId="156AE1C8" w14:textId="77777777" w:rsidR="00A75BD0" w:rsidRPr="002F6A24" w:rsidRDefault="009D4DA5">
            <w:pPr>
              <w:rPr>
                <w:color w:val="005A9E"/>
                <w:sz w:val="18"/>
                <w:szCs w:val="18"/>
                <w:lang w:val="en-US"/>
              </w:rPr>
            </w:pPr>
            <w:r w:rsidRPr="002F6A24">
              <w:rPr>
                <w:color w:val="005A9E"/>
                <w:sz w:val="18"/>
                <w:szCs w:val="18"/>
                <w:lang w:val="en-US"/>
              </w:rPr>
              <w:t>oral estradiolum hormonal therapy stopped cause of symptoms</w:t>
            </w:r>
          </w:p>
        </w:tc>
        <w:tc>
          <w:tcPr>
            <w:tcW w:w="2552" w:type="dxa"/>
            <w:gridSpan w:val="3"/>
            <w:tcBorders>
              <w:top w:val="single" w:sz="4" w:space="0" w:color="000000" w:themeColor="text1"/>
              <w:bottom w:val="single" w:sz="4" w:space="0" w:color="000000" w:themeColor="text1"/>
            </w:tcBorders>
            <w:tcMar>
              <w:left w:w="28" w:type="dxa"/>
              <w:right w:w="28" w:type="dxa"/>
            </w:tcMar>
          </w:tcPr>
          <w:p w14:paraId="406485AE" w14:textId="77777777" w:rsidR="00A75BD0" w:rsidRPr="002F6A24" w:rsidRDefault="009D4DA5">
            <w:pPr>
              <w:ind w:right="114"/>
              <w:rPr>
                <w:color w:val="005A9E"/>
                <w:sz w:val="18"/>
                <w:szCs w:val="18"/>
                <w:lang w:val="en-US"/>
              </w:rPr>
            </w:pPr>
            <w:r w:rsidRPr="002F6A24">
              <w:rPr>
                <w:color w:val="005A9E"/>
                <w:sz w:val="18"/>
                <w:szCs w:val="18"/>
                <w:lang w:val="en-US"/>
              </w:rPr>
              <w:t>3.1 mg/ kg / 3 weeks</w:t>
            </w:r>
          </w:p>
          <w:p w14:paraId="6B693DBF" w14:textId="77777777" w:rsidR="00A75BD0" w:rsidRPr="002F6A24" w:rsidRDefault="009D4DA5">
            <w:pPr>
              <w:ind w:right="114"/>
              <w:rPr>
                <w:color w:val="005A9E"/>
                <w:sz w:val="18"/>
                <w:szCs w:val="18"/>
                <w:lang w:val="en-US"/>
              </w:rPr>
            </w:pPr>
            <w:r w:rsidRPr="002F6A24">
              <w:rPr>
                <w:color w:val="005A9E"/>
                <w:sz w:val="18"/>
                <w:szCs w:val="18"/>
                <w:lang w:val="en-US"/>
              </w:rPr>
              <w:t>total of 6 injections</w:t>
            </w:r>
          </w:p>
          <w:p w14:paraId="3F72CAEA" w14:textId="77777777" w:rsidR="00A75BD0" w:rsidRPr="002F6A24" w:rsidRDefault="00A75BD0">
            <w:pPr>
              <w:ind w:right="114"/>
              <w:rPr>
                <w:color w:val="005A9E"/>
                <w:sz w:val="18"/>
                <w:szCs w:val="18"/>
                <w:lang w:val="en-US"/>
              </w:rPr>
            </w:pPr>
          </w:p>
          <w:p w14:paraId="31DF36AB" w14:textId="77777777" w:rsidR="00A75BD0" w:rsidRPr="002F6A24" w:rsidRDefault="00A75BD0">
            <w:pPr>
              <w:ind w:right="114"/>
              <w:rPr>
                <w:color w:val="005A9E"/>
                <w:sz w:val="18"/>
                <w:szCs w:val="18"/>
                <w:lang w:val="en-US"/>
              </w:rPr>
            </w:pPr>
          </w:p>
        </w:tc>
        <w:tc>
          <w:tcPr>
            <w:tcW w:w="1134" w:type="dxa"/>
            <w:tcBorders>
              <w:top w:val="single" w:sz="4" w:space="0" w:color="000000" w:themeColor="text1"/>
              <w:bottom w:val="single" w:sz="4" w:space="0" w:color="000000" w:themeColor="text1"/>
            </w:tcBorders>
            <w:tcMar>
              <w:left w:w="28" w:type="dxa"/>
              <w:right w:w="28" w:type="dxa"/>
            </w:tcMar>
          </w:tcPr>
          <w:p w14:paraId="5B4118C8" w14:textId="77777777" w:rsidR="00A75BD0" w:rsidRDefault="009D4DA5">
            <w:pPr>
              <w:rPr>
                <w:color w:val="005A9E"/>
                <w:sz w:val="18"/>
                <w:szCs w:val="18"/>
              </w:rPr>
            </w:pPr>
            <w:r>
              <w:rPr>
                <w:color w:val="005A9E"/>
                <w:sz w:val="18"/>
                <w:szCs w:val="18"/>
              </w:rPr>
              <w:t>8</w:t>
            </w:r>
          </w:p>
        </w:tc>
        <w:tc>
          <w:tcPr>
            <w:tcW w:w="5297" w:type="dxa"/>
            <w:gridSpan w:val="2"/>
            <w:tcBorders>
              <w:top w:val="single" w:sz="4" w:space="0" w:color="000000" w:themeColor="text1"/>
              <w:bottom w:val="single" w:sz="4" w:space="0" w:color="000000" w:themeColor="text1"/>
            </w:tcBorders>
            <w:tcMar>
              <w:left w:w="0" w:type="dxa"/>
              <w:right w:w="0" w:type="dxa"/>
            </w:tcMar>
          </w:tcPr>
          <w:p w14:paraId="6B60A89D"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Hb (8.6 to 10.6 g/dL)</w:t>
            </w:r>
          </w:p>
          <w:p w14:paraId="763187D1" w14:textId="77777777" w:rsidR="00A75BD0" w:rsidRDefault="009D4DA5">
            <w:pPr>
              <w:numPr>
                <w:ilvl w:val="0"/>
                <w:numId w:val="17"/>
              </w:numPr>
              <w:ind w:right="166"/>
              <w:jc w:val="both"/>
              <w:rPr>
                <w:color w:val="005A9E"/>
                <w:sz w:val="18"/>
                <w:szCs w:val="18"/>
              </w:rPr>
            </w:pPr>
            <w:r>
              <w:rPr>
                <w:color w:val="005A9E"/>
                <w:sz w:val="18"/>
                <w:szCs w:val="18"/>
              </w:rPr>
              <w:t>No more transfusions</w:t>
            </w:r>
          </w:p>
          <w:p w14:paraId="653455A2"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reticulocyte numbers</w:t>
            </w:r>
          </w:p>
          <w:p w14:paraId="23C619AB"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complement’s component levels</w:t>
            </w:r>
          </w:p>
          <w:p w14:paraId="01D38B98"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patelets fibrinogen concentrations</w:t>
            </w:r>
          </w:p>
          <w:p w14:paraId="2B9EEADC" w14:textId="77777777" w:rsidR="00A75BD0" w:rsidRDefault="00A75BD0">
            <w:pPr>
              <w:ind w:left="360" w:right="166"/>
              <w:jc w:val="both"/>
              <w:rPr>
                <w:color w:val="005A9E"/>
                <w:sz w:val="18"/>
                <w:szCs w:val="18"/>
              </w:rPr>
            </w:pPr>
          </w:p>
        </w:tc>
      </w:tr>
      <w:tr w:rsidR="00A75BD0" w14:paraId="0FEF01E6"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6F573448" w14:textId="77777777" w:rsidR="00A75BD0" w:rsidRDefault="008853BF">
            <w:pPr>
              <w:rPr>
                <w:color w:val="005A9E"/>
                <w:sz w:val="18"/>
                <w:szCs w:val="18"/>
              </w:rPr>
            </w:pPr>
            <w:hyperlink r:id="rId50">
              <w:r w:rsidR="009D4DA5">
                <w:rPr>
                  <w:color w:val="0563C1"/>
                  <w:sz w:val="18"/>
                  <w:szCs w:val="18"/>
                  <w:u w:val="single"/>
                </w:rPr>
                <w:t>Huemer 2016</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7F7D9C39" w14:textId="77777777" w:rsidR="00A75BD0" w:rsidRDefault="009D4DA5" w:rsidP="0BA40188">
            <w:pPr>
              <w:rPr>
                <w:color w:val="005A9E"/>
                <w:sz w:val="18"/>
                <w:szCs w:val="18"/>
                <w:lang w:val="fr-FR"/>
              </w:rPr>
            </w:pPr>
            <w:r w:rsidRPr="0BA40188">
              <w:rPr>
                <w:color w:val="005A9E"/>
                <w:sz w:val="18"/>
                <w:szCs w:val="18"/>
                <w:lang w:val="fr-FR"/>
              </w:rPr>
              <w:t>1 patient 57 y with</w:t>
            </w:r>
          </w:p>
          <w:p w14:paraId="10DF3078" w14:textId="77777777" w:rsidR="00A75BD0" w:rsidRDefault="009D4DA5">
            <w:pPr>
              <w:rPr>
                <w:color w:val="005A9E"/>
                <w:sz w:val="18"/>
                <w:szCs w:val="18"/>
              </w:rPr>
            </w:pPr>
            <w:r>
              <w:rPr>
                <w:color w:val="005A9E"/>
                <w:sz w:val="18"/>
                <w:szCs w:val="18"/>
              </w:rPr>
              <w:t>Epistaxis</w:t>
            </w:r>
          </w:p>
          <w:p w14:paraId="5D532583" w14:textId="77777777" w:rsidR="00A75BD0" w:rsidRDefault="009D4DA5" w:rsidP="0BA40188">
            <w:pPr>
              <w:rPr>
                <w:color w:val="005A9E"/>
                <w:sz w:val="18"/>
                <w:szCs w:val="18"/>
                <w:lang w:val="fr-FR"/>
              </w:rPr>
            </w:pPr>
            <w:r w:rsidRPr="0BA40188">
              <w:rPr>
                <w:color w:val="005A9E"/>
                <w:sz w:val="18"/>
                <w:szCs w:val="18"/>
                <w:lang w:val="fr-FR"/>
              </w:rPr>
              <w:t>RBC transfusions /2 weeks</w:t>
            </w:r>
          </w:p>
          <w:p w14:paraId="59D2FC16" w14:textId="77777777" w:rsidR="00A75BD0" w:rsidRDefault="009D4DA5" w:rsidP="0BA40188">
            <w:pPr>
              <w:rPr>
                <w:color w:val="005A9E"/>
                <w:sz w:val="18"/>
                <w:szCs w:val="18"/>
                <w:lang w:val="fr-FR"/>
              </w:rPr>
            </w:pPr>
            <w:r w:rsidRPr="0BA40188">
              <w:rPr>
                <w:color w:val="005A9E"/>
                <w:sz w:val="18"/>
                <w:szCs w:val="18"/>
                <w:lang w:val="fr-FR"/>
              </w:rPr>
              <w:t xml:space="preserve">GI telangiectasias, </w:t>
            </w:r>
          </w:p>
          <w:p w14:paraId="0E1DCE9B" w14:textId="77777777" w:rsidR="00A75BD0" w:rsidRDefault="00A75BD0">
            <w:pPr>
              <w:rPr>
                <w:color w:val="005A9E"/>
                <w:sz w:val="18"/>
                <w:szCs w:val="18"/>
              </w:rPr>
            </w:pPr>
          </w:p>
        </w:tc>
        <w:tc>
          <w:tcPr>
            <w:tcW w:w="2552" w:type="dxa"/>
            <w:gridSpan w:val="3"/>
            <w:tcBorders>
              <w:top w:val="single" w:sz="4" w:space="0" w:color="000000" w:themeColor="text1"/>
              <w:bottom w:val="single" w:sz="4" w:space="0" w:color="000000" w:themeColor="text1"/>
            </w:tcBorders>
            <w:tcMar>
              <w:left w:w="28" w:type="dxa"/>
              <w:right w:w="28" w:type="dxa"/>
            </w:tcMar>
          </w:tcPr>
          <w:p w14:paraId="288BD864" w14:textId="77777777" w:rsidR="00A75BD0" w:rsidRDefault="009D4DA5" w:rsidP="0BA40188">
            <w:pPr>
              <w:ind w:right="114"/>
              <w:rPr>
                <w:color w:val="005A9E"/>
                <w:sz w:val="18"/>
                <w:szCs w:val="18"/>
                <w:lang w:val="fr-FR"/>
              </w:rPr>
            </w:pPr>
            <w:r w:rsidRPr="0BA40188">
              <w:rPr>
                <w:color w:val="005A9E"/>
                <w:sz w:val="18"/>
                <w:szCs w:val="18"/>
                <w:lang w:val="fr-FR"/>
              </w:rPr>
              <w:t>1 mg/ kg / 2 weeks</w:t>
            </w:r>
          </w:p>
          <w:p w14:paraId="17F94421" w14:textId="77777777" w:rsidR="00A75BD0" w:rsidRDefault="009D4DA5" w:rsidP="0BA40188">
            <w:pPr>
              <w:ind w:right="114"/>
              <w:rPr>
                <w:color w:val="005A9E"/>
                <w:sz w:val="18"/>
                <w:szCs w:val="18"/>
                <w:lang w:val="fr-FR"/>
              </w:rPr>
            </w:pPr>
            <w:r w:rsidRPr="0BA40188">
              <w:rPr>
                <w:color w:val="005A9E"/>
                <w:sz w:val="18"/>
                <w:szCs w:val="18"/>
                <w:lang w:val="fr-FR"/>
              </w:rPr>
              <w:t xml:space="preserve">total of 16 injections </w:t>
            </w:r>
          </w:p>
          <w:p w14:paraId="50B76A9F" w14:textId="77777777" w:rsidR="00A75BD0" w:rsidRDefault="00A75BD0">
            <w:pPr>
              <w:ind w:right="114"/>
              <w:rPr>
                <w:color w:val="005A9E"/>
                <w:sz w:val="18"/>
                <w:szCs w:val="18"/>
              </w:rPr>
            </w:pPr>
          </w:p>
          <w:p w14:paraId="27823E4A" w14:textId="77777777" w:rsidR="00A75BD0" w:rsidRPr="002F6A24" w:rsidRDefault="009D4DA5">
            <w:pPr>
              <w:ind w:right="114"/>
              <w:rPr>
                <w:color w:val="005A9E"/>
                <w:sz w:val="18"/>
                <w:szCs w:val="18"/>
                <w:lang w:val="en-US"/>
              </w:rPr>
            </w:pPr>
            <w:r w:rsidRPr="002F6A24">
              <w:rPr>
                <w:color w:val="005A9E"/>
                <w:sz w:val="18"/>
                <w:szCs w:val="18"/>
                <w:lang w:val="en-US"/>
              </w:rPr>
              <w:t>Intermittent maintenance after 8.5 months of last injection : 1 mg/ kg / 2 weeks</w:t>
            </w:r>
          </w:p>
          <w:p w14:paraId="4A9C5F45" w14:textId="77777777" w:rsidR="00A75BD0" w:rsidRPr="002F6A24" w:rsidRDefault="009D4DA5">
            <w:pPr>
              <w:ind w:right="114"/>
              <w:rPr>
                <w:color w:val="005A9E"/>
                <w:sz w:val="18"/>
                <w:szCs w:val="18"/>
                <w:lang w:val="en-US"/>
              </w:rPr>
            </w:pPr>
            <w:r w:rsidRPr="002F6A24">
              <w:rPr>
                <w:color w:val="005A9E"/>
                <w:sz w:val="18"/>
                <w:szCs w:val="18"/>
                <w:lang w:val="en-US"/>
              </w:rPr>
              <w:t xml:space="preserve">total of 7 injections </w:t>
            </w:r>
          </w:p>
          <w:p w14:paraId="6BFFB15B" w14:textId="77777777" w:rsidR="00A75BD0" w:rsidRPr="002F6A24" w:rsidRDefault="00A75BD0">
            <w:pPr>
              <w:ind w:right="114"/>
              <w:rPr>
                <w:color w:val="005A9E"/>
                <w:sz w:val="18"/>
                <w:szCs w:val="18"/>
                <w:lang w:val="en-US"/>
              </w:rPr>
            </w:pPr>
          </w:p>
          <w:p w14:paraId="4B43E15A" w14:textId="77777777" w:rsidR="00A75BD0" w:rsidRPr="002F6A24" w:rsidRDefault="009D4DA5">
            <w:pPr>
              <w:ind w:right="114"/>
              <w:rPr>
                <w:color w:val="005A9E"/>
                <w:sz w:val="18"/>
                <w:szCs w:val="18"/>
                <w:lang w:val="en-US"/>
              </w:rPr>
            </w:pPr>
            <w:r w:rsidRPr="002F6A24">
              <w:rPr>
                <w:color w:val="005A9E"/>
                <w:sz w:val="18"/>
                <w:szCs w:val="18"/>
                <w:lang w:val="en-US"/>
              </w:rPr>
              <w:t>Intermittent maintenance after 4 months of last injection : 1 mg/ kg / 2 weeks</w:t>
            </w:r>
          </w:p>
          <w:p w14:paraId="062905C0" w14:textId="77777777" w:rsidR="00A75BD0" w:rsidRPr="002F6A24" w:rsidRDefault="009D4DA5">
            <w:pPr>
              <w:ind w:right="114"/>
              <w:rPr>
                <w:color w:val="005A9E"/>
                <w:sz w:val="18"/>
                <w:szCs w:val="18"/>
                <w:lang w:val="en-US"/>
              </w:rPr>
            </w:pPr>
            <w:r w:rsidRPr="002F6A24">
              <w:rPr>
                <w:color w:val="005A9E"/>
                <w:sz w:val="18"/>
                <w:szCs w:val="18"/>
                <w:lang w:val="en-US"/>
              </w:rPr>
              <w:t xml:space="preserve">total of 13 injections </w:t>
            </w:r>
          </w:p>
          <w:p w14:paraId="6ECE583C" w14:textId="77777777" w:rsidR="00A75BD0" w:rsidRPr="002F6A24" w:rsidRDefault="00A75BD0">
            <w:pPr>
              <w:ind w:right="114"/>
              <w:rPr>
                <w:color w:val="005A9E"/>
                <w:sz w:val="18"/>
                <w:szCs w:val="18"/>
                <w:lang w:val="en-US"/>
              </w:rPr>
            </w:pPr>
          </w:p>
          <w:p w14:paraId="7D1BEC8E" w14:textId="77777777" w:rsidR="00A75BD0" w:rsidRPr="002F6A24" w:rsidRDefault="009D4DA5">
            <w:pPr>
              <w:ind w:right="114"/>
              <w:rPr>
                <w:color w:val="005A9E"/>
                <w:sz w:val="18"/>
                <w:szCs w:val="18"/>
                <w:lang w:val="en-US"/>
              </w:rPr>
            </w:pPr>
            <w:r w:rsidRPr="002F6A24">
              <w:rPr>
                <w:color w:val="005A9E"/>
                <w:sz w:val="18"/>
                <w:szCs w:val="18"/>
                <w:lang w:val="en-US"/>
              </w:rPr>
              <w:t>low dose for cost reason</w:t>
            </w:r>
          </w:p>
        </w:tc>
        <w:tc>
          <w:tcPr>
            <w:tcW w:w="1134" w:type="dxa"/>
            <w:tcBorders>
              <w:top w:val="single" w:sz="4" w:space="0" w:color="000000" w:themeColor="text1"/>
              <w:bottom w:val="single" w:sz="4" w:space="0" w:color="000000" w:themeColor="text1"/>
            </w:tcBorders>
            <w:tcMar>
              <w:left w:w="28" w:type="dxa"/>
              <w:right w:w="28" w:type="dxa"/>
            </w:tcMar>
          </w:tcPr>
          <w:p w14:paraId="334F000B" w14:textId="77777777" w:rsidR="00A75BD0" w:rsidRDefault="009D4DA5">
            <w:pPr>
              <w:rPr>
                <w:color w:val="005A9E"/>
                <w:sz w:val="18"/>
                <w:szCs w:val="18"/>
              </w:rPr>
            </w:pPr>
            <w:r>
              <w:rPr>
                <w:color w:val="005A9E"/>
                <w:sz w:val="18"/>
                <w:szCs w:val="18"/>
              </w:rPr>
              <w:t>14</w:t>
            </w:r>
          </w:p>
        </w:tc>
        <w:tc>
          <w:tcPr>
            <w:tcW w:w="5297" w:type="dxa"/>
            <w:gridSpan w:val="2"/>
            <w:tcBorders>
              <w:top w:val="single" w:sz="4" w:space="0" w:color="000000" w:themeColor="text1"/>
              <w:bottom w:val="single" w:sz="4" w:space="0" w:color="000000" w:themeColor="text1"/>
            </w:tcBorders>
            <w:tcMar>
              <w:left w:w="0" w:type="dxa"/>
              <w:right w:w="0" w:type="dxa"/>
            </w:tcMar>
          </w:tcPr>
          <w:p w14:paraId="78C17498"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ESS score (from 9 to 2)</w:t>
            </w:r>
          </w:p>
          <w:p w14:paraId="30A2D9D0"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Hb (from 7.6 to 13 g/dL)</w:t>
            </w:r>
          </w:p>
          <w:p w14:paraId="728ADE4C" w14:textId="77777777" w:rsidR="00A75BD0" w:rsidRPr="002F6A24" w:rsidRDefault="009D4DA5">
            <w:pPr>
              <w:numPr>
                <w:ilvl w:val="0"/>
                <w:numId w:val="17"/>
              </w:numPr>
              <w:ind w:left="283" w:right="166" w:hanging="283"/>
              <w:jc w:val="both"/>
              <w:rPr>
                <w:color w:val="005A9E"/>
                <w:sz w:val="18"/>
                <w:szCs w:val="18"/>
                <w:lang w:val="en-US"/>
              </w:rPr>
            </w:pPr>
            <w:r w:rsidRPr="002F6A24">
              <w:rPr>
                <w:color w:val="005A9E"/>
                <w:sz w:val="18"/>
                <w:szCs w:val="18"/>
                <w:lang w:val="en-US"/>
              </w:rPr>
              <w:t>No more transfusions until 8.5 months from the end of bevacizumab treatment</w:t>
            </w:r>
          </w:p>
          <w:p w14:paraId="547EEC5D" w14:textId="77777777" w:rsidR="00A75BD0" w:rsidRPr="002F6A24" w:rsidRDefault="009D4DA5">
            <w:pPr>
              <w:numPr>
                <w:ilvl w:val="0"/>
                <w:numId w:val="17"/>
              </w:numPr>
              <w:ind w:left="283" w:right="166" w:hanging="283"/>
              <w:jc w:val="both"/>
              <w:rPr>
                <w:color w:val="005A9E"/>
                <w:sz w:val="18"/>
                <w:szCs w:val="18"/>
                <w:lang w:val="en-US"/>
              </w:rPr>
            </w:pPr>
            <w:r w:rsidRPr="002F6A24">
              <w:rPr>
                <w:color w:val="005A9E"/>
                <w:sz w:val="18"/>
                <w:szCs w:val="18"/>
                <w:lang w:val="en-US"/>
              </w:rPr>
              <w:t>Nosebleeds and anemia come back after 7 months from the end of treatment</w:t>
            </w:r>
          </w:p>
          <w:p w14:paraId="243E9536" w14:textId="77777777" w:rsidR="00A75BD0" w:rsidRDefault="009D4DA5">
            <w:pPr>
              <w:numPr>
                <w:ilvl w:val="0"/>
                <w:numId w:val="17"/>
              </w:numPr>
              <w:ind w:right="166"/>
              <w:jc w:val="both"/>
              <w:rPr>
                <w:color w:val="005A9E"/>
                <w:sz w:val="18"/>
                <w:szCs w:val="18"/>
              </w:rPr>
            </w:pPr>
            <w:r>
              <w:rPr>
                <w:color w:val="005A9E"/>
                <w:sz w:val="18"/>
                <w:szCs w:val="18"/>
              </w:rPr>
              <w:t>No AE</w:t>
            </w:r>
          </w:p>
        </w:tc>
      </w:tr>
      <w:tr w:rsidR="00A75BD0" w14:paraId="3893AFC1"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5F28A0C1" w14:textId="77777777" w:rsidR="00A75BD0" w:rsidRDefault="008853BF">
            <w:pPr>
              <w:rPr>
                <w:color w:val="005A9E"/>
                <w:sz w:val="18"/>
                <w:szCs w:val="18"/>
              </w:rPr>
            </w:pPr>
            <w:hyperlink r:id="rId51">
              <w:r w:rsidR="009D4DA5">
                <w:rPr>
                  <w:color w:val="0563C1"/>
                  <w:sz w:val="18"/>
                  <w:szCs w:val="18"/>
                  <w:u w:val="single"/>
                </w:rPr>
                <w:t>Sehl 2015</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34AC01E7" w14:textId="77777777" w:rsidR="00A75BD0" w:rsidRDefault="009D4DA5">
            <w:pPr>
              <w:rPr>
                <w:color w:val="005A9E"/>
                <w:sz w:val="18"/>
                <w:szCs w:val="18"/>
              </w:rPr>
            </w:pPr>
            <w:r>
              <w:rPr>
                <w:color w:val="005A9E"/>
                <w:sz w:val="18"/>
                <w:szCs w:val="18"/>
              </w:rPr>
              <w:t>1 patient 74 y</w:t>
            </w:r>
          </w:p>
          <w:p w14:paraId="45D1C313" w14:textId="77777777" w:rsidR="00A75BD0" w:rsidRDefault="009D4DA5" w:rsidP="0BA40188">
            <w:pPr>
              <w:rPr>
                <w:color w:val="005A9E"/>
                <w:sz w:val="18"/>
                <w:szCs w:val="18"/>
                <w:lang w:val="fr-FR"/>
              </w:rPr>
            </w:pPr>
            <w:r w:rsidRPr="0BA40188">
              <w:rPr>
                <w:color w:val="005A9E"/>
                <w:sz w:val="18"/>
                <w:szCs w:val="18"/>
                <w:lang w:val="fr-FR"/>
              </w:rPr>
              <w:t>10 units RBC/week</w:t>
            </w:r>
          </w:p>
          <w:p w14:paraId="1B3586AC" w14:textId="77777777" w:rsidR="00A75BD0" w:rsidRDefault="009D4DA5" w:rsidP="0BA40188">
            <w:pPr>
              <w:rPr>
                <w:color w:val="005A9E"/>
                <w:sz w:val="18"/>
                <w:szCs w:val="18"/>
                <w:lang w:val="fr-FR"/>
              </w:rPr>
            </w:pPr>
            <w:r w:rsidRPr="0BA40188">
              <w:rPr>
                <w:color w:val="005A9E"/>
                <w:sz w:val="18"/>
                <w:szCs w:val="18"/>
                <w:lang w:val="fr-FR"/>
              </w:rPr>
              <w:t>symptomatic digestive tract lesions</w:t>
            </w:r>
          </w:p>
          <w:p w14:paraId="6F7C34FF" w14:textId="77777777" w:rsidR="00A75BD0" w:rsidRDefault="009D4DA5" w:rsidP="0BA40188">
            <w:pPr>
              <w:rPr>
                <w:color w:val="005A9E"/>
                <w:sz w:val="18"/>
                <w:szCs w:val="18"/>
                <w:lang w:val="fr-FR"/>
              </w:rPr>
            </w:pPr>
            <w:r w:rsidRPr="0BA40188">
              <w:rPr>
                <w:color w:val="005A9E"/>
                <w:sz w:val="18"/>
                <w:szCs w:val="18"/>
                <w:lang w:val="fr-FR"/>
              </w:rPr>
              <w:t>epistaxis episode &gt; 30 min</w:t>
            </w:r>
          </w:p>
          <w:p w14:paraId="0B0A038A" w14:textId="77777777" w:rsidR="00A75BD0" w:rsidRDefault="00A75BD0">
            <w:pPr>
              <w:rPr>
                <w:color w:val="005A9E"/>
                <w:sz w:val="18"/>
                <w:szCs w:val="18"/>
              </w:rPr>
            </w:pPr>
          </w:p>
          <w:p w14:paraId="1A368400" w14:textId="77777777" w:rsidR="00A75BD0" w:rsidRPr="002F6A24" w:rsidRDefault="009D4DA5">
            <w:pPr>
              <w:rPr>
                <w:color w:val="005A9E"/>
                <w:sz w:val="18"/>
                <w:szCs w:val="18"/>
                <w:lang w:val="en-US"/>
              </w:rPr>
            </w:pPr>
            <w:r w:rsidRPr="002F6A24">
              <w:rPr>
                <w:color w:val="005A9E"/>
                <w:sz w:val="18"/>
                <w:szCs w:val="18"/>
                <w:lang w:val="en-US"/>
              </w:rPr>
              <w:t xml:space="preserve">Amicar 500 mg every six hours failed </w:t>
            </w:r>
          </w:p>
        </w:tc>
        <w:tc>
          <w:tcPr>
            <w:tcW w:w="2552" w:type="dxa"/>
            <w:gridSpan w:val="3"/>
            <w:tcBorders>
              <w:top w:val="single" w:sz="4" w:space="0" w:color="000000" w:themeColor="text1"/>
              <w:bottom w:val="single" w:sz="4" w:space="0" w:color="000000" w:themeColor="text1"/>
            </w:tcBorders>
            <w:tcMar>
              <w:left w:w="28" w:type="dxa"/>
              <w:right w:w="28" w:type="dxa"/>
            </w:tcMar>
          </w:tcPr>
          <w:p w14:paraId="3872B6B0" w14:textId="77777777" w:rsidR="00A75BD0" w:rsidRPr="002F6A24" w:rsidRDefault="009D4DA5">
            <w:pPr>
              <w:ind w:right="114"/>
              <w:rPr>
                <w:color w:val="005A9E"/>
                <w:sz w:val="18"/>
                <w:szCs w:val="18"/>
                <w:lang w:val="en-US"/>
              </w:rPr>
            </w:pPr>
            <w:r w:rsidRPr="002F6A24">
              <w:rPr>
                <w:color w:val="005A9E"/>
                <w:sz w:val="18"/>
                <w:szCs w:val="18"/>
                <w:lang w:val="en-US"/>
              </w:rPr>
              <w:t>3.3 mg/kg/ two weeks</w:t>
            </w:r>
          </w:p>
          <w:p w14:paraId="23D74ABE" w14:textId="77777777" w:rsidR="00A75BD0" w:rsidRPr="002F6A24" w:rsidRDefault="009D4DA5">
            <w:pPr>
              <w:ind w:right="114"/>
              <w:rPr>
                <w:color w:val="005A9E"/>
                <w:sz w:val="18"/>
                <w:szCs w:val="18"/>
                <w:lang w:val="en-US"/>
              </w:rPr>
            </w:pPr>
            <w:r w:rsidRPr="002F6A24">
              <w:rPr>
                <w:color w:val="005A9E"/>
                <w:sz w:val="18"/>
                <w:szCs w:val="18"/>
                <w:lang w:val="en-US"/>
              </w:rPr>
              <w:t>6 injections</w:t>
            </w:r>
          </w:p>
          <w:p w14:paraId="155B1578" w14:textId="77777777" w:rsidR="00A75BD0" w:rsidRPr="002F6A24" w:rsidRDefault="009D4DA5">
            <w:pPr>
              <w:ind w:right="114"/>
              <w:rPr>
                <w:color w:val="005A9E"/>
                <w:sz w:val="18"/>
                <w:szCs w:val="18"/>
                <w:lang w:val="en-US"/>
              </w:rPr>
            </w:pPr>
            <w:r w:rsidRPr="002F6A24">
              <w:rPr>
                <w:color w:val="005A9E"/>
                <w:sz w:val="18"/>
                <w:szCs w:val="18"/>
                <w:lang w:val="en-US"/>
              </w:rPr>
              <w:t>3.3 mg/kg/ 4 weeks</w:t>
            </w:r>
          </w:p>
          <w:p w14:paraId="62536A25" w14:textId="77777777" w:rsidR="00A75BD0" w:rsidRDefault="009D4DA5">
            <w:pPr>
              <w:ind w:right="114"/>
              <w:rPr>
                <w:color w:val="005A9E"/>
                <w:sz w:val="18"/>
                <w:szCs w:val="18"/>
              </w:rPr>
            </w:pPr>
            <w:r>
              <w:rPr>
                <w:color w:val="005A9E"/>
                <w:sz w:val="18"/>
                <w:szCs w:val="18"/>
              </w:rPr>
              <w:t>12 injections</w:t>
            </w:r>
          </w:p>
          <w:p w14:paraId="351BE735" w14:textId="77777777" w:rsidR="00A75BD0" w:rsidRDefault="00A75BD0">
            <w:pPr>
              <w:ind w:right="114"/>
              <w:rPr>
                <w:color w:val="005A9E"/>
                <w:sz w:val="18"/>
                <w:szCs w:val="18"/>
              </w:rPr>
            </w:pPr>
          </w:p>
        </w:tc>
        <w:tc>
          <w:tcPr>
            <w:tcW w:w="1134" w:type="dxa"/>
            <w:tcBorders>
              <w:top w:val="single" w:sz="4" w:space="0" w:color="000000" w:themeColor="text1"/>
              <w:bottom w:val="single" w:sz="4" w:space="0" w:color="000000" w:themeColor="text1"/>
            </w:tcBorders>
            <w:tcMar>
              <w:left w:w="28" w:type="dxa"/>
              <w:right w:w="28" w:type="dxa"/>
            </w:tcMar>
          </w:tcPr>
          <w:p w14:paraId="0A81A6F6" w14:textId="77777777" w:rsidR="00A75BD0" w:rsidRDefault="009D4DA5">
            <w:pPr>
              <w:rPr>
                <w:color w:val="005A9E"/>
                <w:sz w:val="18"/>
                <w:szCs w:val="18"/>
              </w:rPr>
            </w:pPr>
            <w:r>
              <w:rPr>
                <w:color w:val="005A9E"/>
                <w:sz w:val="18"/>
                <w:szCs w:val="18"/>
              </w:rPr>
              <w:t>15</w:t>
            </w:r>
          </w:p>
        </w:tc>
        <w:tc>
          <w:tcPr>
            <w:tcW w:w="5297" w:type="dxa"/>
            <w:gridSpan w:val="2"/>
            <w:tcBorders>
              <w:top w:val="single" w:sz="4" w:space="0" w:color="000000" w:themeColor="text1"/>
              <w:bottom w:val="single" w:sz="4" w:space="0" w:color="000000" w:themeColor="text1"/>
            </w:tcBorders>
            <w:tcMar>
              <w:left w:w="0" w:type="dxa"/>
              <w:right w:w="0" w:type="dxa"/>
            </w:tcMar>
          </w:tcPr>
          <w:p w14:paraId="2AEEE284" w14:textId="77777777" w:rsidR="00A75BD0" w:rsidRDefault="009D4DA5">
            <w:pPr>
              <w:numPr>
                <w:ilvl w:val="0"/>
                <w:numId w:val="17"/>
              </w:numPr>
              <w:ind w:right="166"/>
              <w:jc w:val="both"/>
              <w:rPr>
                <w:color w:val="005A9E"/>
                <w:sz w:val="18"/>
                <w:szCs w:val="18"/>
              </w:rPr>
            </w:pPr>
            <w:r>
              <w:rPr>
                <w:color w:val="005A9E"/>
                <w:sz w:val="18"/>
                <w:szCs w:val="18"/>
              </w:rPr>
              <w:t>No more transfusions</w:t>
            </w:r>
          </w:p>
          <w:p w14:paraId="2974AFCE"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Epistaxis (from to &gt;30 minutes to 20 min occasionally)</w:t>
            </w:r>
          </w:p>
          <w:p w14:paraId="7C89411B"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Hb (8.5 to 12-13 g/dL)</w:t>
            </w:r>
          </w:p>
        </w:tc>
      </w:tr>
      <w:tr w:rsidR="00A75BD0" w14:paraId="29870B28"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14CA5E33" w14:textId="77777777" w:rsidR="00A75BD0" w:rsidRDefault="008853BF">
            <w:pPr>
              <w:rPr>
                <w:color w:val="005A9E"/>
                <w:sz w:val="18"/>
                <w:szCs w:val="18"/>
              </w:rPr>
            </w:pPr>
            <w:hyperlink r:id="rId52">
              <w:r w:rsidR="009D4DA5">
                <w:rPr>
                  <w:color w:val="0563C1"/>
                  <w:sz w:val="18"/>
                  <w:szCs w:val="18"/>
                  <w:u w:val="single"/>
                </w:rPr>
                <w:t>Ou 2016</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328C9143" w14:textId="77777777" w:rsidR="00A75BD0" w:rsidRDefault="009D4DA5">
            <w:pPr>
              <w:rPr>
                <w:color w:val="005A9E"/>
                <w:sz w:val="18"/>
                <w:szCs w:val="18"/>
              </w:rPr>
            </w:pPr>
            <w:r>
              <w:rPr>
                <w:color w:val="005A9E"/>
                <w:sz w:val="18"/>
                <w:szCs w:val="18"/>
              </w:rPr>
              <w:t>1 patient 74 y</w:t>
            </w:r>
          </w:p>
          <w:p w14:paraId="55AD7CCC" w14:textId="77777777" w:rsidR="00A75BD0" w:rsidRDefault="009D4DA5" w:rsidP="0BA40188">
            <w:pPr>
              <w:rPr>
                <w:color w:val="005A9E"/>
                <w:sz w:val="18"/>
                <w:szCs w:val="18"/>
                <w:lang w:val="fr-FR"/>
              </w:rPr>
            </w:pPr>
            <w:r w:rsidRPr="0BA40188">
              <w:rPr>
                <w:color w:val="005A9E"/>
                <w:sz w:val="18"/>
                <w:szCs w:val="18"/>
                <w:lang w:val="fr-FR"/>
              </w:rPr>
              <w:t>Daily epistaxis</w:t>
            </w:r>
          </w:p>
          <w:p w14:paraId="7B99868E" w14:textId="77777777" w:rsidR="00A75BD0" w:rsidRDefault="009D4DA5" w:rsidP="0BA40188">
            <w:pPr>
              <w:rPr>
                <w:color w:val="005A9E"/>
                <w:sz w:val="18"/>
                <w:szCs w:val="18"/>
                <w:lang w:val="fr-FR"/>
              </w:rPr>
            </w:pPr>
            <w:r w:rsidRPr="0BA40188">
              <w:rPr>
                <w:color w:val="005A9E"/>
                <w:sz w:val="18"/>
                <w:szCs w:val="18"/>
                <w:lang w:val="fr-FR"/>
              </w:rPr>
              <w:t xml:space="preserve">GI bleedings (melena), diffuse telangiectasias </w:t>
            </w:r>
          </w:p>
          <w:p w14:paraId="4BCBFDBB" w14:textId="77777777" w:rsidR="00A75BD0" w:rsidRPr="002F6A24" w:rsidRDefault="009D4DA5">
            <w:pPr>
              <w:rPr>
                <w:color w:val="005A9E"/>
                <w:sz w:val="18"/>
                <w:szCs w:val="18"/>
                <w:lang w:val="en-US"/>
              </w:rPr>
            </w:pPr>
            <w:r w:rsidRPr="002F6A24">
              <w:rPr>
                <w:color w:val="005A9E"/>
                <w:sz w:val="18"/>
                <w:szCs w:val="18"/>
                <w:lang w:val="en-US"/>
              </w:rPr>
              <w:t>pulmonary hypertension from high-output cardiac failure secondary to chronic severe anemia</w:t>
            </w:r>
          </w:p>
          <w:p w14:paraId="6BD1CA6B" w14:textId="77777777" w:rsidR="00A75BD0" w:rsidRPr="002F6A24" w:rsidRDefault="009D4DA5">
            <w:pPr>
              <w:rPr>
                <w:color w:val="005A9E"/>
                <w:sz w:val="18"/>
                <w:szCs w:val="18"/>
                <w:lang w:val="en-US"/>
              </w:rPr>
            </w:pPr>
            <w:r w:rsidRPr="002F6A24">
              <w:rPr>
                <w:color w:val="005A9E"/>
                <w:sz w:val="18"/>
                <w:szCs w:val="18"/>
                <w:lang w:val="en-US"/>
              </w:rPr>
              <w:t>PAVM embolized</w:t>
            </w:r>
          </w:p>
          <w:p w14:paraId="6A4F62C1" w14:textId="77777777" w:rsidR="00A75BD0" w:rsidRPr="002F6A24" w:rsidRDefault="009D4DA5">
            <w:pPr>
              <w:rPr>
                <w:color w:val="005A9E"/>
                <w:sz w:val="18"/>
                <w:szCs w:val="18"/>
                <w:lang w:val="en-US"/>
              </w:rPr>
            </w:pPr>
            <w:r w:rsidRPr="002F6A24">
              <w:rPr>
                <w:color w:val="005A9E"/>
                <w:sz w:val="18"/>
                <w:szCs w:val="18"/>
                <w:lang w:val="en-US"/>
              </w:rPr>
              <w:t>6 units RBC/ week</w:t>
            </w:r>
          </w:p>
          <w:p w14:paraId="028C77EF" w14:textId="77777777" w:rsidR="00A75BD0" w:rsidRPr="002F6A24" w:rsidRDefault="009D4DA5">
            <w:pPr>
              <w:rPr>
                <w:color w:val="005A9E"/>
                <w:sz w:val="18"/>
                <w:szCs w:val="18"/>
                <w:lang w:val="en-US"/>
              </w:rPr>
            </w:pPr>
            <w:r w:rsidRPr="002F6A24">
              <w:rPr>
                <w:color w:val="005A9E"/>
                <w:sz w:val="18"/>
                <w:szCs w:val="18"/>
                <w:lang w:val="en-US"/>
              </w:rPr>
              <w:t>1 Iron infusion/month</w:t>
            </w:r>
          </w:p>
          <w:p w14:paraId="61E1BBED" w14:textId="77777777" w:rsidR="00A75BD0" w:rsidRPr="002F6A24" w:rsidRDefault="00A75BD0">
            <w:pPr>
              <w:rPr>
                <w:color w:val="005A9E"/>
                <w:sz w:val="18"/>
                <w:szCs w:val="18"/>
                <w:lang w:val="en-US"/>
              </w:rPr>
            </w:pPr>
          </w:p>
          <w:p w14:paraId="2BF36478" w14:textId="77777777" w:rsidR="00A75BD0" w:rsidRPr="002F6A24" w:rsidRDefault="009D4DA5">
            <w:pPr>
              <w:rPr>
                <w:color w:val="005A9E"/>
                <w:sz w:val="18"/>
                <w:szCs w:val="18"/>
                <w:lang w:val="en-US"/>
              </w:rPr>
            </w:pPr>
            <w:r w:rsidRPr="002F6A24">
              <w:rPr>
                <w:color w:val="005A9E"/>
                <w:sz w:val="18"/>
                <w:szCs w:val="18"/>
                <w:lang w:val="en-US"/>
              </w:rPr>
              <w:t xml:space="preserve"> 7 APC and 2 months tamoxifen therapy failed, tranexamic acid stopped due to AE</w:t>
            </w:r>
          </w:p>
        </w:tc>
        <w:tc>
          <w:tcPr>
            <w:tcW w:w="2552" w:type="dxa"/>
            <w:gridSpan w:val="3"/>
            <w:tcBorders>
              <w:top w:val="single" w:sz="4" w:space="0" w:color="000000" w:themeColor="text1"/>
              <w:bottom w:val="single" w:sz="4" w:space="0" w:color="000000" w:themeColor="text1"/>
            </w:tcBorders>
            <w:tcMar>
              <w:left w:w="28" w:type="dxa"/>
              <w:right w:w="28" w:type="dxa"/>
            </w:tcMar>
          </w:tcPr>
          <w:p w14:paraId="33621341" w14:textId="77777777" w:rsidR="00A75BD0" w:rsidRDefault="009D4DA5" w:rsidP="0BA40188">
            <w:pPr>
              <w:ind w:right="114"/>
              <w:rPr>
                <w:color w:val="005A9E"/>
                <w:sz w:val="18"/>
                <w:szCs w:val="18"/>
                <w:lang w:val="fr-FR"/>
              </w:rPr>
            </w:pPr>
            <w:r w:rsidRPr="0BA40188">
              <w:rPr>
                <w:color w:val="005A9E"/>
                <w:sz w:val="18"/>
                <w:szCs w:val="18"/>
                <w:lang w:val="fr-FR"/>
              </w:rPr>
              <w:t>5 mg/kg/2 weeks</w:t>
            </w:r>
          </w:p>
          <w:p w14:paraId="54897F47" w14:textId="77777777" w:rsidR="00A75BD0" w:rsidRDefault="009D4DA5" w:rsidP="0BA40188">
            <w:pPr>
              <w:ind w:right="114"/>
              <w:rPr>
                <w:color w:val="005A9E"/>
                <w:sz w:val="18"/>
                <w:szCs w:val="18"/>
                <w:lang w:val="fr-FR"/>
              </w:rPr>
            </w:pPr>
            <w:r w:rsidRPr="0BA40188">
              <w:rPr>
                <w:color w:val="005A9E"/>
                <w:sz w:val="18"/>
                <w:szCs w:val="18"/>
                <w:lang w:val="fr-FR"/>
              </w:rPr>
              <w:t xml:space="preserve"> continuously</w:t>
            </w:r>
          </w:p>
          <w:p w14:paraId="39E49864" w14:textId="77777777" w:rsidR="00A75BD0" w:rsidRDefault="00A75BD0">
            <w:pPr>
              <w:ind w:right="114"/>
              <w:rPr>
                <w:color w:val="005A9E"/>
                <w:sz w:val="18"/>
                <w:szCs w:val="18"/>
              </w:rPr>
            </w:pPr>
          </w:p>
        </w:tc>
        <w:tc>
          <w:tcPr>
            <w:tcW w:w="1134" w:type="dxa"/>
            <w:tcBorders>
              <w:top w:val="single" w:sz="4" w:space="0" w:color="000000" w:themeColor="text1"/>
              <w:bottom w:val="single" w:sz="4" w:space="0" w:color="000000" w:themeColor="text1"/>
            </w:tcBorders>
            <w:tcMar>
              <w:left w:w="28" w:type="dxa"/>
              <w:right w:w="28" w:type="dxa"/>
            </w:tcMar>
          </w:tcPr>
          <w:p w14:paraId="11B706C1" w14:textId="77777777" w:rsidR="00A75BD0" w:rsidRDefault="009D4DA5">
            <w:pPr>
              <w:rPr>
                <w:color w:val="005A9E"/>
                <w:sz w:val="18"/>
                <w:szCs w:val="18"/>
              </w:rPr>
            </w:pPr>
            <w:r>
              <w:rPr>
                <w:color w:val="005A9E"/>
                <w:sz w:val="18"/>
                <w:szCs w:val="18"/>
              </w:rPr>
              <w:t>12</w:t>
            </w:r>
          </w:p>
        </w:tc>
        <w:tc>
          <w:tcPr>
            <w:tcW w:w="5297" w:type="dxa"/>
            <w:gridSpan w:val="2"/>
            <w:tcBorders>
              <w:top w:val="single" w:sz="4" w:space="0" w:color="000000" w:themeColor="text1"/>
              <w:bottom w:val="single" w:sz="4" w:space="0" w:color="000000" w:themeColor="text1"/>
            </w:tcBorders>
            <w:tcMar>
              <w:left w:w="0" w:type="dxa"/>
              <w:right w:w="0" w:type="dxa"/>
            </w:tcMar>
          </w:tcPr>
          <w:p w14:paraId="358AC619"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 more melena</w:t>
            </w:r>
          </w:p>
          <w:p w14:paraId="27DE7876"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transfusions (4 units RBC / month to 2 units RBC / month)</w:t>
            </w:r>
          </w:p>
          <w:p w14:paraId="1CC0165E"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 xml:space="preserve"> Epistaxis</w:t>
            </w:r>
          </w:p>
          <w:p w14:paraId="1026E347"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 AE reported</w:t>
            </w:r>
          </w:p>
          <w:p w14:paraId="3EE9C713"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Hb (5.7 to 10.3 g/dL)</w:t>
            </w:r>
          </w:p>
        </w:tc>
      </w:tr>
      <w:tr w:rsidR="00A75BD0" w:rsidRPr="007428DF" w14:paraId="184676E6"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3CC3BC8C" w14:textId="77777777" w:rsidR="00A75BD0" w:rsidRDefault="008853BF">
            <w:pPr>
              <w:rPr>
                <w:color w:val="005A9E"/>
                <w:sz w:val="18"/>
                <w:szCs w:val="18"/>
              </w:rPr>
            </w:pPr>
            <w:hyperlink r:id="rId53">
              <w:r w:rsidR="009D4DA5">
                <w:rPr>
                  <w:color w:val="0563C1"/>
                  <w:sz w:val="18"/>
                  <w:szCs w:val="18"/>
                  <w:u w:val="single"/>
                </w:rPr>
                <w:t>Muller 2016</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3C25177C" w14:textId="77777777" w:rsidR="00A75BD0" w:rsidRDefault="009D4DA5" w:rsidP="0BA40188">
            <w:pPr>
              <w:rPr>
                <w:color w:val="005A9E"/>
                <w:sz w:val="18"/>
                <w:szCs w:val="18"/>
                <w:lang w:val="fr-FR"/>
              </w:rPr>
            </w:pPr>
            <w:r w:rsidRPr="0BA40188">
              <w:rPr>
                <w:color w:val="005A9E"/>
                <w:sz w:val="18"/>
                <w:szCs w:val="18"/>
                <w:lang w:val="fr-FR"/>
              </w:rPr>
              <w:t xml:space="preserve">1 patient 65 y with </w:t>
            </w:r>
          </w:p>
          <w:p w14:paraId="7602B49A" w14:textId="77777777" w:rsidR="00A75BD0" w:rsidRDefault="009D4DA5" w:rsidP="0BA40188">
            <w:pPr>
              <w:rPr>
                <w:color w:val="005A9E"/>
                <w:sz w:val="18"/>
                <w:szCs w:val="18"/>
                <w:lang w:val="fr-FR"/>
              </w:rPr>
            </w:pPr>
            <w:r w:rsidRPr="0BA40188">
              <w:rPr>
                <w:color w:val="005A9E"/>
                <w:sz w:val="18"/>
                <w:szCs w:val="18"/>
                <w:lang w:val="fr-FR"/>
              </w:rPr>
              <w:t>GI bleedings treated by APC</w:t>
            </w:r>
          </w:p>
          <w:p w14:paraId="60D77FDD" w14:textId="77777777" w:rsidR="00A75BD0" w:rsidRPr="002F6A24" w:rsidRDefault="009D4DA5">
            <w:pPr>
              <w:rPr>
                <w:color w:val="005A9E"/>
                <w:sz w:val="18"/>
                <w:szCs w:val="18"/>
                <w:lang w:val="en-US"/>
              </w:rPr>
            </w:pPr>
            <w:r w:rsidRPr="002F6A24">
              <w:rPr>
                <w:color w:val="005A9E"/>
                <w:sz w:val="18"/>
                <w:szCs w:val="18"/>
                <w:lang w:val="en-US"/>
              </w:rPr>
              <w:t>high-output cardiac failure secondary to HAVM with NYHA class IV and CI 7.6 L/min/m²</w:t>
            </w:r>
          </w:p>
          <w:p w14:paraId="46512E4E" w14:textId="77777777" w:rsidR="00A75BD0" w:rsidRPr="002F6A24" w:rsidRDefault="00A75BD0">
            <w:pPr>
              <w:rPr>
                <w:color w:val="005A9E"/>
                <w:sz w:val="18"/>
                <w:szCs w:val="18"/>
                <w:lang w:val="en-US"/>
              </w:rPr>
            </w:pPr>
          </w:p>
          <w:p w14:paraId="336A4B31" w14:textId="77777777" w:rsidR="00A75BD0" w:rsidRPr="002F6A24" w:rsidRDefault="009D4DA5">
            <w:pPr>
              <w:rPr>
                <w:color w:val="005A9E"/>
                <w:sz w:val="18"/>
                <w:szCs w:val="18"/>
                <w:lang w:val="en-US"/>
              </w:rPr>
            </w:pPr>
            <w:r w:rsidRPr="002F6A24">
              <w:rPr>
                <w:color w:val="005A9E"/>
                <w:sz w:val="18"/>
                <w:szCs w:val="18"/>
                <w:lang w:val="en-US"/>
              </w:rPr>
              <w:t>the patient was listed for OLT following hepatocellular carcinoma</w:t>
            </w:r>
          </w:p>
        </w:tc>
        <w:tc>
          <w:tcPr>
            <w:tcW w:w="2552" w:type="dxa"/>
            <w:gridSpan w:val="3"/>
            <w:tcBorders>
              <w:top w:val="single" w:sz="4" w:space="0" w:color="000000" w:themeColor="text1"/>
              <w:bottom w:val="single" w:sz="4" w:space="0" w:color="000000" w:themeColor="text1"/>
            </w:tcBorders>
            <w:tcMar>
              <w:left w:w="28" w:type="dxa"/>
              <w:right w:w="28" w:type="dxa"/>
            </w:tcMar>
          </w:tcPr>
          <w:p w14:paraId="0FD35D03" w14:textId="77777777" w:rsidR="00A75BD0" w:rsidRPr="002F6A24" w:rsidRDefault="009D4DA5">
            <w:pPr>
              <w:ind w:right="114"/>
              <w:rPr>
                <w:color w:val="005A9E"/>
                <w:sz w:val="18"/>
                <w:szCs w:val="18"/>
                <w:lang w:val="en-US"/>
              </w:rPr>
            </w:pPr>
            <w:r w:rsidRPr="002F6A24">
              <w:rPr>
                <w:color w:val="005A9E"/>
                <w:sz w:val="18"/>
                <w:szCs w:val="18"/>
                <w:lang w:val="en-US"/>
              </w:rPr>
              <w:t>5 mg/kg/2 weeks</w:t>
            </w:r>
          </w:p>
          <w:p w14:paraId="3AA3F722" w14:textId="77777777" w:rsidR="00A75BD0" w:rsidRPr="002F6A24" w:rsidRDefault="009D4DA5">
            <w:pPr>
              <w:ind w:right="114"/>
              <w:rPr>
                <w:color w:val="005A9E"/>
                <w:sz w:val="18"/>
                <w:szCs w:val="18"/>
                <w:lang w:val="en-US"/>
              </w:rPr>
            </w:pPr>
            <w:r w:rsidRPr="002F6A24">
              <w:rPr>
                <w:color w:val="005A9E"/>
                <w:sz w:val="18"/>
                <w:szCs w:val="18"/>
                <w:lang w:val="en-US"/>
              </w:rPr>
              <w:t>total of 6 injections</w:t>
            </w:r>
          </w:p>
        </w:tc>
        <w:tc>
          <w:tcPr>
            <w:tcW w:w="1134" w:type="dxa"/>
            <w:tcBorders>
              <w:top w:val="single" w:sz="4" w:space="0" w:color="000000" w:themeColor="text1"/>
              <w:bottom w:val="single" w:sz="4" w:space="0" w:color="000000" w:themeColor="text1"/>
            </w:tcBorders>
            <w:tcMar>
              <w:left w:w="28" w:type="dxa"/>
              <w:right w:w="28" w:type="dxa"/>
            </w:tcMar>
          </w:tcPr>
          <w:p w14:paraId="3F4CB249" w14:textId="77777777" w:rsidR="00A75BD0" w:rsidRDefault="009D4DA5" w:rsidP="0BA40188">
            <w:pPr>
              <w:rPr>
                <w:color w:val="005A9E"/>
                <w:sz w:val="18"/>
                <w:szCs w:val="18"/>
                <w:lang w:val="fr-FR"/>
              </w:rPr>
            </w:pPr>
            <w:r w:rsidRPr="0BA40188">
              <w:rPr>
                <w:color w:val="005A9E"/>
                <w:sz w:val="18"/>
                <w:szCs w:val="18"/>
                <w:lang w:val="fr-FR"/>
              </w:rPr>
              <w:t>Not known</w:t>
            </w:r>
          </w:p>
        </w:tc>
        <w:tc>
          <w:tcPr>
            <w:tcW w:w="5297" w:type="dxa"/>
            <w:gridSpan w:val="2"/>
            <w:tcBorders>
              <w:top w:val="single" w:sz="4" w:space="0" w:color="000000" w:themeColor="text1"/>
              <w:bottom w:val="single" w:sz="4" w:space="0" w:color="000000" w:themeColor="text1"/>
            </w:tcBorders>
            <w:tcMar>
              <w:left w:w="0" w:type="dxa"/>
              <w:right w:w="0" w:type="dxa"/>
            </w:tcMar>
          </w:tcPr>
          <w:p w14:paraId="7C6079AD"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epistaxis</w:t>
            </w:r>
          </w:p>
          <w:p w14:paraId="1C28D5EA"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CI (from 8.2 L/min/m² to 5.7 L/min/m²)</w:t>
            </w:r>
          </w:p>
          <w:p w14:paraId="65A3336B"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hepatic artery diameter</w:t>
            </w:r>
          </w:p>
          <w:p w14:paraId="40F87FAA"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the patient died before receiving liver transplant after an uncontrollable GI bleeding with cardiogenic shock</w:t>
            </w:r>
          </w:p>
        </w:tc>
      </w:tr>
      <w:tr w:rsidR="00A75BD0" w:rsidRPr="007428DF" w14:paraId="638CF7E0"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624C1CBC" w14:textId="77777777" w:rsidR="00A75BD0" w:rsidRDefault="008853BF">
            <w:pPr>
              <w:rPr>
                <w:color w:val="005A9E"/>
                <w:sz w:val="18"/>
                <w:szCs w:val="18"/>
              </w:rPr>
            </w:pPr>
            <w:hyperlink r:id="rId54">
              <w:r w:rsidR="009D4DA5">
                <w:rPr>
                  <w:color w:val="0563C1"/>
                  <w:sz w:val="18"/>
                  <w:szCs w:val="18"/>
                  <w:u w:val="single"/>
                </w:rPr>
                <w:t>Bertoli, 2017</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1CF74791" w14:textId="77777777" w:rsidR="00A75BD0" w:rsidRPr="002F6A24" w:rsidRDefault="009D4DA5">
            <w:pPr>
              <w:rPr>
                <w:color w:val="005A9E"/>
                <w:sz w:val="18"/>
                <w:szCs w:val="18"/>
                <w:lang w:val="en-US"/>
              </w:rPr>
            </w:pPr>
            <w:r w:rsidRPr="002F6A24">
              <w:rPr>
                <w:color w:val="005A9E"/>
                <w:sz w:val="18"/>
                <w:szCs w:val="18"/>
                <w:lang w:val="en-US"/>
              </w:rPr>
              <w:t>1 patient 47 y with</w:t>
            </w:r>
          </w:p>
          <w:p w14:paraId="55815566" w14:textId="77777777" w:rsidR="00A75BD0" w:rsidRPr="002F6A24" w:rsidRDefault="009D4DA5">
            <w:pPr>
              <w:rPr>
                <w:color w:val="005A9E"/>
                <w:sz w:val="18"/>
                <w:szCs w:val="18"/>
                <w:lang w:val="en-US"/>
              </w:rPr>
            </w:pPr>
            <w:r w:rsidRPr="002F6A24">
              <w:rPr>
                <w:color w:val="005A9E"/>
                <w:sz w:val="18"/>
                <w:szCs w:val="18"/>
                <w:lang w:val="en-US"/>
              </w:rPr>
              <w:t>daily epistaxis</w:t>
            </w:r>
          </w:p>
          <w:p w14:paraId="5DB60E15" w14:textId="77777777" w:rsidR="00A75BD0" w:rsidRPr="002F6A24" w:rsidRDefault="009D4DA5">
            <w:pPr>
              <w:rPr>
                <w:color w:val="005A9E"/>
                <w:sz w:val="18"/>
                <w:szCs w:val="18"/>
                <w:lang w:val="en-US"/>
              </w:rPr>
            </w:pPr>
            <w:r w:rsidRPr="002F6A24">
              <w:rPr>
                <w:color w:val="005A9E"/>
                <w:sz w:val="18"/>
                <w:szCs w:val="18"/>
                <w:lang w:val="en-US"/>
              </w:rPr>
              <w:t>melena</w:t>
            </w:r>
          </w:p>
          <w:p w14:paraId="2C472847" w14:textId="77777777" w:rsidR="00A75BD0" w:rsidRDefault="009D4DA5" w:rsidP="0BA40188">
            <w:pPr>
              <w:rPr>
                <w:color w:val="005A9E"/>
                <w:sz w:val="18"/>
                <w:szCs w:val="18"/>
                <w:lang w:val="fr-FR"/>
              </w:rPr>
            </w:pPr>
            <w:r w:rsidRPr="0BA40188">
              <w:rPr>
                <w:color w:val="005A9E"/>
                <w:sz w:val="18"/>
                <w:szCs w:val="18"/>
                <w:lang w:val="fr-FR"/>
              </w:rPr>
              <w:t>GI telangiectasias</w:t>
            </w:r>
          </w:p>
          <w:p w14:paraId="40E0EDCE" w14:textId="77777777" w:rsidR="00A75BD0" w:rsidRDefault="009D4DA5" w:rsidP="0BA40188">
            <w:pPr>
              <w:rPr>
                <w:color w:val="005A9E"/>
                <w:sz w:val="18"/>
                <w:szCs w:val="18"/>
                <w:lang w:val="fr-FR"/>
              </w:rPr>
            </w:pPr>
            <w:r w:rsidRPr="0BA40188">
              <w:rPr>
                <w:color w:val="005A9E"/>
                <w:sz w:val="18"/>
                <w:szCs w:val="18"/>
                <w:lang w:val="fr-FR"/>
              </w:rPr>
              <w:t>alcoholic cirrhosis</w:t>
            </w:r>
          </w:p>
          <w:p w14:paraId="100FD2A7" w14:textId="77777777" w:rsidR="00A75BD0" w:rsidRDefault="009D4DA5">
            <w:pPr>
              <w:rPr>
                <w:color w:val="005A9E"/>
                <w:sz w:val="18"/>
                <w:szCs w:val="18"/>
              </w:rPr>
            </w:pPr>
            <w:r>
              <w:rPr>
                <w:color w:val="005A9E"/>
                <w:sz w:val="18"/>
                <w:szCs w:val="18"/>
              </w:rPr>
              <w:t>RBC transfusions</w:t>
            </w:r>
          </w:p>
          <w:p w14:paraId="4A1109D7" w14:textId="77777777" w:rsidR="00A75BD0" w:rsidRPr="002F6A24" w:rsidRDefault="009D4DA5">
            <w:pPr>
              <w:rPr>
                <w:color w:val="005A9E"/>
                <w:sz w:val="18"/>
                <w:szCs w:val="18"/>
                <w:lang w:val="en-US"/>
              </w:rPr>
            </w:pPr>
            <w:r w:rsidRPr="002F6A24">
              <w:rPr>
                <w:color w:val="005A9E"/>
                <w:sz w:val="18"/>
                <w:szCs w:val="18"/>
                <w:lang w:val="en-US"/>
              </w:rPr>
              <w:t>Iron infusions</w:t>
            </w:r>
          </w:p>
          <w:p w14:paraId="0AB3474A" w14:textId="77777777" w:rsidR="00A75BD0" w:rsidRPr="002F6A24" w:rsidRDefault="00A75BD0">
            <w:pPr>
              <w:rPr>
                <w:color w:val="005A9E"/>
                <w:sz w:val="18"/>
                <w:szCs w:val="18"/>
                <w:lang w:val="en-US"/>
              </w:rPr>
            </w:pPr>
          </w:p>
          <w:p w14:paraId="1AC28E9E" w14:textId="77777777" w:rsidR="00A75BD0" w:rsidRPr="002F6A24" w:rsidRDefault="009D4DA5">
            <w:pPr>
              <w:rPr>
                <w:color w:val="005A9E"/>
                <w:sz w:val="18"/>
                <w:szCs w:val="18"/>
                <w:lang w:val="en-US"/>
              </w:rPr>
            </w:pPr>
            <w:r w:rsidRPr="002F6A24">
              <w:rPr>
                <w:color w:val="005A9E"/>
                <w:sz w:val="18"/>
                <w:szCs w:val="18"/>
                <w:lang w:val="en-US"/>
              </w:rPr>
              <w:t>estrogen, vasopressin, thalidomide, aminocaproic acid, and endoscopic laser cautery failed</w:t>
            </w:r>
          </w:p>
        </w:tc>
        <w:tc>
          <w:tcPr>
            <w:tcW w:w="2552" w:type="dxa"/>
            <w:gridSpan w:val="3"/>
            <w:tcBorders>
              <w:top w:val="single" w:sz="4" w:space="0" w:color="000000" w:themeColor="text1"/>
              <w:bottom w:val="single" w:sz="4" w:space="0" w:color="000000" w:themeColor="text1"/>
            </w:tcBorders>
            <w:tcMar>
              <w:left w:w="28" w:type="dxa"/>
              <w:right w:w="28" w:type="dxa"/>
            </w:tcMar>
          </w:tcPr>
          <w:p w14:paraId="34E607BC" w14:textId="77777777" w:rsidR="00A75BD0" w:rsidRDefault="009D4DA5" w:rsidP="0BA40188">
            <w:pPr>
              <w:ind w:right="114"/>
              <w:rPr>
                <w:color w:val="005A9E"/>
                <w:sz w:val="18"/>
                <w:szCs w:val="18"/>
                <w:lang w:val="fr-FR"/>
              </w:rPr>
            </w:pPr>
            <w:r w:rsidRPr="0BA40188">
              <w:rPr>
                <w:color w:val="005A9E"/>
                <w:sz w:val="18"/>
                <w:szCs w:val="18"/>
                <w:lang w:val="fr-FR"/>
              </w:rPr>
              <w:t>2.5 mg/kg /2 weeks</w:t>
            </w:r>
          </w:p>
          <w:p w14:paraId="77C383F2" w14:textId="77777777" w:rsidR="00A75BD0" w:rsidRDefault="009D4DA5">
            <w:pPr>
              <w:ind w:right="114"/>
              <w:rPr>
                <w:color w:val="005A9E"/>
                <w:sz w:val="18"/>
                <w:szCs w:val="18"/>
              </w:rPr>
            </w:pPr>
            <w:r>
              <w:rPr>
                <w:color w:val="005A9E"/>
                <w:sz w:val="18"/>
                <w:szCs w:val="18"/>
              </w:rPr>
              <w:t>12 injections</w:t>
            </w:r>
          </w:p>
        </w:tc>
        <w:tc>
          <w:tcPr>
            <w:tcW w:w="1134" w:type="dxa"/>
            <w:tcBorders>
              <w:top w:val="single" w:sz="4" w:space="0" w:color="000000" w:themeColor="text1"/>
              <w:bottom w:val="single" w:sz="4" w:space="0" w:color="000000" w:themeColor="text1"/>
            </w:tcBorders>
            <w:tcMar>
              <w:left w:w="28" w:type="dxa"/>
              <w:right w:w="28" w:type="dxa"/>
            </w:tcMar>
          </w:tcPr>
          <w:p w14:paraId="22A9D426" w14:textId="77777777" w:rsidR="00A75BD0" w:rsidRDefault="009D4DA5">
            <w:pPr>
              <w:rPr>
                <w:color w:val="005A9E"/>
                <w:sz w:val="18"/>
                <w:szCs w:val="18"/>
              </w:rPr>
            </w:pPr>
            <w:r>
              <w:rPr>
                <w:color w:val="005A9E"/>
                <w:sz w:val="18"/>
                <w:szCs w:val="18"/>
              </w:rPr>
              <w:t>15</w:t>
            </w:r>
          </w:p>
        </w:tc>
        <w:tc>
          <w:tcPr>
            <w:tcW w:w="5297" w:type="dxa"/>
            <w:gridSpan w:val="2"/>
            <w:tcBorders>
              <w:top w:val="single" w:sz="4" w:space="0" w:color="000000" w:themeColor="text1"/>
              <w:bottom w:val="single" w:sz="4" w:space="0" w:color="000000" w:themeColor="text1"/>
            </w:tcBorders>
            <w:tcMar>
              <w:left w:w="0" w:type="dxa"/>
              <w:right w:w="0" w:type="dxa"/>
            </w:tcMar>
          </w:tcPr>
          <w:p w14:paraId="683C8BBF"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epistaxis</w:t>
            </w:r>
          </w:p>
          <w:p w14:paraId="75CA0556"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melena</w:t>
            </w:r>
          </w:p>
          <w:p w14:paraId="623BA41C"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epistaxis</w:t>
            </w:r>
          </w:p>
          <w:p w14:paraId="2513A75B"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 xml:space="preserve">↘ </w:t>
            </w:r>
            <w:r>
              <w:rPr>
                <w:color w:val="005A9E"/>
                <w:sz w:val="18"/>
                <w:szCs w:val="18"/>
              </w:rPr>
              <w:t>RBC transfusions</w:t>
            </w:r>
          </w:p>
          <w:p w14:paraId="7E081816"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 xml:space="preserve">↘ </w:t>
            </w:r>
            <w:r w:rsidRPr="0BA40188">
              <w:rPr>
                <w:color w:val="005A9E"/>
                <w:sz w:val="18"/>
                <w:szCs w:val="18"/>
                <w:lang w:val="fr-FR"/>
              </w:rPr>
              <w:t>iron infusions</w:t>
            </w:r>
          </w:p>
          <w:p w14:paraId="1790EF84" w14:textId="77777777" w:rsidR="00A75BD0" w:rsidRPr="002F6A24" w:rsidRDefault="009D4DA5">
            <w:pPr>
              <w:numPr>
                <w:ilvl w:val="0"/>
                <w:numId w:val="17"/>
              </w:numPr>
              <w:ind w:right="166"/>
              <w:jc w:val="both"/>
              <w:rPr>
                <w:rFonts w:ascii="Cambria Math" w:eastAsia="Cambria Math" w:hAnsi="Cambria Math" w:cs="Cambria Math"/>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Hb (from 2.8  to 6.6 g/dL)</w:t>
            </w:r>
          </w:p>
          <w:p w14:paraId="2E41679B" w14:textId="77777777" w:rsidR="00A75BD0" w:rsidRDefault="009D4DA5" w:rsidP="0BA40188">
            <w:pPr>
              <w:numPr>
                <w:ilvl w:val="0"/>
                <w:numId w:val="17"/>
              </w:numPr>
              <w:ind w:right="166"/>
              <w:jc w:val="both"/>
              <w:rPr>
                <w:rFonts w:ascii="Cambria Math" w:eastAsia="Cambria Math" w:hAnsi="Cambria Math" w:cs="Cambria Math"/>
                <w:color w:val="005A9E"/>
                <w:sz w:val="18"/>
                <w:szCs w:val="18"/>
                <w:lang w:val="fr-FR"/>
              </w:rPr>
            </w:pPr>
            <w:r w:rsidRPr="0BA40188">
              <w:rPr>
                <w:color w:val="005A9E"/>
                <w:sz w:val="18"/>
                <w:szCs w:val="18"/>
                <w:lang w:val="fr-FR"/>
              </w:rPr>
              <w:t>No AE reported</w:t>
            </w:r>
          </w:p>
          <w:p w14:paraId="1E30782F" w14:textId="77777777" w:rsidR="00A75BD0" w:rsidRDefault="00A75BD0">
            <w:pPr>
              <w:ind w:right="166"/>
              <w:jc w:val="both"/>
              <w:rPr>
                <w:color w:val="005A9E"/>
                <w:sz w:val="18"/>
                <w:szCs w:val="18"/>
              </w:rPr>
            </w:pPr>
          </w:p>
          <w:p w14:paraId="447F5281" w14:textId="77777777" w:rsidR="00A75BD0" w:rsidRPr="002F6A24" w:rsidRDefault="009D4DA5">
            <w:pPr>
              <w:ind w:right="166"/>
              <w:jc w:val="both"/>
              <w:rPr>
                <w:rFonts w:ascii="Cambria Math" w:eastAsia="Cambria Math" w:hAnsi="Cambria Math" w:cs="Cambria Math"/>
                <w:color w:val="005A9E"/>
                <w:sz w:val="18"/>
                <w:szCs w:val="18"/>
                <w:lang w:val="en-US"/>
              </w:rPr>
            </w:pPr>
            <w:r w:rsidRPr="002F6A24">
              <w:rPr>
                <w:color w:val="005A9E"/>
                <w:sz w:val="18"/>
                <w:szCs w:val="18"/>
                <w:lang w:val="en-US"/>
              </w:rPr>
              <w:t xml:space="preserve">Died of of sepsis and liver failure due to cirrhosis </w:t>
            </w:r>
          </w:p>
        </w:tc>
      </w:tr>
      <w:tr w:rsidR="00A75BD0" w14:paraId="0BC8E9C4" w14:textId="77777777" w:rsidTr="0BA40188">
        <w:trPr>
          <w:trHeight w:val="1039"/>
        </w:trPr>
        <w:tc>
          <w:tcPr>
            <w:tcW w:w="1273" w:type="dxa"/>
            <w:tcBorders>
              <w:top w:val="single" w:sz="4" w:space="0" w:color="000000" w:themeColor="text1"/>
              <w:bottom w:val="single" w:sz="4" w:space="0" w:color="000000" w:themeColor="text1"/>
            </w:tcBorders>
            <w:tcMar>
              <w:left w:w="28" w:type="dxa"/>
              <w:right w:w="28" w:type="dxa"/>
            </w:tcMar>
          </w:tcPr>
          <w:p w14:paraId="320E447C" w14:textId="77777777" w:rsidR="00A75BD0" w:rsidRDefault="008853BF">
            <w:pPr>
              <w:rPr>
                <w:color w:val="005A9E"/>
                <w:sz w:val="18"/>
                <w:szCs w:val="18"/>
              </w:rPr>
            </w:pPr>
            <w:hyperlink r:id="rId55">
              <w:r w:rsidR="009D4DA5">
                <w:rPr>
                  <w:color w:val="0563C1"/>
                  <w:sz w:val="18"/>
                  <w:szCs w:val="18"/>
                  <w:u w:val="single"/>
                </w:rPr>
                <w:t>Ospina 2017</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68662967" w14:textId="77777777" w:rsidR="00A75BD0" w:rsidRPr="002F6A24" w:rsidRDefault="009D4DA5">
            <w:pPr>
              <w:rPr>
                <w:color w:val="005A9E"/>
                <w:sz w:val="18"/>
                <w:szCs w:val="18"/>
                <w:lang w:val="en-US"/>
              </w:rPr>
            </w:pPr>
            <w:r w:rsidRPr="002F6A24">
              <w:rPr>
                <w:color w:val="005A9E"/>
                <w:sz w:val="18"/>
                <w:szCs w:val="18"/>
                <w:lang w:val="en-US"/>
              </w:rPr>
              <w:t>1 patient 5 y</w:t>
            </w:r>
          </w:p>
          <w:p w14:paraId="324F44E3" w14:textId="77777777" w:rsidR="00A75BD0" w:rsidRPr="002F6A24" w:rsidRDefault="009D4DA5">
            <w:pPr>
              <w:rPr>
                <w:color w:val="005A9E"/>
                <w:sz w:val="18"/>
                <w:szCs w:val="18"/>
                <w:lang w:val="en-US"/>
              </w:rPr>
            </w:pPr>
            <w:r w:rsidRPr="002F6A24">
              <w:rPr>
                <w:color w:val="005A9E"/>
                <w:sz w:val="18"/>
                <w:szCs w:val="18"/>
                <w:lang w:val="en-US"/>
              </w:rPr>
              <w:t>Epistaxis</w:t>
            </w:r>
          </w:p>
          <w:p w14:paraId="26128498" w14:textId="77777777" w:rsidR="00A75BD0" w:rsidRPr="002F6A24" w:rsidRDefault="009D4DA5">
            <w:pPr>
              <w:rPr>
                <w:color w:val="005A9E"/>
                <w:sz w:val="18"/>
                <w:szCs w:val="18"/>
                <w:lang w:val="en-US"/>
              </w:rPr>
            </w:pPr>
            <w:r w:rsidRPr="002F6A24">
              <w:rPr>
                <w:color w:val="005A9E"/>
                <w:sz w:val="18"/>
                <w:szCs w:val="18"/>
                <w:lang w:val="en-US"/>
              </w:rPr>
              <w:t>PAVMs embolized due multiple secondary intrapulmonary shunts (oxygen was required)</w:t>
            </w:r>
          </w:p>
        </w:tc>
        <w:tc>
          <w:tcPr>
            <w:tcW w:w="2552" w:type="dxa"/>
            <w:gridSpan w:val="3"/>
            <w:tcBorders>
              <w:top w:val="single" w:sz="4" w:space="0" w:color="000000" w:themeColor="text1"/>
              <w:bottom w:val="single" w:sz="4" w:space="0" w:color="000000" w:themeColor="text1"/>
            </w:tcBorders>
            <w:tcMar>
              <w:left w:w="28" w:type="dxa"/>
              <w:right w:w="28" w:type="dxa"/>
            </w:tcMar>
          </w:tcPr>
          <w:p w14:paraId="2F7583AD" w14:textId="77777777" w:rsidR="00A75BD0" w:rsidRDefault="009D4DA5" w:rsidP="0BA40188">
            <w:pPr>
              <w:ind w:right="114"/>
              <w:rPr>
                <w:color w:val="005A9E"/>
                <w:sz w:val="18"/>
                <w:szCs w:val="18"/>
                <w:lang w:val="fr-FR"/>
              </w:rPr>
            </w:pPr>
            <w:r w:rsidRPr="0BA40188">
              <w:rPr>
                <w:color w:val="005A9E"/>
                <w:sz w:val="18"/>
                <w:szCs w:val="18"/>
                <w:lang w:val="fr-FR"/>
              </w:rPr>
              <w:t>5 mg/kg/2 weeks</w:t>
            </w:r>
          </w:p>
          <w:p w14:paraId="4A495020" w14:textId="77777777" w:rsidR="00A75BD0" w:rsidRDefault="009D4DA5">
            <w:pPr>
              <w:ind w:right="114"/>
              <w:rPr>
                <w:color w:val="005A9E"/>
                <w:sz w:val="18"/>
                <w:szCs w:val="18"/>
              </w:rPr>
            </w:pPr>
            <w:r>
              <w:rPr>
                <w:color w:val="005A9E"/>
                <w:sz w:val="18"/>
                <w:szCs w:val="18"/>
              </w:rPr>
              <w:t>6 injections</w:t>
            </w:r>
          </w:p>
          <w:p w14:paraId="7993B204" w14:textId="77777777" w:rsidR="00A75BD0" w:rsidRDefault="00A75BD0">
            <w:pPr>
              <w:ind w:right="114"/>
              <w:rPr>
                <w:color w:val="005A9E"/>
                <w:sz w:val="18"/>
                <w:szCs w:val="18"/>
              </w:rPr>
            </w:pPr>
          </w:p>
        </w:tc>
        <w:tc>
          <w:tcPr>
            <w:tcW w:w="1134" w:type="dxa"/>
            <w:tcBorders>
              <w:top w:val="single" w:sz="4" w:space="0" w:color="000000" w:themeColor="text1"/>
              <w:bottom w:val="single" w:sz="4" w:space="0" w:color="000000" w:themeColor="text1"/>
            </w:tcBorders>
            <w:tcMar>
              <w:left w:w="28" w:type="dxa"/>
              <w:right w:w="28" w:type="dxa"/>
            </w:tcMar>
          </w:tcPr>
          <w:p w14:paraId="32212DDA" w14:textId="77777777" w:rsidR="00A75BD0" w:rsidRDefault="009D4DA5">
            <w:pPr>
              <w:rPr>
                <w:color w:val="005A9E"/>
                <w:sz w:val="18"/>
                <w:szCs w:val="18"/>
              </w:rPr>
            </w:pPr>
            <w:r>
              <w:rPr>
                <w:color w:val="005A9E"/>
                <w:sz w:val="18"/>
                <w:szCs w:val="18"/>
              </w:rPr>
              <w:t>6</w:t>
            </w:r>
          </w:p>
        </w:tc>
        <w:tc>
          <w:tcPr>
            <w:tcW w:w="5297" w:type="dxa"/>
            <w:gridSpan w:val="2"/>
            <w:tcBorders>
              <w:top w:val="single" w:sz="4" w:space="0" w:color="000000" w:themeColor="text1"/>
              <w:bottom w:val="single" w:sz="4" w:space="0" w:color="000000" w:themeColor="text1"/>
            </w:tcBorders>
            <w:tcMar>
              <w:left w:w="0" w:type="dxa"/>
              <w:right w:w="0" w:type="dxa"/>
            </w:tcMar>
          </w:tcPr>
          <w:p w14:paraId="3DE8DB56"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facial telangiectasias</w:t>
            </w:r>
          </w:p>
          <w:p w14:paraId="29335599"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epistaxis</w:t>
            </w:r>
          </w:p>
          <w:p w14:paraId="3167A2E1" w14:textId="77777777" w:rsidR="00A75BD0" w:rsidRPr="002F6A24" w:rsidRDefault="009D4DA5">
            <w:pPr>
              <w:numPr>
                <w:ilvl w:val="0"/>
                <w:numId w:val="17"/>
              </w:numPr>
              <w:ind w:right="166"/>
              <w:jc w:val="both"/>
              <w:rPr>
                <w:color w:val="005A9E"/>
                <w:sz w:val="18"/>
                <w:szCs w:val="18"/>
                <w:lang w:val="en-US"/>
              </w:rPr>
            </w:pPr>
            <w:r w:rsidRPr="002F6A24">
              <w:rPr>
                <w:rFonts w:ascii="Cambria Math" w:eastAsia="Cambria Math" w:hAnsi="Cambria Math" w:cs="Cambria Math"/>
                <w:color w:val="005A9E"/>
                <w:sz w:val="18"/>
                <w:szCs w:val="18"/>
                <w:lang w:val="en-US"/>
              </w:rPr>
              <w:t>↘</w:t>
            </w:r>
            <w:r w:rsidRPr="002F6A24">
              <w:rPr>
                <w:color w:val="005A9E"/>
                <w:sz w:val="18"/>
                <w:szCs w:val="18"/>
                <w:lang w:val="en-US"/>
              </w:rPr>
              <w:t xml:space="preserve"> pulmonary artery pressure from 44 mmHg to 22 mm Hg</w:t>
            </w:r>
          </w:p>
          <w:p w14:paraId="6FE05279" w14:textId="77777777" w:rsidR="00A75BD0" w:rsidRDefault="009D4DA5">
            <w:pPr>
              <w:numPr>
                <w:ilvl w:val="0"/>
                <w:numId w:val="17"/>
              </w:numPr>
              <w:ind w:right="166"/>
              <w:jc w:val="both"/>
              <w:rPr>
                <w:color w:val="005A9E"/>
                <w:sz w:val="18"/>
                <w:szCs w:val="18"/>
              </w:rPr>
            </w:pPr>
            <w:r>
              <w:rPr>
                <w:color w:val="005A9E"/>
                <w:sz w:val="18"/>
                <w:szCs w:val="18"/>
              </w:rPr>
              <w:t>No more new PAVM</w:t>
            </w:r>
          </w:p>
        </w:tc>
      </w:tr>
      <w:tr w:rsidR="00A75BD0" w:rsidRPr="007428DF" w14:paraId="5A2B3247"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35BCB6C8" w14:textId="77777777" w:rsidR="00A75BD0" w:rsidRDefault="008853BF">
            <w:pPr>
              <w:rPr>
                <w:color w:val="005A9E"/>
                <w:sz w:val="18"/>
                <w:szCs w:val="18"/>
              </w:rPr>
            </w:pPr>
            <w:hyperlink r:id="rId56">
              <w:r w:rsidR="009D4DA5">
                <w:rPr>
                  <w:color w:val="0563C1"/>
                  <w:sz w:val="18"/>
                  <w:szCs w:val="18"/>
                  <w:u w:val="single"/>
                </w:rPr>
                <w:t>Bernardes 2018</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23BCE170" w14:textId="77777777" w:rsidR="00A75BD0" w:rsidRDefault="009D4DA5" w:rsidP="0BA40188">
            <w:pPr>
              <w:rPr>
                <w:color w:val="005A9E"/>
                <w:sz w:val="18"/>
                <w:szCs w:val="18"/>
                <w:lang w:val="fr-FR"/>
              </w:rPr>
            </w:pPr>
            <w:r w:rsidRPr="0BA40188">
              <w:rPr>
                <w:color w:val="005A9E"/>
                <w:sz w:val="18"/>
                <w:szCs w:val="18"/>
                <w:lang w:val="fr-FR"/>
              </w:rPr>
              <w:t xml:space="preserve">1 patient 62 y with </w:t>
            </w:r>
          </w:p>
          <w:p w14:paraId="202143CE" w14:textId="77777777" w:rsidR="00A75BD0" w:rsidRDefault="009D4DA5">
            <w:pPr>
              <w:rPr>
                <w:color w:val="005A9E"/>
                <w:sz w:val="18"/>
                <w:szCs w:val="18"/>
              </w:rPr>
            </w:pPr>
            <w:r>
              <w:rPr>
                <w:color w:val="005A9E"/>
                <w:sz w:val="18"/>
                <w:szCs w:val="18"/>
              </w:rPr>
              <w:t>Epistaxis</w:t>
            </w:r>
          </w:p>
          <w:p w14:paraId="3732FF91" w14:textId="77777777" w:rsidR="00A75BD0" w:rsidRDefault="009D4DA5" w:rsidP="0BA40188">
            <w:pPr>
              <w:rPr>
                <w:color w:val="005A9E"/>
                <w:sz w:val="18"/>
                <w:szCs w:val="18"/>
                <w:lang w:val="fr-FR"/>
              </w:rPr>
            </w:pPr>
            <w:r w:rsidRPr="0BA40188">
              <w:rPr>
                <w:color w:val="005A9E"/>
                <w:sz w:val="18"/>
                <w:szCs w:val="18"/>
                <w:lang w:val="fr-FR"/>
              </w:rPr>
              <w:t xml:space="preserve">Episodes of melena </w:t>
            </w:r>
          </w:p>
          <w:p w14:paraId="3A832D53" w14:textId="77777777" w:rsidR="00A75BD0" w:rsidRDefault="009D4DA5" w:rsidP="0BA40188">
            <w:pPr>
              <w:rPr>
                <w:color w:val="005A9E"/>
                <w:sz w:val="18"/>
                <w:szCs w:val="18"/>
                <w:lang w:val="fr-FR"/>
              </w:rPr>
            </w:pPr>
            <w:r w:rsidRPr="0BA40188">
              <w:rPr>
                <w:color w:val="005A9E"/>
                <w:sz w:val="18"/>
                <w:szCs w:val="18"/>
                <w:lang w:val="fr-FR"/>
              </w:rPr>
              <w:t>Multiple angiodysplasies</w:t>
            </w:r>
          </w:p>
          <w:p w14:paraId="556EA636" w14:textId="77777777" w:rsidR="00A75BD0" w:rsidRDefault="009D4DA5" w:rsidP="0BA40188">
            <w:pPr>
              <w:rPr>
                <w:color w:val="005A9E"/>
                <w:sz w:val="18"/>
                <w:szCs w:val="18"/>
                <w:lang w:val="fr-FR"/>
              </w:rPr>
            </w:pPr>
            <w:r w:rsidRPr="0BA40188">
              <w:rPr>
                <w:color w:val="005A9E"/>
                <w:sz w:val="18"/>
                <w:szCs w:val="18"/>
                <w:lang w:val="fr-FR"/>
              </w:rPr>
              <w:t>1 unit RBC transfusions/ 2 days</w:t>
            </w:r>
          </w:p>
          <w:p w14:paraId="10EB5663" w14:textId="77777777" w:rsidR="00A75BD0" w:rsidRDefault="00A75BD0">
            <w:pPr>
              <w:rPr>
                <w:color w:val="005A9E"/>
                <w:sz w:val="18"/>
                <w:szCs w:val="18"/>
              </w:rPr>
            </w:pPr>
          </w:p>
          <w:p w14:paraId="2F5DD59A" w14:textId="77777777" w:rsidR="00A75BD0" w:rsidRPr="002F6A24" w:rsidRDefault="009D4DA5">
            <w:pPr>
              <w:rPr>
                <w:color w:val="005A9E"/>
                <w:sz w:val="18"/>
                <w:szCs w:val="18"/>
                <w:lang w:val="en-US"/>
              </w:rPr>
            </w:pPr>
            <w:r w:rsidRPr="002F6A24">
              <w:rPr>
                <w:color w:val="005A9E"/>
                <w:sz w:val="18"/>
                <w:szCs w:val="18"/>
                <w:lang w:val="en-US"/>
              </w:rPr>
              <w:t>APC, and ethinylestradiol plus norethisterone hormonal therapy failed, octreotide stopped due to AE</w:t>
            </w:r>
          </w:p>
        </w:tc>
        <w:tc>
          <w:tcPr>
            <w:tcW w:w="2552" w:type="dxa"/>
            <w:gridSpan w:val="3"/>
            <w:tcBorders>
              <w:top w:val="single" w:sz="4" w:space="0" w:color="000000" w:themeColor="text1"/>
              <w:bottom w:val="single" w:sz="4" w:space="0" w:color="000000" w:themeColor="text1"/>
            </w:tcBorders>
            <w:tcMar>
              <w:left w:w="28" w:type="dxa"/>
              <w:right w:w="28" w:type="dxa"/>
            </w:tcMar>
          </w:tcPr>
          <w:p w14:paraId="3DD85348" w14:textId="77777777" w:rsidR="00A75BD0" w:rsidRPr="002F6A24" w:rsidRDefault="009D4DA5">
            <w:pPr>
              <w:ind w:right="114"/>
              <w:rPr>
                <w:color w:val="005A9E"/>
                <w:sz w:val="18"/>
                <w:szCs w:val="18"/>
                <w:lang w:val="en-US"/>
              </w:rPr>
            </w:pPr>
            <w:r w:rsidRPr="002F6A24">
              <w:rPr>
                <w:color w:val="005A9E"/>
                <w:sz w:val="18"/>
                <w:szCs w:val="18"/>
                <w:lang w:val="en-US"/>
              </w:rPr>
              <w:t>7.5 mg/kg/3 weeks, 3 doses</w:t>
            </w:r>
          </w:p>
          <w:p w14:paraId="2EFFBEEF" w14:textId="77777777" w:rsidR="00A75BD0" w:rsidRPr="002F6A24" w:rsidRDefault="009D4DA5">
            <w:pPr>
              <w:ind w:right="114"/>
              <w:rPr>
                <w:color w:val="005A9E"/>
                <w:sz w:val="18"/>
                <w:szCs w:val="18"/>
                <w:lang w:val="en-US"/>
              </w:rPr>
            </w:pPr>
            <w:r w:rsidRPr="002F6A24">
              <w:rPr>
                <w:color w:val="005A9E"/>
                <w:sz w:val="18"/>
                <w:szCs w:val="18"/>
                <w:lang w:val="en-US"/>
              </w:rPr>
              <w:t>5 mg/kg/3 weeks continuously</w:t>
            </w:r>
          </w:p>
          <w:p w14:paraId="244C9F22" w14:textId="77777777" w:rsidR="00A75BD0" w:rsidRPr="002F6A24" w:rsidRDefault="00A75BD0">
            <w:pPr>
              <w:ind w:right="114"/>
              <w:rPr>
                <w:color w:val="005A9E"/>
                <w:sz w:val="18"/>
                <w:szCs w:val="18"/>
                <w:lang w:val="en-US"/>
              </w:rPr>
            </w:pPr>
          </w:p>
        </w:tc>
        <w:tc>
          <w:tcPr>
            <w:tcW w:w="1134" w:type="dxa"/>
            <w:tcBorders>
              <w:top w:val="single" w:sz="4" w:space="0" w:color="000000" w:themeColor="text1"/>
              <w:bottom w:val="single" w:sz="4" w:space="0" w:color="000000" w:themeColor="text1"/>
            </w:tcBorders>
            <w:tcMar>
              <w:left w:w="28" w:type="dxa"/>
              <w:right w:w="28" w:type="dxa"/>
            </w:tcMar>
          </w:tcPr>
          <w:p w14:paraId="2A8199B2" w14:textId="77777777" w:rsidR="00A75BD0" w:rsidRDefault="009D4DA5">
            <w:pPr>
              <w:rPr>
                <w:color w:val="005A9E"/>
                <w:sz w:val="18"/>
                <w:szCs w:val="18"/>
              </w:rPr>
            </w:pPr>
            <w:r>
              <w:rPr>
                <w:color w:val="005A9E"/>
                <w:sz w:val="18"/>
                <w:szCs w:val="18"/>
              </w:rPr>
              <w:t>12</w:t>
            </w:r>
          </w:p>
        </w:tc>
        <w:tc>
          <w:tcPr>
            <w:tcW w:w="5297" w:type="dxa"/>
            <w:gridSpan w:val="2"/>
            <w:tcBorders>
              <w:top w:val="single" w:sz="4" w:space="0" w:color="000000" w:themeColor="text1"/>
              <w:bottom w:val="single" w:sz="4" w:space="0" w:color="000000" w:themeColor="text1"/>
            </w:tcBorders>
            <w:tcMar>
              <w:left w:w="0" w:type="dxa"/>
              <w:right w:w="0" w:type="dxa"/>
            </w:tcMar>
          </w:tcPr>
          <w:p w14:paraId="48F1F9EF" w14:textId="77777777" w:rsidR="00A75BD0" w:rsidRDefault="009D4DA5">
            <w:pPr>
              <w:numPr>
                <w:ilvl w:val="0"/>
                <w:numId w:val="17"/>
              </w:numPr>
              <w:ind w:right="166"/>
              <w:jc w:val="both"/>
              <w:rPr>
                <w:color w:val="005A9E"/>
                <w:sz w:val="18"/>
                <w:szCs w:val="18"/>
              </w:rPr>
            </w:pPr>
            <w:r>
              <w:rPr>
                <w:color w:val="005A9E"/>
                <w:sz w:val="18"/>
                <w:szCs w:val="18"/>
              </w:rPr>
              <w:t>No more transfusion</w:t>
            </w:r>
          </w:p>
          <w:p w14:paraId="060E2F7A"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1 episode of melena</w:t>
            </w:r>
          </w:p>
          <w:p w14:paraId="69401324"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Hb normalized (5.5-8.5 to 13-14.5 g/dL)</w:t>
            </w:r>
          </w:p>
        </w:tc>
      </w:tr>
      <w:tr w:rsidR="00A75BD0" w:rsidRPr="007428DF" w14:paraId="53AA9293"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4634C4B4" w14:textId="77777777" w:rsidR="00A75BD0" w:rsidRDefault="008853BF">
            <w:pPr>
              <w:rPr>
                <w:color w:val="005A9E"/>
                <w:sz w:val="18"/>
                <w:szCs w:val="18"/>
              </w:rPr>
            </w:pPr>
            <w:hyperlink r:id="rId57">
              <w:r w:rsidR="009D4DA5">
                <w:rPr>
                  <w:color w:val="0563C1"/>
                  <w:sz w:val="18"/>
                  <w:szCs w:val="18"/>
                  <w:u w:val="single"/>
                </w:rPr>
                <w:t>Oladiran 2018</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716B1158" w14:textId="77777777" w:rsidR="00A75BD0" w:rsidRDefault="009D4DA5" w:rsidP="0BA40188">
            <w:pPr>
              <w:rPr>
                <w:color w:val="005A9E"/>
                <w:sz w:val="18"/>
                <w:szCs w:val="18"/>
                <w:lang w:val="fr-FR"/>
              </w:rPr>
            </w:pPr>
            <w:r w:rsidRPr="0BA40188">
              <w:rPr>
                <w:color w:val="005A9E"/>
                <w:sz w:val="18"/>
                <w:szCs w:val="18"/>
                <w:lang w:val="fr-FR"/>
              </w:rPr>
              <w:t>1 patient 68 y with</w:t>
            </w:r>
          </w:p>
          <w:p w14:paraId="338542A6" w14:textId="77777777" w:rsidR="00A75BD0" w:rsidRDefault="009D4DA5" w:rsidP="0BA40188">
            <w:pPr>
              <w:numPr>
                <w:ilvl w:val="0"/>
                <w:numId w:val="13"/>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epistaxis</w:t>
            </w:r>
          </w:p>
          <w:p w14:paraId="1A5AA084" w14:textId="77777777" w:rsidR="00A75BD0" w:rsidRDefault="009D4DA5" w:rsidP="0BA40188">
            <w:pPr>
              <w:numPr>
                <w:ilvl w:val="0"/>
                <w:numId w:val="13"/>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GI bleeding</w:t>
            </w:r>
          </w:p>
          <w:p w14:paraId="21CCA300" w14:textId="77777777" w:rsidR="00A75BD0" w:rsidRDefault="009D4DA5">
            <w:pPr>
              <w:numPr>
                <w:ilvl w:val="0"/>
                <w:numId w:val="13"/>
              </w:numPr>
              <w:pBdr>
                <w:top w:val="nil"/>
                <w:left w:val="nil"/>
                <w:bottom w:val="nil"/>
                <w:right w:val="nil"/>
                <w:between w:val="nil"/>
              </w:pBdr>
              <w:spacing w:line="276" w:lineRule="auto"/>
              <w:rPr>
                <w:color w:val="005A9E"/>
                <w:sz w:val="18"/>
                <w:szCs w:val="18"/>
              </w:rPr>
            </w:pPr>
            <w:r>
              <w:rPr>
                <w:color w:val="005A9E"/>
                <w:sz w:val="18"/>
                <w:szCs w:val="18"/>
              </w:rPr>
              <w:t>Transfusions</w:t>
            </w:r>
          </w:p>
          <w:p w14:paraId="4295EF92" w14:textId="77777777" w:rsidR="00A75BD0" w:rsidRPr="002F6A24" w:rsidRDefault="009D4DA5">
            <w:pPr>
              <w:numPr>
                <w:ilvl w:val="0"/>
                <w:numId w:val="13"/>
              </w:numPr>
              <w:pBdr>
                <w:top w:val="nil"/>
                <w:left w:val="nil"/>
                <w:bottom w:val="nil"/>
                <w:right w:val="nil"/>
                <w:between w:val="nil"/>
              </w:pBdr>
              <w:spacing w:line="276" w:lineRule="auto"/>
              <w:rPr>
                <w:color w:val="005A9E"/>
                <w:sz w:val="18"/>
                <w:szCs w:val="18"/>
                <w:lang w:val="en-US"/>
              </w:rPr>
            </w:pPr>
            <w:r w:rsidRPr="002F6A24">
              <w:rPr>
                <w:color w:val="005A9E"/>
                <w:sz w:val="18"/>
                <w:szCs w:val="18"/>
                <w:lang w:val="en-US"/>
              </w:rPr>
              <w:t>pulmonary vascular congestion and interstitial edema with</w:t>
            </w:r>
          </w:p>
          <w:p w14:paraId="0D149334" w14:textId="77777777" w:rsidR="00A75BD0" w:rsidRDefault="009D4DA5" w:rsidP="0BA40188">
            <w:pPr>
              <w:numPr>
                <w:ilvl w:val="0"/>
                <w:numId w:val="13"/>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mild cardiomegaly</w:t>
            </w:r>
          </w:p>
          <w:p w14:paraId="695FD93A" w14:textId="77777777" w:rsidR="00A75BD0" w:rsidRDefault="009D4DA5" w:rsidP="0BA40188">
            <w:pPr>
              <w:numPr>
                <w:ilvl w:val="0"/>
                <w:numId w:val="13"/>
              </w:numPr>
              <w:pBdr>
                <w:top w:val="nil"/>
                <w:left w:val="nil"/>
                <w:bottom w:val="nil"/>
                <w:right w:val="nil"/>
                <w:between w:val="nil"/>
              </w:pBdr>
              <w:spacing w:line="276" w:lineRule="auto"/>
              <w:rPr>
                <w:color w:val="005A9E"/>
                <w:sz w:val="18"/>
                <w:szCs w:val="18"/>
                <w:lang w:val="fr-FR"/>
              </w:rPr>
            </w:pPr>
            <w:r w:rsidRPr="0BA40188">
              <w:rPr>
                <w:color w:val="005A9E"/>
                <w:sz w:val="18"/>
                <w:szCs w:val="18"/>
                <w:lang w:val="fr-FR"/>
              </w:rPr>
              <w:t>widely patent coronary vessels</w:t>
            </w:r>
          </w:p>
          <w:p w14:paraId="1D1D6DC6" w14:textId="77777777" w:rsidR="00A75BD0" w:rsidRDefault="00A75BD0">
            <w:pPr>
              <w:rPr>
                <w:color w:val="005A9E"/>
                <w:sz w:val="18"/>
                <w:szCs w:val="18"/>
              </w:rPr>
            </w:pPr>
          </w:p>
          <w:p w14:paraId="0D090765" w14:textId="77777777" w:rsidR="00A75BD0" w:rsidRDefault="009D4DA5" w:rsidP="0BA40188">
            <w:pPr>
              <w:rPr>
                <w:color w:val="005A9E"/>
                <w:sz w:val="18"/>
                <w:szCs w:val="18"/>
                <w:lang w:val="fr-FR"/>
              </w:rPr>
            </w:pPr>
            <w:r w:rsidRPr="0BA40188">
              <w:rPr>
                <w:color w:val="005A9E"/>
                <w:sz w:val="18"/>
                <w:szCs w:val="18"/>
                <w:lang w:val="fr-FR"/>
              </w:rPr>
              <w:t>epsilon-aminocaproic acid failed</w:t>
            </w:r>
          </w:p>
        </w:tc>
        <w:tc>
          <w:tcPr>
            <w:tcW w:w="2552" w:type="dxa"/>
            <w:gridSpan w:val="3"/>
            <w:tcBorders>
              <w:top w:val="single" w:sz="4" w:space="0" w:color="000000" w:themeColor="text1"/>
              <w:bottom w:val="single" w:sz="4" w:space="0" w:color="000000" w:themeColor="text1"/>
            </w:tcBorders>
            <w:tcMar>
              <w:left w:w="28" w:type="dxa"/>
              <w:right w:w="28" w:type="dxa"/>
            </w:tcMar>
          </w:tcPr>
          <w:p w14:paraId="2E6D6597" w14:textId="77777777" w:rsidR="00A75BD0" w:rsidRDefault="009D4DA5" w:rsidP="0BA40188">
            <w:pPr>
              <w:ind w:right="114"/>
              <w:rPr>
                <w:color w:val="005A9E"/>
                <w:sz w:val="18"/>
                <w:szCs w:val="18"/>
                <w:lang w:val="fr-FR"/>
              </w:rPr>
            </w:pPr>
            <w:r w:rsidRPr="0BA40188">
              <w:rPr>
                <w:color w:val="005A9E"/>
                <w:sz w:val="18"/>
                <w:szCs w:val="18"/>
                <w:lang w:val="fr-FR"/>
              </w:rPr>
              <w:t>15 mg/kg/ 4 weeks</w:t>
            </w:r>
          </w:p>
          <w:p w14:paraId="35DF18AA" w14:textId="77777777" w:rsidR="00A75BD0" w:rsidRDefault="009D4DA5">
            <w:pPr>
              <w:ind w:right="114"/>
              <w:rPr>
                <w:color w:val="005A9E"/>
                <w:sz w:val="18"/>
                <w:szCs w:val="18"/>
              </w:rPr>
            </w:pPr>
            <w:r>
              <w:rPr>
                <w:color w:val="005A9E"/>
                <w:sz w:val="18"/>
                <w:szCs w:val="18"/>
              </w:rPr>
              <w:t>5 injections</w:t>
            </w:r>
          </w:p>
        </w:tc>
        <w:tc>
          <w:tcPr>
            <w:tcW w:w="1134" w:type="dxa"/>
            <w:tcBorders>
              <w:top w:val="single" w:sz="4" w:space="0" w:color="000000" w:themeColor="text1"/>
              <w:bottom w:val="single" w:sz="4" w:space="0" w:color="000000" w:themeColor="text1"/>
            </w:tcBorders>
            <w:tcMar>
              <w:left w:w="28" w:type="dxa"/>
              <w:right w:w="28" w:type="dxa"/>
            </w:tcMar>
          </w:tcPr>
          <w:p w14:paraId="4AC1FE2F" w14:textId="77777777" w:rsidR="00A75BD0" w:rsidRDefault="009D4DA5">
            <w:pPr>
              <w:rPr>
                <w:color w:val="005A9E"/>
                <w:sz w:val="18"/>
                <w:szCs w:val="18"/>
              </w:rPr>
            </w:pPr>
            <w:r>
              <w:rPr>
                <w:color w:val="005A9E"/>
                <w:sz w:val="18"/>
                <w:szCs w:val="18"/>
              </w:rPr>
              <w:t>1</w:t>
            </w:r>
          </w:p>
        </w:tc>
        <w:tc>
          <w:tcPr>
            <w:tcW w:w="5297" w:type="dxa"/>
            <w:gridSpan w:val="2"/>
            <w:tcBorders>
              <w:top w:val="single" w:sz="4" w:space="0" w:color="000000" w:themeColor="text1"/>
              <w:bottom w:val="single" w:sz="4" w:space="0" w:color="000000" w:themeColor="text1"/>
            </w:tcBorders>
            <w:tcMar>
              <w:left w:w="0" w:type="dxa"/>
              <w:right w:w="0" w:type="dxa"/>
            </w:tcMar>
          </w:tcPr>
          <w:p w14:paraId="0F413568"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 xml:space="preserve">Death due to acute left ventricular dysfunction </w:t>
            </w:r>
          </w:p>
        </w:tc>
      </w:tr>
      <w:tr w:rsidR="00A75BD0" w14:paraId="43E50000"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51C5E94B" w14:textId="77777777" w:rsidR="00A75BD0" w:rsidRDefault="008853BF">
            <w:pPr>
              <w:rPr>
                <w:color w:val="005A9E"/>
                <w:sz w:val="18"/>
                <w:szCs w:val="18"/>
              </w:rPr>
            </w:pPr>
            <w:hyperlink r:id="rId58">
              <w:r w:rsidR="009D4DA5">
                <w:rPr>
                  <w:color w:val="0563C1"/>
                  <w:sz w:val="18"/>
                  <w:szCs w:val="18"/>
                  <w:u w:val="single"/>
                </w:rPr>
                <w:t>Flower 2019</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3093BE8F" w14:textId="77777777" w:rsidR="00A75BD0" w:rsidRPr="002F6A24" w:rsidRDefault="009D4DA5">
            <w:pPr>
              <w:rPr>
                <w:color w:val="005A9E"/>
                <w:sz w:val="18"/>
                <w:szCs w:val="18"/>
                <w:lang w:val="en-US"/>
              </w:rPr>
            </w:pPr>
            <w:r w:rsidRPr="002F6A24">
              <w:rPr>
                <w:color w:val="005A9E"/>
                <w:sz w:val="18"/>
                <w:szCs w:val="18"/>
                <w:lang w:val="en-US"/>
              </w:rPr>
              <w:t xml:space="preserve">1 patient 77 y with </w:t>
            </w:r>
          </w:p>
          <w:p w14:paraId="2F024566" w14:textId="77777777" w:rsidR="00A75BD0" w:rsidRPr="002F6A24" w:rsidRDefault="009D4DA5">
            <w:pPr>
              <w:rPr>
                <w:color w:val="005A9E"/>
                <w:sz w:val="18"/>
                <w:szCs w:val="18"/>
                <w:lang w:val="en-US"/>
              </w:rPr>
            </w:pPr>
            <w:r w:rsidRPr="002F6A24">
              <w:rPr>
                <w:color w:val="005A9E"/>
                <w:sz w:val="18"/>
                <w:szCs w:val="18"/>
                <w:lang w:val="en-US"/>
              </w:rPr>
              <w:t>High cardiac output (5.6 L/minute/m²)</w:t>
            </w:r>
          </w:p>
          <w:p w14:paraId="052D1E8B" w14:textId="77777777" w:rsidR="00A75BD0" w:rsidRPr="002F6A24" w:rsidRDefault="00A75BD0">
            <w:pPr>
              <w:rPr>
                <w:color w:val="005A9E"/>
                <w:sz w:val="18"/>
                <w:szCs w:val="18"/>
                <w:lang w:val="en-US"/>
              </w:rPr>
            </w:pPr>
          </w:p>
        </w:tc>
        <w:tc>
          <w:tcPr>
            <w:tcW w:w="2552" w:type="dxa"/>
            <w:gridSpan w:val="3"/>
            <w:tcBorders>
              <w:top w:val="single" w:sz="4" w:space="0" w:color="000000" w:themeColor="text1"/>
              <w:bottom w:val="single" w:sz="4" w:space="0" w:color="000000" w:themeColor="text1"/>
            </w:tcBorders>
            <w:tcMar>
              <w:left w:w="28" w:type="dxa"/>
              <w:right w:w="28" w:type="dxa"/>
            </w:tcMar>
          </w:tcPr>
          <w:p w14:paraId="2EF96EB9" w14:textId="77777777" w:rsidR="00A75BD0" w:rsidRDefault="009D4DA5" w:rsidP="0BA40188">
            <w:pPr>
              <w:ind w:right="114"/>
              <w:rPr>
                <w:color w:val="005A9E"/>
                <w:sz w:val="18"/>
                <w:szCs w:val="18"/>
                <w:lang w:val="fr-FR"/>
              </w:rPr>
            </w:pPr>
            <w:r w:rsidRPr="0BA40188">
              <w:rPr>
                <w:color w:val="005A9E"/>
                <w:sz w:val="18"/>
                <w:szCs w:val="18"/>
                <w:lang w:val="fr-FR"/>
              </w:rPr>
              <w:t>5 mg/kg/2 weeks</w:t>
            </w:r>
          </w:p>
          <w:p w14:paraId="321979D6" w14:textId="77777777" w:rsidR="00A75BD0" w:rsidRDefault="009D4DA5">
            <w:pPr>
              <w:ind w:right="114"/>
              <w:rPr>
                <w:color w:val="005A9E"/>
                <w:sz w:val="18"/>
                <w:szCs w:val="18"/>
              </w:rPr>
            </w:pPr>
            <w:r>
              <w:rPr>
                <w:color w:val="005A9E"/>
                <w:sz w:val="18"/>
                <w:szCs w:val="18"/>
              </w:rPr>
              <w:t>6 injections</w:t>
            </w:r>
          </w:p>
          <w:p w14:paraId="1663DD4A" w14:textId="77777777" w:rsidR="00A75BD0" w:rsidRDefault="00A75BD0">
            <w:pPr>
              <w:ind w:right="114"/>
              <w:rPr>
                <w:color w:val="005A9E"/>
                <w:sz w:val="18"/>
                <w:szCs w:val="18"/>
              </w:rPr>
            </w:pPr>
          </w:p>
        </w:tc>
        <w:tc>
          <w:tcPr>
            <w:tcW w:w="1134" w:type="dxa"/>
            <w:tcBorders>
              <w:top w:val="single" w:sz="4" w:space="0" w:color="000000" w:themeColor="text1"/>
              <w:bottom w:val="single" w:sz="4" w:space="0" w:color="000000" w:themeColor="text1"/>
            </w:tcBorders>
            <w:tcMar>
              <w:left w:w="28" w:type="dxa"/>
              <w:right w:w="28" w:type="dxa"/>
            </w:tcMar>
          </w:tcPr>
          <w:p w14:paraId="102D0B7F" w14:textId="77777777" w:rsidR="00A75BD0" w:rsidRDefault="009D4DA5">
            <w:pPr>
              <w:rPr>
                <w:color w:val="005A9E"/>
                <w:sz w:val="18"/>
                <w:szCs w:val="18"/>
              </w:rPr>
            </w:pPr>
            <w:r>
              <w:rPr>
                <w:color w:val="005A9E"/>
                <w:sz w:val="18"/>
                <w:szCs w:val="18"/>
              </w:rPr>
              <w:t>3</w:t>
            </w:r>
          </w:p>
        </w:tc>
        <w:tc>
          <w:tcPr>
            <w:tcW w:w="5297" w:type="dxa"/>
            <w:gridSpan w:val="2"/>
            <w:tcBorders>
              <w:top w:val="single" w:sz="4" w:space="0" w:color="000000" w:themeColor="text1"/>
              <w:bottom w:val="single" w:sz="4" w:space="0" w:color="000000" w:themeColor="text1"/>
            </w:tcBorders>
            <w:tcMar>
              <w:left w:w="0" w:type="dxa"/>
              <w:right w:w="0" w:type="dxa"/>
            </w:tcMar>
          </w:tcPr>
          <w:p w14:paraId="2B1EAFAD"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no further orthopnoea or paroxysmal nocturnal dyspnoea</w:t>
            </w:r>
          </w:p>
          <w:p w14:paraId="53463D96"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Pedal oedema had not recurred</w:t>
            </w:r>
          </w:p>
          <w:p w14:paraId="48B5971B"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 Hb (11.5-16 to 16 g/dL)</w:t>
            </w:r>
          </w:p>
          <w:p w14:paraId="7972CB0F" w14:textId="77777777" w:rsidR="00A75BD0" w:rsidRDefault="009D4DA5" w:rsidP="0BA40188">
            <w:pPr>
              <w:numPr>
                <w:ilvl w:val="0"/>
                <w:numId w:val="17"/>
              </w:numPr>
              <w:ind w:right="166"/>
              <w:jc w:val="both"/>
              <w:rPr>
                <w:color w:val="005A9E"/>
                <w:sz w:val="18"/>
                <w:szCs w:val="18"/>
                <w:lang w:val="fr-FR"/>
              </w:rPr>
            </w:pPr>
            <w:r w:rsidRPr="0BA40188">
              <w:rPr>
                <w:color w:val="005A9E"/>
                <w:sz w:val="18"/>
                <w:szCs w:val="18"/>
                <w:lang w:val="fr-FR"/>
              </w:rPr>
              <w:t>Normalization of cardiac function</w:t>
            </w:r>
          </w:p>
        </w:tc>
      </w:tr>
      <w:tr w:rsidR="00A75BD0" w:rsidRPr="007428DF" w14:paraId="76A28CA0"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433DDC16" w14:textId="77777777" w:rsidR="00A75BD0" w:rsidRDefault="008853BF">
            <w:pPr>
              <w:rPr>
                <w:color w:val="005A9E"/>
                <w:sz w:val="18"/>
                <w:szCs w:val="18"/>
              </w:rPr>
            </w:pPr>
            <w:hyperlink r:id="rId59">
              <w:r w:rsidR="009D4DA5">
                <w:rPr>
                  <w:color w:val="0563C1"/>
                  <w:sz w:val="18"/>
                  <w:szCs w:val="18"/>
                  <w:u w:val="single"/>
                </w:rPr>
                <w:t>Olsen 2020</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37311AE6" w14:textId="77777777" w:rsidR="00A75BD0" w:rsidRDefault="009D4DA5" w:rsidP="0BA40188">
            <w:pPr>
              <w:rPr>
                <w:color w:val="005A9E"/>
                <w:sz w:val="18"/>
                <w:szCs w:val="18"/>
                <w:lang w:val="fr-FR"/>
              </w:rPr>
            </w:pPr>
            <w:r w:rsidRPr="0BA40188">
              <w:rPr>
                <w:color w:val="005A9E"/>
                <w:sz w:val="18"/>
                <w:szCs w:val="18"/>
                <w:lang w:val="fr-FR"/>
              </w:rPr>
              <w:t xml:space="preserve">2 HHT patients 80, 66 y with </w:t>
            </w:r>
          </w:p>
          <w:p w14:paraId="71E1BA66" w14:textId="77777777" w:rsidR="00A75BD0" w:rsidRPr="002F6A24" w:rsidRDefault="009D4DA5">
            <w:pPr>
              <w:rPr>
                <w:color w:val="005A9E"/>
                <w:sz w:val="18"/>
                <w:szCs w:val="18"/>
                <w:lang w:val="en-US"/>
              </w:rPr>
            </w:pPr>
            <w:r w:rsidRPr="002F6A24">
              <w:rPr>
                <w:color w:val="005A9E"/>
                <w:sz w:val="18"/>
                <w:szCs w:val="18"/>
                <w:lang w:val="en-US"/>
              </w:rPr>
              <w:t xml:space="preserve">high-output cardiac failure secondary to HAVM </w:t>
            </w:r>
          </w:p>
          <w:p w14:paraId="7BB8DAE1" w14:textId="77777777" w:rsidR="00A75BD0" w:rsidRPr="002F6A24" w:rsidRDefault="009D4DA5">
            <w:pPr>
              <w:rPr>
                <w:color w:val="005A9E"/>
                <w:sz w:val="18"/>
                <w:szCs w:val="18"/>
                <w:lang w:val="en-US"/>
              </w:rPr>
            </w:pPr>
            <w:r w:rsidRPr="002F6A24">
              <w:rPr>
                <w:color w:val="005A9E"/>
                <w:sz w:val="18"/>
                <w:szCs w:val="18"/>
                <w:lang w:val="en-US"/>
              </w:rPr>
              <w:t>mild right ventricular systolic dysfunction</w:t>
            </w:r>
          </w:p>
        </w:tc>
        <w:tc>
          <w:tcPr>
            <w:tcW w:w="2552" w:type="dxa"/>
            <w:gridSpan w:val="3"/>
            <w:tcBorders>
              <w:top w:val="single" w:sz="4" w:space="0" w:color="000000" w:themeColor="text1"/>
              <w:bottom w:val="single" w:sz="4" w:space="0" w:color="000000" w:themeColor="text1"/>
            </w:tcBorders>
            <w:tcMar>
              <w:left w:w="28" w:type="dxa"/>
              <w:right w:w="28" w:type="dxa"/>
            </w:tcMar>
          </w:tcPr>
          <w:p w14:paraId="7DB1E571" w14:textId="77777777" w:rsidR="00A75BD0" w:rsidRPr="002F6A24" w:rsidRDefault="009D4DA5">
            <w:pPr>
              <w:ind w:right="114"/>
              <w:rPr>
                <w:color w:val="005A9E"/>
                <w:sz w:val="18"/>
                <w:szCs w:val="18"/>
                <w:lang w:val="en-US"/>
              </w:rPr>
            </w:pPr>
            <w:r w:rsidRPr="002F6A24">
              <w:rPr>
                <w:color w:val="005A9E"/>
                <w:sz w:val="18"/>
                <w:szCs w:val="18"/>
                <w:lang w:val="en-US"/>
              </w:rPr>
              <w:t>5 mg/kg/3  weeks</w:t>
            </w:r>
          </w:p>
          <w:p w14:paraId="2CBC1C0F" w14:textId="77777777" w:rsidR="00A75BD0" w:rsidRPr="002F6A24" w:rsidRDefault="009D4DA5">
            <w:pPr>
              <w:ind w:right="114"/>
              <w:rPr>
                <w:color w:val="005A9E"/>
                <w:sz w:val="18"/>
                <w:szCs w:val="18"/>
                <w:lang w:val="en-US"/>
              </w:rPr>
            </w:pPr>
            <w:r w:rsidRPr="002F6A24">
              <w:rPr>
                <w:color w:val="005A9E"/>
                <w:sz w:val="18"/>
                <w:szCs w:val="18"/>
                <w:lang w:val="en-US"/>
              </w:rPr>
              <w:t>6 injections</w:t>
            </w:r>
          </w:p>
          <w:p w14:paraId="478D369A" w14:textId="77777777" w:rsidR="00A75BD0" w:rsidRPr="002F6A24" w:rsidRDefault="00A75BD0">
            <w:pPr>
              <w:ind w:right="114"/>
              <w:rPr>
                <w:color w:val="005A9E"/>
                <w:sz w:val="18"/>
                <w:szCs w:val="18"/>
                <w:lang w:val="en-US"/>
              </w:rPr>
            </w:pPr>
          </w:p>
          <w:p w14:paraId="0F7492E8" w14:textId="77777777" w:rsidR="00A75BD0" w:rsidRPr="002F6A24" w:rsidRDefault="009D4DA5">
            <w:pPr>
              <w:ind w:right="114"/>
              <w:rPr>
                <w:color w:val="005A9E"/>
                <w:sz w:val="18"/>
                <w:szCs w:val="18"/>
                <w:lang w:val="en-US"/>
              </w:rPr>
            </w:pPr>
            <w:r w:rsidRPr="002F6A24">
              <w:rPr>
                <w:color w:val="005A9E"/>
                <w:sz w:val="18"/>
                <w:szCs w:val="18"/>
                <w:lang w:val="en-US"/>
              </w:rPr>
              <w:t>Maintenance injection every 3 months</w:t>
            </w:r>
          </w:p>
        </w:tc>
        <w:tc>
          <w:tcPr>
            <w:tcW w:w="1134" w:type="dxa"/>
            <w:tcBorders>
              <w:top w:val="single" w:sz="4" w:space="0" w:color="000000" w:themeColor="text1"/>
              <w:bottom w:val="single" w:sz="4" w:space="0" w:color="000000" w:themeColor="text1"/>
            </w:tcBorders>
            <w:tcMar>
              <w:left w:w="28" w:type="dxa"/>
              <w:right w:w="28" w:type="dxa"/>
            </w:tcMar>
          </w:tcPr>
          <w:p w14:paraId="06348369" w14:textId="77777777" w:rsidR="00A75BD0" w:rsidRDefault="009D4DA5">
            <w:pPr>
              <w:rPr>
                <w:color w:val="005A9E"/>
                <w:sz w:val="18"/>
                <w:szCs w:val="18"/>
              </w:rPr>
            </w:pPr>
            <w:r>
              <w:rPr>
                <w:color w:val="005A9E"/>
                <w:sz w:val="18"/>
                <w:szCs w:val="18"/>
              </w:rPr>
              <w:t xml:space="preserve">9 </w:t>
            </w:r>
          </w:p>
        </w:tc>
        <w:tc>
          <w:tcPr>
            <w:tcW w:w="5297" w:type="dxa"/>
            <w:gridSpan w:val="2"/>
            <w:tcBorders>
              <w:top w:val="single" w:sz="4" w:space="0" w:color="000000" w:themeColor="text1"/>
              <w:bottom w:val="single" w:sz="4" w:space="0" w:color="000000" w:themeColor="text1"/>
            </w:tcBorders>
            <w:tcMar>
              <w:left w:w="0" w:type="dxa"/>
              <w:right w:w="0" w:type="dxa"/>
            </w:tcMar>
          </w:tcPr>
          <w:p w14:paraId="27A1FE4E" w14:textId="77777777" w:rsidR="00A75BD0" w:rsidRDefault="009D4DA5">
            <w:pPr>
              <w:numPr>
                <w:ilvl w:val="0"/>
                <w:numId w:val="17"/>
              </w:numPr>
              <w:ind w:right="166"/>
              <w:jc w:val="both"/>
              <w:rPr>
                <w:color w:val="005A9E"/>
                <w:sz w:val="18"/>
                <w:szCs w:val="18"/>
              </w:rPr>
            </w:pPr>
            <w:r>
              <w:rPr>
                <w:rFonts w:ascii="Cambria Math" w:eastAsia="Cambria Math" w:hAnsi="Cambria Math" w:cs="Cambria Math"/>
                <w:color w:val="005A9E"/>
                <w:sz w:val="18"/>
                <w:szCs w:val="18"/>
              </w:rPr>
              <w:t>↘</w:t>
            </w:r>
            <w:r>
              <w:rPr>
                <w:color w:val="005A9E"/>
                <w:sz w:val="18"/>
                <w:szCs w:val="18"/>
              </w:rPr>
              <w:t>CI (-1 L/min/m</w:t>
            </w:r>
            <w:r>
              <w:rPr>
                <w:color w:val="005A9E"/>
                <w:sz w:val="18"/>
                <w:szCs w:val="18"/>
                <w:vertAlign w:val="superscript"/>
              </w:rPr>
              <w:t>2</w:t>
            </w:r>
            <w:r>
              <w:rPr>
                <w:color w:val="005A9E"/>
                <w:sz w:val="18"/>
                <w:szCs w:val="18"/>
              </w:rPr>
              <w:t>)</w:t>
            </w:r>
          </w:p>
          <w:p w14:paraId="0CA5C1CB"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 xml:space="preserve">↘ </w:t>
            </w:r>
            <w:r w:rsidRPr="0BA40188">
              <w:rPr>
                <w:color w:val="005A9E"/>
                <w:sz w:val="18"/>
                <w:szCs w:val="18"/>
                <w:lang w:val="fr-FR"/>
              </w:rPr>
              <w:t>NYHA-class dyspnea</w:t>
            </w:r>
          </w:p>
          <w:p w14:paraId="4E0838D9"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w:t>
            </w:r>
            <w:r w:rsidRPr="0BA40188">
              <w:rPr>
                <w:color w:val="005A9E"/>
                <w:sz w:val="18"/>
                <w:szCs w:val="18"/>
                <w:lang w:val="fr-FR"/>
              </w:rPr>
              <w:t xml:space="preserve">diuretic treatment </w:t>
            </w:r>
          </w:p>
          <w:p w14:paraId="2C79CE33" w14:textId="77777777" w:rsidR="00A75BD0" w:rsidRDefault="009D4DA5" w:rsidP="0BA40188">
            <w:pPr>
              <w:numPr>
                <w:ilvl w:val="0"/>
                <w:numId w:val="17"/>
              </w:numPr>
              <w:ind w:right="166"/>
              <w:jc w:val="both"/>
              <w:rPr>
                <w:color w:val="005A9E"/>
                <w:sz w:val="18"/>
                <w:szCs w:val="18"/>
                <w:lang w:val="fr-FR"/>
              </w:rPr>
            </w:pPr>
            <w:r w:rsidRPr="0BA40188">
              <w:rPr>
                <w:rFonts w:ascii="Cambria Math" w:eastAsia="Cambria Math" w:hAnsi="Cambria Math" w:cs="Cambria Math"/>
                <w:color w:val="005A9E"/>
                <w:sz w:val="18"/>
                <w:szCs w:val="18"/>
                <w:lang w:val="fr-FR"/>
              </w:rPr>
              <w:t xml:space="preserve">↘ </w:t>
            </w:r>
            <w:r w:rsidRPr="0BA40188">
              <w:rPr>
                <w:color w:val="005A9E"/>
                <w:sz w:val="18"/>
                <w:szCs w:val="18"/>
                <w:lang w:val="fr-FR"/>
              </w:rPr>
              <w:t xml:space="preserve">gastrointestinal bleedings </w:t>
            </w:r>
          </w:p>
          <w:p w14:paraId="57E84D8C" w14:textId="77777777" w:rsidR="00A75BD0" w:rsidRPr="002F6A24" w:rsidRDefault="009D4DA5">
            <w:pPr>
              <w:numPr>
                <w:ilvl w:val="0"/>
                <w:numId w:val="17"/>
              </w:numPr>
              <w:ind w:left="391" w:right="166" w:hanging="391"/>
              <w:jc w:val="both"/>
              <w:rPr>
                <w:lang w:val="en-US"/>
              </w:rPr>
            </w:pPr>
            <w:r w:rsidRPr="002F6A24">
              <w:rPr>
                <w:color w:val="005A9E"/>
                <w:sz w:val="18"/>
                <w:szCs w:val="18"/>
                <w:lang w:val="en-US"/>
              </w:rPr>
              <w:t>No more blood transfusions (for 1 patient) and epistaxis</w:t>
            </w:r>
          </w:p>
          <w:p w14:paraId="05F3D798" w14:textId="77777777" w:rsidR="00A75BD0" w:rsidRPr="002F6A24" w:rsidRDefault="009D4DA5">
            <w:pPr>
              <w:numPr>
                <w:ilvl w:val="0"/>
                <w:numId w:val="17"/>
              </w:numPr>
              <w:ind w:right="166"/>
              <w:jc w:val="both"/>
              <w:rPr>
                <w:color w:val="005A9E"/>
                <w:sz w:val="18"/>
                <w:szCs w:val="18"/>
                <w:lang w:val="en-US"/>
              </w:rPr>
            </w:pPr>
            <w:r w:rsidRPr="002F6A24">
              <w:rPr>
                <w:color w:val="005A9E"/>
                <w:sz w:val="18"/>
                <w:szCs w:val="18"/>
                <w:lang w:val="en-US"/>
              </w:rPr>
              <w:t>AE : vulnerable and fossy nails</w:t>
            </w:r>
          </w:p>
        </w:tc>
      </w:tr>
      <w:tr w:rsidR="00A75BD0" w:rsidRPr="007428DF" w14:paraId="177429A4" w14:textId="77777777" w:rsidTr="0BA40188">
        <w:trPr>
          <w:trHeight w:val="142"/>
        </w:trPr>
        <w:tc>
          <w:tcPr>
            <w:tcW w:w="1273" w:type="dxa"/>
            <w:tcBorders>
              <w:top w:val="single" w:sz="4" w:space="0" w:color="000000" w:themeColor="text1"/>
              <w:bottom w:val="single" w:sz="4" w:space="0" w:color="000000" w:themeColor="text1"/>
            </w:tcBorders>
            <w:tcMar>
              <w:left w:w="28" w:type="dxa"/>
              <w:right w:w="28" w:type="dxa"/>
            </w:tcMar>
          </w:tcPr>
          <w:p w14:paraId="54F9CEFC" w14:textId="77777777" w:rsidR="00A75BD0" w:rsidRDefault="008853BF">
            <w:pPr>
              <w:rPr>
                <w:color w:val="005A9E"/>
                <w:sz w:val="18"/>
                <w:szCs w:val="18"/>
              </w:rPr>
            </w:pPr>
            <w:hyperlink r:id="rId60">
              <w:r w:rsidR="009D4DA5">
                <w:rPr>
                  <w:color w:val="0563C1"/>
                  <w:sz w:val="18"/>
                  <w:szCs w:val="18"/>
                  <w:u w:val="single"/>
                </w:rPr>
                <w:t>Albitar 2020</w:t>
              </w:r>
            </w:hyperlink>
          </w:p>
        </w:tc>
        <w:tc>
          <w:tcPr>
            <w:tcW w:w="4677" w:type="dxa"/>
            <w:gridSpan w:val="2"/>
            <w:tcBorders>
              <w:top w:val="single" w:sz="4" w:space="0" w:color="000000" w:themeColor="text1"/>
              <w:bottom w:val="single" w:sz="4" w:space="0" w:color="000000" w:themeColor="text1"/>
            </w:tcBorders>
            <w:tcMar>
              <w:left w:w="28" w:type="dxa"/>
              <w:right w:w="28" w:type="dxa"/>
            </w:tcMar>
          </w:tcPr>
          <w:p w14:paraId="0E8672F1" w14:textId="77777777" w:rsidR="00A75BD0" w:rsidRPr="002F6A24" w:rsidRDefault="009D4DA5">
            <w:pPr>
              <w:rPr>
                <w:color w:val="005A9E"/>
                <w:sz w:val="18"/>
                <w:szCs w:val="18"/>
                <w:lang w:val="en-US"/>
              </w:rPr>
            </w:pPr>
            <w:r w:rsidRPr="002F6A24">
              <w:rPr>
                <w:color w:val="005A9E"/>
                <w:sz w:val="18"/>
                <w:szCs w:val="18"/>
                <w:lang w:val="en-US"/>
              </w:rPr>
              <w:t xml:space="preserve">3 patients 74 y, 58 y, and 88 y with </w:t>
            </w:r>
          </w:p>
          <w:p w14:paraId="56F42F69" w14:textId="77777777" w:rsidR="00A75BD0" w:rsidRPr="002F6A24" w:rsidRDefault="009D4DA5">
            <w:pPr>
              <w:rPr>
                <w:color w:val="005A9E"/>
                <w:sz w:val="18"/>
                <w:szCs w:val="18"/>
                <w:lang w:val="en-US"/>
              </w:rPr>
            </w:pPr>
            <w:r w:rsidRPr="002F6A24">
              <w:rPr>
                <w:color w:val="005A9E"/>
                <w:sz w:val="18"/>
                <w:szCs w:val="18"/>
                <w:lang w:val="en-US"/>
              </w:rPr>
              <w:t xml:space="preserve">Epistaxis </w:t>
            </w:r>
          </w:p>
          <w:p w14:paraId="70CBC142" w14:textId="77777777" w:rsidR="00A75BD0" w:rsidRPr="002F6A24" w:rsidRDefault="009D4DA5">
            <w:pPr>
              <w:rPr>
                <w:color w:val="005A9E"/>
                <w:sz w:val="18"/>
                <w:szCs w:val="18"/>
                <w:lang w:val="en-US"/>
              </w:rPr>
            </w:pPr>
            <w:r w:rsidRPr="002F6A24">
              <w:rPr>
                <w:color w:val="005A9E"/>
                <w:sz w:val="18"/>
                <w:szCs w:val="18"/>
                <w:lang w:val="en-US"/>
              </w:rPr>
              <w:t>high-output cardiac failure (6.3 L/min/m</w:t>
            </w:r>
            <w:r w:rsidRPr="002F6A24">
              <w:rPr>
                <w:color w:val="005A9E"/>
                <w:sz w:val="18"/>
                <w:szCs w:val="18"/>
                <w:vertAlign w:val="superscript"/>
                <w:lang w:val="en-US"/>
              </w:rPr>
              <w:t>2</w:t>
            </w:r>
            <w:r w:rsidRPr="002F6A24">
              <w:rPr>
                <w:color w:val="005A9E"/>
                <w:sz w:val="18"/>
                <w:szCs w:val="18"/>
                <w:lang w:val="en-US"/>
              </w:rPr>
              <w:t>)</w:t>
            </w:r>
          </w:p>
          <w:p w14:paraId="53C1F351" w14:textId="77777777" w:rsidR="00A75BD0" w:rsidRDefault="009D4DA5" w:rsidP="0BA40188">
            <w:pPr>
              <w:rPr>
                <w:color w:val="005A9E"/>
                <w:sz w:val="18"/>
                <w:szCs w:val="18"/>
                <w:lang w:val="fr-FR"/>
              </w:rPr>
            </w:pPr>
            <w:r w:rsidRPr="0BA40188">
              <w:rPr>
                <w:color w:val="005A9E"/>
                <w:sz w:val="18"/>
                <w:szCs w:val="18"/>
                <w:lang w:val="fr-FR"/>
              </w:rPr>
              <w:t>GI angioectasia (2 of them)</w:t>
            </w:r>
          </w:p>
        </w:tc>
        <w:tc>
          <w:tcPr>
            <w:tcW w:w="2552" w:type="dxa"/>
            <w:gridSpan w:val="3"/>
            <w:tcBorders>
              <w:top w:val="single" w:sz="4" w:space="0" w:color="000000" w:themeColor="text1"/>
              <w:bottom w:val="single" w:sz="4" w:space="0" w:color="000000" w:themeColor="text1"/>
            </w:tcBorders>
            <w:tcMar>
              <w:left w:w="28" w:type="dxa"/>
              <w:right w:w="28" w:type="dxa"/>
            </w:tcMar>
          </w:tcPr>
          <w:p w14:paraId="52A04B75" w14:textId="77777777" w:rsidR="00A75BD0" w:rsidRDefault="00A75BD0">
            <w:pPr>
              <w:ind w:right="114"/>
              <w:rPr>
                <w:color w:val="005A9E"/>
                <w:sz w:val="18"/>
                <w:szCs w:val="18"/>
              </w:rPr>
            </w:pPr>
          </w:p>
          <w:p w14:paraId="6A7BA9F5" w14:textId="77777777" w:rsidR="00A75BD0" w:rsidRDefault="009D4DA5">
            <w:pPr>
              <w:ind w:right="114"/>
              <w:rPr>
                <w:color w:val="005A9E"/>
                <w:sz w:val="18"/>
                <w:szCs w:val="18"/>
              </w:rPr>
            </w:pPr>
            <w:r>
              <w:rPr>
                <w:color w:val="005A9E"/>
                <w:sz w:val="18"/>
                <w:szCs w:val="18"/>
              </w:rPr>
              <w:t>15, 27 and 65 injections</w:t>
            </w:r>
          </w:p>
        </w:tc>
        <w:tc>
          <w:tcPr>
            <w:tcW w:w="1134" w:type="dxa"/>
            <w:tcBorders>
              <w:top w:val="single" w:sz="4" w:space="0" w:color="000000" w:themeColor="text1"/>
              <w:bottom w:val="single" w:sz="4" w:space="0" w:color="000000" w:themeColor="text1"/>
            </w:tcBorders>
            <w:tcMar>
              <w:left w:w="28" w:type="dxa"/>
              <w:right w:w="28" w:type="dxa"/>
            </w:tcMar>
          </w:tcPr>
          <w:p w14:paraId="25340FC5" w14:textId="77777777" w:rsidR="00A75BD0" w:rsidRDefault="009D4DA5">
            <w:pPr>
              <w:rPr>
                <w:color w:val="005A9E"/>
                <w:sz w:val="18"/>
                <w:szCs w:val="18"/>
              </w:rPr>
            </w:pPr>
            <w:r>
              <w:rPr>
                <w:color w:val="005A9E"/>
                <w:sz w:val="18"/>
                <w:szCs w:val="18"/>
              </w:rPr>
              <w:t>8.7 to 23.4</w:t>
            </w:r>
          </w:p>
        </w:tc>
        <w:tc>
          <w:tcPr>
            <w:tcW w:w="5297" w:type="dxa"/>
            <w:gridSpan w:val="2"/>
            <w:tcBorders>
              <w:top w:val="single" w:sz="4" w:space="0" w:color="000000" w:themeColor="text1"/>
              <w:bottom w:val="single" w:sz="4" w:space="0" w:color="000000" w:themeColor="text1"/>
            </w:tcBorders>
            <w:tcMar>
              <w:left w:w="0" w:type="dxa"/>
              <w:right w:w="0" w:type="dxa"/>
            </w:tcMar>
          </w:tcPr>
          <w:p w14:paraId="594DC465" w14:textId="77777777" w:rsidR="00A75BD0" w:rsidRPr="002F6A24" w:rsidRDefault="009D4DA5">
            <w:pPr>
              <w:numPr>
                <w:ilvl w:val="0"/>
                <w:numId w:val="17"/>
              </w:numPr>
              <w:ind w:left="114" w:right="166" w:hanging="142"/>
              <w:jc w:val="both"/>
              <w:rPr>
                <w:rFonts w:ascii="Cambria Math" w:eastAsia="Cambria Math" w:hAnsi="Cambria Math" w:cs="Cambria Math"/>
                <w:color w:val="005A9E"/>
                <w:sz w:val="18"/>
                <w:szCs w:val="18"/>
                <w:lang w:val="en-US"/>
              </w:rPr>
            </w:pPr>
            <w:r w:rsidRPr="002F6A24">
              <w:rPr>
                <w:color w:val="005A9E"/>
                <w:sz w:val="18"/>
                <w:szCs w:val="18"/>
                <w:lang w:val="en-US"/>
              </w:rPr>
              <w:t>Abnormal mobile valvular masses involving the mitral and aortic valves after treatment with systemic bevacizumab. exact etiology, clinical importance, and risk of progression are unknown (1 died, no surgery for the others who are asymptomatic)</w:t>
            </w:r>
          </w:p>
        </w:tc>
      </w:tr>
    </w:tbl>
    <w:p w14:paraId="5E6E2EF9" w14:textId="77777777" w:rsidR="00A75BD0" w:rsidRPr="002F6A24" w:rsidRDefault="00A75BD0">
      <w:pPr>
        <w:ind w:right="306"/>
        <w:rPr>
          <w:rFonts w:ascii="Arial" w:eastAsia="Arial" w:hAnsi="Arial" w:cs="Arial"/>
          <w:b/>
          <w:sz w:val="20"/>
          <w:szCs w:val="20"/>
          <w:lang w:val="en-US"/>
        </w:rPr>
        <w:sectPr w:rsidR="00A75BD0" w:rsidRPr="002F6A24">
          <w:pgSz w:w="16840" w:h="11920" w:orient="landscape"/>
          <w:pgMar w:top="1100" w:right="0" w:bottom="1678" w:left="1582" w:header="720" w:footer="720" w:gutter="0"/>
          <w:cols w:space="720"/>
        </w:sectPr>
      </w:pPr>
    </w:p>
    <w:p w14:paraId="440D01B7" w14:textId="77777777" w:rsidR="00A75BD0" w:rsidRDefault="009D4DA5">
      <w:pPr>
        <w:rPr>
          <w:rFonts w:ascii="Arial" w:eastAsia="Arial" w:hAnsi="Arial" w:cs="Arial"/>
          <w:sz w:val="20"/>
          <w:szCs w:val="20"/>
        </w:rPr>
      </w:pPr>
      <w:r>
        <w:rPr>
          <w:rFonts w:ascii="Arial" w:eastAsia="Arial" w:hAnsi="Arial" w:cs="Arial"/>
          <w:smallCaps/>
          <w:sz w:val="20"/>
          <w:szCs w:val="20"/>
        </w:rPr>
        <w:t>RÉFÉRENCES BIBLIOGRAPHIQUES</w:t>
      </w:r>
    </w:p>
    <w:p w14:paraId="42079B9A" w14:textId="77777777" w:rsidR="00A75BD0" w:rsidRDefault="00A75BD0">
      <w:pPr>
        <w:rPr>
          <w:rFonts w:ascii="Arial" w:eastAsia="Arial" w:hAnsi="Arial" w:cs="Arial"/>
          <w:sz w:val="20"/>
          <w:szCs w:val="20"/>
        </w:rPr>
      </w:pPr>
    </w:p>
    <w:p w14:paraId="38E93FC8" w14:textId="77777777" w:rsidR="00A75BD0" w:rsidRPr="001E1168" w:rsidRDefault="009D4DA5">
      <w:pPr>
        <w:numPr>
          <w:ilvl w:val="0"/>
          <w:numId w:val="10"/>
        </w:numPr>
        <w:spacing w:after="200" w:line="276" w:lineRule="auto"/>
        <w:rPr>
          <w:rFonts w:ascii="Arial" w:eastAsia="Arial" w:hAnsi="Arial" w:cs="Arial"/>
          <w:sz w:val="20"/>
          <w:szCs w:val="20"/>
          <w:lang w:val="en-GB"/>
        </w:rPr>
      </w:pPr>
      <w:r w:rsidRPr="002F6A24">
        <w:rPr>
          <w:rFonts w:ascii="Arial" w:eastAsia="Arial" w:hAnsi="Arial" w:cs="Arial"/>
          <w:sz w:val="20"/>
          <w:szCs w:val="20"/>
          <w:lang w:val="en-US"/>
        </w:rPr>
        <w:t xml:space="preserve">Dupuis-Girod S, Ginon I, Saurin JC, </w:t>
      </w:r>
      <w:r w:rsidRPr="002F6A24">
        <w:rPr>
          <w:rFonts w:ascii="Arial" w:eastAsia="Arial" w:hAnsi="Arial" w:cs="Arial"/>
          <w:i/>
          <w:sz w:val="20"/>
          <w:szCs w:val="20"/>
          <w:lang w:val="en-US"/>
        </w:rPr>
        <w:t>et al</w:t>
      </w:r>
      <w:r w:rsidRPr="002F6A24">
        <w:rPr>
          <w:rFonts w:ascii="Arial" w:eastAsia="Arial" w:hAnsi="Arial" w:cs="Arial"/>
          <w:sz w:val="20"/>
          <w:szCs w:val="20"/>
          <w:lang w:val="en-US"/>
        </w:rPr>
        <w:t xml:space="preserve">. Bevacizumab in patients with hereditary hemorrhagic telangiectasia and severe hepatic vascular malformations and high cardiac output. </w:t>
      </w:r>
      <w:r w:rsidRPr="001E1168">
        <w:rPr>
          <w:rFonts w:ascii="Arial" w:eastAsia="Arial" w:hAnsi="Arial" w:cs="Arial"/>
          <w:sz w:val="20"/>
          <w:szCs w:val="20"/>
          <w:lang w:val="en-GB"/>
        </w:rPr>
        <w:t>JAMA. 2012;307(9):948-55.</w:t>
      </w:r>
    </w:p>
    <w:p w14:paraId="6740B784" w14:textId="77777777" w:rsidR="00A75BD0" w:rsidRPr="001E1168" w:rsidRDefault="009D4DA5">
      <w:pPr>
        <w:numPr>
          <w:ilvl w:val="0"/>
          <w:numId w:val="10"/>
        </w:numPr>
        <w:spacing w:after="200" w:line="276" w:lineRule="auto"/>
        <w:rPr>
          <w:rFonts w:ascii="Arial" w:eastAsia="Arial" w:hAnsi="Arial" w:cs="Arial"/>
          <w:sz w:val="20"/>
          <w:szCs w:val="20"/>
          <w:lang w:val="en-GB"/>
        </w:rPr>
      </w:pPr>
      <w:r w:rsidRPr="002F6A24">
        <w:rPr>
          <w:rFonts w:ascii="Arial" w:eastAsia="Arial" w:hAnsi="Arial" w:cs="Arial"/>
          <w:sz w:val="20"/>
          <w:szCs w:val="20"/>
          <w:lang w:val="en-US"/>
        </w:rPr>
        <w:t xml:space="preserve">Thompson AB, Ross DA, Berard P, Figueroa-Bodine J, Livada N, Richer SL. Very low dose bevacizumab for the treatment of epistaxis in patients with hereditary hemorrhagic telangiectasia. </w:t>
      </w:r>
      <w:r w:rsidRPr="001E1168">
        <w:rPr>
          <w:rFonts w:ascii="Arial" w:eastAsia="Arial" w:hAnsi="Arial" w:cs="Arial"/>
          <w:sz w:val="20"/>
          <w:szCs w:val="20"/>
          <w:lang w:val="en-GB"/>
        </w:rPr>
        <w:t xml:space="preserve">Allergy Rhinol (Providence). 2014 Jul;5(2):91-5. </w:t>
      </w:r>
    </w:p>
    <w:p w14:paraId="38CD3751" w14:textId="77777777" w:rsidR="00A75BD0" w:rsidRDefault="009D4DA5">
      <w:pPr>
        <w:numPr>
          <w:ilvl w:val="0"/>
          <w:numId w:val="10"/>
        </w:numPr>
        <w:spacing w:after="200" w:line="276" w:lineRule="auto"/>
        <w:rPr>
          <w:rFonts w:ascii="Arial" w:eastAsia="Arial" w:hAnsi="Arial" w:cs="Arial"/>
          <w:sz w:val="20"/>
          <w:szCs w:val="20"/>
        </w:rPr>
      </w:pPr>
      <w:r>
        <w:rPr>
          <w:rFonts w:ascii="Arial" w:eastAsia="Arial" w:hAnsi="Arial" w:cs="Arial"/>
          <w:sz w:val="20"/>
          <w:szCs w:val="20"/>
        </w:rPr>
        <w:t xml:space="preserve">Al-Samkari H, Kasthuri RS, </w:t>
      </w:r>
      <w:r>
        <w:rPr>
          <w:rFonts w:ascii="Arial" w:eastAsia="Arial" w:hAnsi="Arial" w:cs="Arial"/>
          <w:i/>
          <w:sz w:val="20"/>
          <w:szCs w:val="20"/>
        </w:rPr>
        <w:t>et al</w:t>
      </w:r>
      <w:r>
        <w:rPr>
          <w:rFonts w:ascii="Arial" w:eastAsia="Arial" w:hAnsi="Arial" w:cs="Arial"/>
          <w:sz w:val="20"/>
          <w:szCs w:val="20"/>
        </w:rPr>
        <w:t xml:space="preserve">. </w:t>
      </w:r>
      <w:r w:rsidRPr="002F6A24">
        <w:rPr>
          <w:rFonts w:ascii="Arial" w:eastAsia="Arial" w:hAnsi="Arial" w:cs="Arial"/>
          <w:sz w:val="20"/>
          <w:szCs w:val="20"/>
          <w:lang w:val="en-US"/>
        </w:rPr>
        <w:t xml:space="preserve">An international, multicenter study of intravenous bevacizumab for bleeding in hereditary hemorrhagic telangiectasia: the InHIBIT-Bleed study. </w:t>
      </w:r>
      <w:r>
        <w:rPr>
          <w:rFonts w:ascii="Arial" w:eastAsia="Arial" w:hAnsi="Arial" w:cs="Arial"/>
          <w:sz w:val="20"/>
          <w:szCs w:val="20"/>
        </w:rPr>
        <w:t xml:space="preserve">Haematologica. 2020 Jul 16. </w:t>
      </w:r>
    </w:p>
    <w:p w14:paraId="33CFFBA3" w14:textId="77777777" w:rsidR="00A75BD0" w:rsidRPr="001E1168" w:rsidRDefault="009D4DA5">
      <w:pPr>
        <w:numPr>
          <w:ilvl w:val="0"/>
          <w:numId w:val="10"/>
        </w:numPr>
        <w:spacing w:after="200" w:line="276" w:lineRule="auto"/>
        <w:rPr>
          <w:rFonts w:ascii="Arial" w:eastAsia="Arial" w:hAnsi="Arial" w:cs="Arial"/>
          <w:sz w:val="20"/>
          <w:szCs w:val="20"/>
          <w:lang w:val="en-GB"/>
        </w:rPr>
      </w:pPr>
      <w:r>
        <w:rPr>
          <w:rFonts w:ascii="Arial" w:eastAsia="Arial" w:hAnsi="Arial" w:cs="Arial"/>
          <w:sz w:val="20"/>
          <w:szCs w:val="20"/>
        </w:rPr>
        <w:t xml:space="preserve">Vázquez C, Gonzalez ML, Ferraris A, Bandi JC, Serra MM. </w:t>
      </w:r>
      <w:r w:rsidRPr="002F6A24">
        <w:rPr>
          <w:rFonts w:ascii="Arial" w:eastAsia="Arial" w:hAnsi="Arial" w:cs="Arial"/>
          <w:sz w:val="20"/>
          <w:szCs w:val="20"/>
          <w:lang w:val="en-US"/>
        </w:rPr>
        <w:t xml:space="preserve">Bevacizumab for treating Hereditary Hemorrhagic Telangiectasia patients with severe hepatic involvement or refractory anemia. </w:t>
      </w:r>
      <w:r w:rsidRPr="001E1168">
        <w:rPr>
          <w:rFonts w:ascii="Arial" w:eastAsia="Arial" w:hAnsi="Arial" w:cs="Arial"/>
          <w:sz w:val="20"/>
          <w:szCs w:val="20"/>
          <w:lang w:val="en-GB"/>
        </w:rPr>
        <w:t>PLoS One. 2020 Feb 7;15(2):e0228486.</w:t>
      </w:r>
    </w:p>
    <w:p w14:paraId="4CF5748E"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Al-Samkari H, Albitar HA, Olitsky SE, Clancy MS, Iyer VN. An international survey to evaluate systemic bevacizumab for chronic bleeding in hereditary haemorrhagic telangiectasia. </w:t>
      </w:r>
      <w:r>
        <w:rPr>
          <w:rFonts w:ascii="Arial" w:eastAsia="Arial" w:hAnsi="Arial" w:cs="Arial"/>
          <w:sz w:val="20"/>
          <w:szCs w:val="20"/>
        </w:rPr>
        <w:t>Haemophilia. 2020 Nov;26(6):1038-1045.</w:t>
      </w:r>
    </w:p>
    <w:p w14:paraId="7F854B57"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Al-Samkari H, Albitar HA, Olitsky SE, Clancy MS, Iyer VN. Systemic bevacizumab for high-output cardiac failure in hereditary hemorrhagic telangiectasia: an international survey of HHT centers. </w:t>
      </w:r>
      <w:r>
        <w:rPr>
          <w:rFonts w:ascii="Arial" w:eastAsia="Arial" w:hAnsi="Arial" w:cs="Arial"/>
          <w:sz w:val="20"/>
          <w:szCs w:val="20"/>
        </w:rPr>
        <w:t>Orphanet J Rare Dis. 2019 Nov 14;14(1):256.</w:t>
      </w:r>
    </w:p>
    <w:p w14:paraId="37A84E0E" w14:textId="77777777" w:rsidR="00A75BD0" w:rsidRDefault="009D4DA5">
      <w:pPr>
        <w:numPr>
          <w:ilvl w:val="0"/>
          <w:numId w:val="10"/>
        </w:numPr>
        <w:spacing w:after="200" w:line="276" w:lineRule="auto"/>
        <w:rPr>
          <w:rFonts w:ascii="Arial" w:eastAsia="Arial" w:hAnsi="Arial" w:cs="Arial"/>
          <w:sz w:val="20"/>
          <w:szCs w:val="20"/>
        </w:rPr>
      </w:pPr>
      <w:r>
        <w:rPr>
          <w:rFonts w:ascii="Arial" w:eastAsia="Arial" w:hAnsi="Arial" w:cs="Arial"/>
          <w:sz w:val="20"/>
          <w:szCs w:val="20"/>
        </w:rPr>
        <w:t xml:space="preserve">Iyer VN, Apala DR, Pannu BS, Kotecha A, Brinjikji W, Leise MD, Kamath PS, Misra S, Begna KH, Cartin-Ceba R, DuBrock HM, Krowka MJ, O'Brien EK, Pruthi RK, Schroeder DR, Swanson KL. </w:t>
      </w:r>
      <w:r w:rsidRPr="002F6A24">
        <w:rPr>
          <w:rFonts w:ascii="Arial" w:eastAsia="Arial" w:hAnsi="Arial" w:cs="Arial"/>
          <w:sz w:val="20"/>
          <w:szCs w:val="20"/>
          <w:lang w:val="en-US"/>
        </w:rPr>
        <w:t xml:space="preserve">Intravenous Bevacizumab for Refractory Hereditary Hemorrhagic Telangiectasia-Related Epistaxis and Gastrointestinal Bleeding. </w:t>
      </w:r>
      <w:r>
        <w:rPr>
          <w:rFonts w:ascii="Arial" w:eastAsia="Arial" w:hAnsi="Arial" w:cs="Arial"/>
          <w:sz w:val="20"/>
          <w:szCs w:val="20"/>
        </w:rPr>
        <w:t xml:space="preserve">Mayo Clin Proc. 2018 Feb;93(2):155-166. </w:t>
      </w:r>
    </w:p>
    <w:p w14:paraId="4EC735E5" w14:textId="77777777" w:rsidR="00A75BD0" w:rsidRDefault="009D4DA5" w:rsidP="0BA40188">
      <w:pPr>
        <w:numPr>
          <w:ilvl w:val="0"/>
          <w:numId w:val="10"/>
        </w:numPr>
        <w:spacing w:after="200" w:line="276" w:lineRule="auto"/>
        <w:rPr>
          <w:rFonts w:ascii="Arial" w:eastAsia="Arial" w:hAnsi="Arial" w:cs="Arial"/>
          <w:sz w:val="20"/>
          <w:szCs w:val="20"/>
          <w:lang w:val="fr-FR"/>
        </w:rPr>
      </w:pPr>
      <w:r w:rsidRPr="0BA40188">
        <w:rPr>
          <w:rFonts w:ascii="Arial" w:eastAsia="Arial" w:hAnsi="Arial" w:cs="Arial"/>
          <w:sz w:val="20"/>
          <w:szCs w:val="20"/>
          <w:lang w:val="fr-FR"/>
        </w:rPr>
        <w:t>Guilhem A, Fargeton AE, Simon AC, Duffau P, Harle JR, Lavigne C, Carette MF, Bletry O, Kaminsky P, Leguy V, Lerolle N, Roux D, Lambert M, Chinet T, Bonnet D, Dupuis-Girod S, Rivière S. Intra-venous bevacizumab in hereditary hemorrhagic telangiectasia (HHT): A retrospective study of 46 patients. PLoS One. 2017 Nov 30;12(11):e0188943.</w:t>
      </w:r>
    </w:p>
    <w:p w14:paraId="4B6B5E9E"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Flieger D, Hainke S, Fischbach W. Dramatic improvement in hereditary hemorrhagic telangiectasia after treatment with the vascular endothelial growth factor (VEGF) antagonist bevacizumab. </w:t>
      </w:r>
      <w:r>
        <w:rPr>
          <w:rFonts w:ascii="Arial" w:eastAsia="Arial" w:hAnsi="Arial" w:cs="Arial"/>
          <w:sz w:val="20"/>
          <w:szCs w:val="20"/>
        </w:rPr>
        <w:t>Ann Hematol 2006;85:631-2.</w:t>
      </w:r>
    </w:p>
    <w:p w14:paraId="7119B7BA" w14:textId="77777777" w:rsidR="00A75BD0" w:rsidRDefault="009D4DA5">
      <w:pPr>
        <w:numPr>
          <w:ilvl w:val="0"/>
          <w:numId w:val="10"/>
        </w:numPr>
        <w:spacing w:after="200" w:line="276" w:lineRule="auto"/>
        <w:rPr>
          <w:rFonts w:ascii="Arial" w:eastAsia="Arial" w:hAnsi="Arial" w:cs="Arial"/>
          <w:sz w:val="20"/>
          <w:szCs w:val="20"/>
        </w:rPr>
      </w:pPr>
      <w:r>
        <w:rPr>
          <w:rFonts w:ascii="Arial" w:eastAsia="Arial" w:hAnsi="Arial" w:cs="Arial"/>
          <w:sz w:val="20"/>
          <w:szCs w:val="20"/>
        </w:rPr>
        <w:t xml:space="preserve">Mitchell A, Adams LA, MacQuillan G, </w:t>
      </w:r>
      <w:r>
        <w:rPr>
          <w:rFonts w:ascii="Arial" w:eastAsia="Arial" w:hAnsi="Arial" w:cs="Arial"/>
          <w:i/>
          <w:sz w:val="20"/>
          <w:szCs w:val="20"/>
        </w:rPr>
        <w:t>et al</w:t>
      </w:r>
      <w:r>
        <w:rPr>
          <w:rFonts w:ascii="Arial" w:eastAsia="Arial" w:hAnsi="Arial" w:cs="Arial"/>
          <w:sz w:val="20"/>
          <w:szCs w:val="20"/>
        </w:rPr>
        <w:t xml:space="preserve">. </w:t>
      </w:r>
      <w:r w:rsidRPr="002F6A24">
        <w:rPr>
          <w:rFonts w:ascii="Arial" w:eastAsia="Arial" w:hAnsi="Arial" w:cs="Arial"/>
          <w:sz w:val="20"/>
          <w:szCs w:val="20"/>
          <w:lang w:val="en-US"/>
        </w:rPr>
        <w:t xml:space="preserve">Bevacizumab reverses need for liver transplantation in hereditary hemorrhagic telangiectasia. </w:t>
      </w:r>
      <w:r>
        <w:rPr>
          <w:rFonts w:ascii="Arial" w:eastAsia="Arial" w:hAnsi="Arial" w:cs="Arial"/>
          <w:sz w:val="20"/>
          <w:szCs w:val="20"/>
        </w:rPr>
        <w:t>Liver Transpl. 2008;14:210-13.</w:t>
      </w:r>
    </w:p>
    <w:p w14:paraId="02AA3CBB"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Bose P, Holter JL, Selby GB. Bevacizumab in hereditary hemorrhagic telangiectasia. </w:t>
      </w:r>
      <w:r>
        <w:rPr>
          <w:rFonts w:ascii="Arial" w:eastAsia="Arial" w:hAnsi="Arial" w:cs="Arial"/>
          <w:sz w:val="20"/>
          <w:szCs w:val="20"/>
        </w:rPr>
        <w:t>N Engl J Med 2009;360:2143-4.</w:t>
      </w:r>
    </w:p>
    <w:p w14:paraId="57E8839C"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Retornaz F, Rinaldi Y, Duvoux C. More on bevacizumab in hereditary hemorrhagic telangiectasia. </w:t>
      </w:r>
      <w:r>
        <w:rPr>
          <w:rFonts w:ascii="Arial" w:eastAsia="Arial" w:hAnsi="Arial" w:cs="Arial"/>
          <w:sz w:val="20"/>
          <w:szCs w:val="20"/>
        </w:rPr>
        <w:t xml:space="preserve">N Engl J Med. 2009 Aug 27;361(9):931; author reply 931-2. </w:t>
      </w:r>
    </w:p>
    <w:p w14:paraId="0E0DE1ED"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Oosting S, Nagengast W, de Vries E. More on bevacizumab in hereditary hemorrhagic telangiectasia. </w:t>
      </w:r>
      <w:r>
        <w:rPr>
          <w:rFonts w:ascii="Arial" w:eastAsia="Arial" w:hAnsi="Arial" w:cs="Arial"/>
          <w:sz w:val="20"/>
          <w:szCs w:val="20"/>
        </w:rPr>
        <w:t>N Engl J Med. 2009;361:931.</w:t>
      </w:r>
    </w:p>
    <w:p w14:paraId="45A0FAF1"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Amanzada A, Töppler GJ, Cameron S, et al. A case report of a patient with hereditary hemorrhagic telangiectasia treated successively with thalidomide and bevacizumab. </w:t>
      </w:r>
      <w:r>
        <w:rPr>
          <w:rFonts w:ascii="Arial" w:eastAsia="Arial" w:hAnsi="Arial" w:cs="Arial"/>
          <w:sz w:val="20"/>
          <w:szCs w:val="20"/>
        </w:rPr>
        <w:t>Case Rep Oncol. 2010;3:463-70</w:t>
      </w:r>
    </w:p>
    <w:p w14:paraId="4BC7D215"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Fodstad P, Dheyauldeen S, Rinde M, Bachmann-Harildstad G. Anti-VEGF with 3-week intervals is effective on anemia in a patient with severe hereditary hemorrhagic telangiectasia. </w:t>
      </w:r>
      <w:r>
        <w:rPr>
          <w:rFonts w:ascii="Arial" w:eastAsia="Arial" w:hAnsi="Arial" w:cs="Arial"/>
          <w:sz w:val="20"/>
          <w:szCs w:val="20"/>
        </w:rPr>
        <w:t>Ann Hematol. 2011;90:611-12.</w:t>
      </w:r>
    </w:p>
    <w:p w14:paraId="4BD343FF" w14:textId="77777777" w:rsidR="00A75BD0" w:rsidRPr="001E1168" w:rsidRDefault="009D4DA5">
      <w:pPr>
        <w:numPr>
          <w:ilvl w:val="0"/>
          <w:numId w:val="10"/>
        </w:numPr>
        <w:spacing w:after="200" w:line="276" w:lineRule="auto"/>
        <w:rPr>
          <w:rFonts w:ascii="Arial" w:eastAsia="Arial" w:hAnsi="Arial" w:cs="Arial"/>
          <w:sz w:val="20"/>
          <w:szCs w:val="20"/>
          <w:lang w:val="en-GB"/>
        </w:rPr>
      </w:pPr>
      <w:r w:rsidRPr="002F6A24">
        <w:rPr>
          <w:rFonts w:ascii="Arial" w:eastAsia="Arial" w:hAnsi="Arial" w:cs="Arial"/>
          <w:sz w:val="20"/>
          <w:szCs w:val="20"/>
          <w:lang w:val="en-US"/>
        </w:rPr>
        <w:t xml:space="preserve">Lazaraki G, Akriviadis E, Pilpilidis I, </w:t>
      </w:r>
      <w:r w:rsidRPr="002F6A24">
        <w:rPr>
          <w:rFonts w:ascii="Arial" w:eastAsia="Arial" w:hAnsi="Arial" w:cs="Arial"/>
          <w:i/>
          <w:sz w:val="20"/>
          <w:szCs w:val="20"/>
          <w:lang w:val="en-US"/>
        </w:rPr>
        <w:t>et al</w:t>
      </w:r>
      <w:r w:rsidRPr="002F6A24">
        <w:rPr>
          <w:rFonts w:ascii="Arial" w:eastAsia="Arial" w:hAnsi="Arial" w:cs="Arial"/>
          <w:sz w:val="20"/>
          <w:szCs w:val="20"/>
          <w:lang w:val="en-US"/>
        </w:rPr>
        <w:t xml:space="preserve">. Low dose of bevacizumab is safe and effective in preventing bleeding episodes in hereditary hemorrhagic telangiectasia. </w:t>
      </w:r>
      <w:r w:rsidRPr="001E1168">
        <w:rPr>
          <w:rFonts w:ascii="Arial" w:eastAsia="Arial" w:hAnsi="Arial" w:cs="Arial"/>
          <w:sz w:val="20"/>
          <w:szCs w:val="20"/>
          <w:lang w:val="en-GB"/>
        </w:rPr>
        <w:t>Am J Gastroenterol. 2011;106:2204-6.</w:t>
      </w:r>
    </w:p>
    <w:p w14:paraId="02E47BB6"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Suppressa P, Liso A, Sabbà C. Low dose intravenous bevacizumab for the treatment of anaemia in hereditary haemorrhagic telangiectasia. </w:t>
      </w:r>
      <w:r>
        <w:rPr>
          <w:rFonts w:ascii="Arial" w:eastAsia="Arial" w:hAnsi="Arial" w:cs="Arial"/>
          <w:sz w:val="20"/>
          <w:szCs w:val="20"/>
        </w:rPr>
        <w:t>Br J Haematol. 2011;152(4):365.</w:t>
      </w:r>
    </w:p>
    <w:p w14:paraId="126AA214" w14:textId="77777777" w:rsidR="00A75BD0" w:rsidRPr="001E1168" w:rsidRDefault="009D4DA5">
      <w:pPr>
        <w:numPr>
          <w:ilvl w:val="0"/>
          <w:numId w:val="10"/>
        </w:numPr>
        <w:spacing w:after="200" w:line="276" w:lineRule="auto"/>
        <w:rPr>
          <w:rFonts w:ascii="Arial" w:eastAsia="Arial" w:hAnsi="Arial" w:cs="Arial"/>
          <w:sz w:val="20"/>
          <w:szCs w:val="20"/>
          <w:lang w:val="en-GB"/>
        </w:rPr>
      </w:pPr>
      <w:r w:rsidRPr="002F6A24">
        <w:rPr>
          <w:rFonts w:ascii="Arial" w:eastAsia="Arial" w:hAnsi="Arial" w:cs="Arial"/>
          <w:sz w:val="20"/>
          <w:szCs w:val="20"/>
          <w:lang w:val="en-US"/>
        </w:rPr>
        <w:t xml:space="preserve">Brinkerhoff BT, Poetker DM, Choong NW. Long-term therapy with bevacizumab in hereditary hemorrhagic telangiectasia. </w:t>
      </w:r>
      <w:r w:rsidRPr="001E1168">
        <w:rPr>
          <w:rFonts w:ascii="Arial" w:eastAsia="Arial" w:hAnsi="Arial" w:cs="Arial"/>
          <w:sz w:val="20"/>
          <w:szCs w:val="20"/>
          <w:lang w:val="en-GB"/>
        </w:rPr>
        <w:t>N Engl J Med. 2011;364(7):688-9.</w:t>
      </w:r>
    </w:p>
    <w:p w14:paraId="1FD88C26"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Cruikshank RP, Chern BW. Bevacizumab and hereditary haemorrhagic telangiectasia. </w:t>
      </w:r>
      <w:r>
        <w:rPr>
          <w:rFonts w:ascii="Arial" w:eastAsia="Arial" w:hAnsi="Arial" w:cs="Arial"/>
          <w:sz w:val="20"/>
          <w:szCs w:val="20"/>
        </w:rPr>
        <w:t>Med J Aust. 2011;194:324-5.</w:t>
      </w:r>
    </w:p>
    <w:p w14:paraId="51853EBB" w14:textId="77777777" w:rsidR="00A75BD0" w:rsidRDefault="009D4DA5">
      <w:pPr>
        <w:numPr>
          <w:ilvl w:val="0"/>
          <w:numId w:val="10"/>
        </w:numPr>
        <w:spacing w:after="200" w:line="276" w:lineRule="auto"/>
        <w:rPr>
          <w:rFonts w:ascii="Arial" w:eastAsia="Arial" w:hAnsi="Arial" w:cs="Arial"/>
          <w:sz w:val="20"/>
          <w:szCs w:val="20"/>
        </w:rPr>
      </w:pPr>
      <w:r>
        <w:rPr>
          <w:rFonts w:ascii="Arial" w:eastAsia="Arial" w:hAnsi="Arial" w:cs="Arial"/>
          <w:sz w:val="20"/>
          <w:szCs w:val="20"/>
        </w:rPr>
        <w:t xml:space="preserve">Fleagle JM, Bobba RK, Kardinal CG, </w:t>
      </w:r>
      <w:r>
        <w:rPr>
          <w:rFonts w:ascii="Arial" w:eastAsia="Arial" w:hAnsi="Arial" w:cs="Arial"/>
          <w:i/>
          <w:sz w:val="20"/>
          <w:szCs w:val="20"/>
        </w:rPr>
        <w:t>et al</w:t>
      </w:r>
      <w:r>
        <w:rPr>
          <w:rFonts w:ascii="Arial" w:eastAsia="Arial" w:hAnsi="Arial" w:cs="Arial"/>
          <w:sz w:val="20"/>
          <w:szCs w:val="20"/>
        </w:rPr>
        <w:t xml:space="preserve">. </w:t>
      </w:r>
      <w:r w:rsidRPr="002F6A24">
        <w:rPr>
          <w:rFonts w:ascii="Arial" w:eastAsia="Arial" w:hAnsi="Arial" w:cs="Arial"/>
          <w:sz w:val="20"/>
          <w:szCs w:val="20"/>
          <w:lang w:val="en-US"/>
        </w:rPr>
        <w:t xml:space="preserve">Iron deficiency anemia related to hereditary hemorrhagic telangiectasia: response to treatment with bevacizumab. </w:t>
      </w:r>
      <w:r>
        <w:rPr>
          <w:rFonts w:ascii="Arial" w:eastAsia="Arial" w:hAnsi="Arial" w:cs="Arial"/>
          <w:sz w:val="20"/>
          <w:szCs w:val="20"/>
        </w:rPr>
        <w:t>Am J Med Sci. 2012;343:249-51.</w:t>
      </w:r>
    </w:p>
    <w:p w14:paraId="7FC47D39"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Föllner S, Ibe M, Schreiber J. Bevacizumab treatment in hereditary hemorrhagic teleangiectasia. </w:t>
      </w:r>
      <w:r>
        <w:rPr>
          <w:rFonts w:ascii="Arial" w:eastAsia="Arial" w:hAnsi="Arial" w:cs="Arial"/>
          <w:sz w:val="20"/>
          <w:szCs w:val="20"/>
        </w:rPr>
        <w:t>Eur J Clin Pharmacol. 2012;68:1685-6.</w:t>
      </w:r>
    </w:p>
    <w:p w14:paraId="3004E620" w14:textId="77777777" w:rsidR="00A75BD0" w:rsidRDefault="009D4DA5">
      <w:pPr>
        <w:numPr>
          <w:ilvl w:val="0"/>
          <w:numId w:val="10"/>
        </w:numPr>
        <w:spacing w:after="200" w:line="276" w:lineRule="auto"/>
        <w:rPr>
          <w:rFonts w:ascii="Arial" w:eastAsia="Arial" w:hAnsi="Arial" w:cs="Arial"/>
          <w:sz w:val="20"/>
          <w:szCs w:val="20"/>
        </w:rPr>
      </w:pPr>
      <w:r>
        <w:rPr>
          <w:rFonts w:ascii="Arial" w:eastAsia="Arial" w:hAnsi="Arial" w:cs="Arial"/>
          <w:sz w:val="20"/>
          <w:szCs w:val="20"/>
        </w:rPr>
        <w:t xml:space="preserve">Lupu A, Stefanescu C, Treton X, </w:t>
      </w:r>
      <w:r>
        <w:rPr>
          <w:rFonts w:ascii="Arial" w:eastAsia="Arial" w:hAnsi="Arial" w:cs="Arial"/>
          <w:i/>
          <w:sz w:val="20"/>
          <w:szCs w:val="20"/>
        </w:rPr>
        <w:t>et al</w:t>
      </w:r>
      <w:r>
        <w:rPr>
          <w:rFonts w:ascii="Arial" w:eastAsia="Arial" w:hAnsi="Arial" w:cs="Arial"/>
          <w:sz w:val="20"/>
          <w:szCs w:val="20"/>
        </w:rPr>
        <w:t xml:space="preserve">. </w:t>
      </w:r>
      <w:r w:rsidRPr="002F6A24">
        <w:rPr>
          <w:rFonts w:ascii="Arial" w:eastAsia="Arial" w:hAnsi="Arial" w:cs="Arial"/>
          <w:sz w:val="20"/>
          <w:szCs w:val="20"/>
          <w:lang w:val="en-US"/>
        </w:rPr>
        <w:t xml:space="preserve">Bevacizumab as rescue treatment for severe recurrent gastrointestinal bleeding in hereditary hemorrhagic telangiectasia. </w:t>
      </w:r>
      <w:r>
        <w:rPr>
          <w:rFonts w:ascii="Arial" w:eastAsia="Arial" w:hAnsi="Arial" w:cs="Arial"/>
          <w:sz w:val="20"/>
          <w:szCs w:val="20"/>
        </w:rPr>
        <w:t>J Clin Gastroenterol. 2013;47:256-7.</w:t>
      </w:r>
    </w:p>
    <w:p w14:paraId="46FD1B30" w14:textId="77777777" w:rsidR="00A75BD0" w:rsidRPr="001E1168" w:rsidRDefault="009D4DA5">
      <w:pPr>
        <w:numPr>
          <w:ilvl w:val="0"/>
          <w:numId w:val="10"/>
        </w:numPr>
        <w:spacing w:after="200" w:line="276" w:lineRule="auto"/>
        <w:rPr>
          <w:rFonts w:ascii="Arial" w:eastAsia="Arial" w:hAnsi="Arial" w:cs="Arial"/>
          <w:sz w:val="20"/>
          <w:szCs w:val="20"/>
          <w:lang w:val="en-GB"/>
        </w:rPr>
      </w:pPr>
      <w:r w:rsidRPr="002F6A24">
        <w:rPr>
          <w:rFonts w:ascii="Arial" w:eastAsia="Arial" w:hAnsi="Arial" w:cs="Arial"/>
          <w:sz w:val="20"/>
          <w:szCs w:val="20"/>
          <w:lang w:val="en-US"/>
        </w:rPr>
        <w:t xml:space="preserve">Chavan A, Schumann-Binarsch S, Luthe L, </w:t>
      </w:r>
      <w:r w:rsidRPr="002F6A24">
        <w:rPr>
          <w:rFonts w:ascii="Arial" w:eastAsia="Arial" w:hAnsi="Arial" w:cs="Arial"/>
          <w:i/>
          <w:sz w:val="20"/>
          <w:szCs w:val="20"/>
          <w:lang w:val="en-US"/>
        </w:rPr>
        <w:t>et al</w:t>
      </w:r>
      <w:r w:rsidRPr="002F6A24">
        <w:rPr>
          <w:rFonts w:ascii="Arial" w:eastAsia="Arial" w:hAnsi="Arial" w:cs="Arial"/>
          <w:sz w:val="20"/>
          <w:szCs w:val="20"/>
          <w:lang w:val="en-US"/>
        </w:rPr>
        <w:t xml:space="preserve">. Systemic therapy with bevacizumab in patients with hereditary hemorrhagic telangiectasia (HHT). </w:t>
      </w:r>
      <w:r w:rsidRPr="001E1168">
        <w:rPr>
          <w:rFonts w:ascii="Arial" w:eastAsia="Arial" w:hAnsi="Arial" w:cs="Arial"/>
          <w:sz w:val="20"/>
          <w:szCs w:val="20"/>
          <w:lang w:val="en-GB"/>
        </w:rPr>
        <w:t>Vasa. 2013;42(2):106-10.</w:t>
      </w:r>
    </w:p>
    <w:p w14:paraId="7708D7CD" w14:textId="77777777" w:rsidR="00A75BD0" w:rsidRDefault="009D4DA5">
      <w:pPr>
        <w:numPr>
          <w:ilvl w:val="0"/>
          <w:numId w:val="10"/>
        </w:numPr>
        <w:spacing w:after="200" w:line="276" w:lineRule="auto"/>
        <w:rPr>
          <w:rFonts w:ascii="Arial" w:eastAsia="Arial" w:hAnsi="Arial" w:cs="Arial"/>
          <w:sz w:val="20"/>
          <w:szCs w:val="20"/>
        </w:rPr>
      </w:pPr>
      <w:r>
        <w:rPr>
          <w:rFonts w:ascii="Arial" w:eastAsia="Arial" w:hAnsi="Arial" w:cs="Arial"/>
          <w:sz w:val="20"/>
          <w:szCs w:val="20"/>
        </w:rPr>
        <w:t xml:space="preserve">Vlachou PA, Colak E, Koculym A, et al. </w:t>
      </w:r>
      <w:r w:rsidRPr="002F6A24">
        <w:rPr>
          <w:rFonts w:ascii="Arial" w:eastAsia="Arial" w:hAnsi="Arial" w:cs="Arial"/>
          <w:sz w:val="20"/>
          <w:szCs w:val="20"/>
          <w:lang w:val="en-US"/>
        </w:rPr>
        <w:t xml:space="preserve">Improvement of ischemic cholangiopathy in three patients with hereditary hemorrhagic telangiectasia following treatment with bevacizumab. </w:t>
      </w:r>
      <w:r>
        <w:rPr>
          <w:rFonts w:ascii="Arial" w:eastAsia="Arial" w:hAnsi="Arial" w:cs="Arial"/>
          <w:sz w:val="20"/>
          <w:szCs w:val="20"/>
        </w:rPr>
        <w:t>J Hepatol. 2013;59:816-9.</w:t>
      </w:r>
    </w:p>
    <w:p w14:paraId="294BCBBC"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Epperla N, Hocking W. Blessing for the bleeder: bevacizumab in hereditary hemorrhagic telangiectasia. </w:t>
      </w:r>
      <w:r>
        <w:rPr>
          <w:rFonts w:ascii="Arial" w:eastAsia="Arial" w:hAnsi="Arial" w:cs="Arial"/>
          <w:sz w:val="20"/>
          <w:szCs w:val="20"/>
        </w:rPr>
        <w:t>Clin Med Res. 2015 Mar;13(1):32-5.</w:t>
      </w:r>
    </w:p>
    <w:p w14:paraId="5BD3B34D" w14:textId="77777777" w:rsidR="00A75BD0" w:rsidRDefault="009D4DA5">
      <w:pPr>
        <w:numPr>
          <w:ilvl w:val="0"/>
          <w:numId w:val="10"/>
        </w:numPr>
        <w:spacing w:after="200" w:line="276" w:lineRule="auto"/>
        <w:rPr>
          <w:rFonts w:ascii="Arial" w:eastAsia="Arial" w:hAnsi="Arial" w:cs="Arial"/>
          <w:sz w:val="20"/>
          <w:szCs w:val="20"/>
        </w:rPr>
      </w:pPr>
      <w:r>
        <w:rPr>
          <w:rFonts w:ascii="Arial" w:eastAsia="Arial" w:hAnsi="Arial" w:cs="Arial"/>
          <w:sz w:val="20"/>
          <w:szCs w:val="20"/>
        </w:rPr>
        <w:t xml:space="preserve">Wee JW, Jeon YW, Eun JY, Kim HJ, Bae SB, Lee KT. </w:t>
      </w:r>
      <w:r w:rsidRPr="002F6A24">
        <w:rPr>
          <w:rFonts w:ascii="Arial" w:eastAsia="Arial" w:hAnsi="Arial" w:cs="Arial"/>
          <w:sz w:val="20"/>
          <w:szCs w:val="20"/>
          <w:lang w:val="en-US"/>
        </w:rPr>
        <w:t xml:space="preserve">Hereditary hemorrhagic telangiectasia treated with low dose intravenous bevacizumab. </w:t>
      </w:r>
      <w:r>
        <w:rPr>
          <w:rFonts w:ascii="Arial" w:eastAsia="Arial" w:hAnsi="Arial" w:cs="Arial"/>
          <w:sz w:val="20"/>
          <w:szCs w:val="20"/>
        </w:rPr>
        <w:t xml:space="preserve">Blood Res. 2014 Sep;49(3):192-5. </w:t>
      </w:r>
    </w:p>
    <w:p w14:paraId="6392802A" w14:textId="77777777" w:rsidR="00A75BD0" w:rsidRDefault="009D4DA5" w:rsidP="0BA40188">
      <w:pPr>
        <w:numPr>
          <w:ilvl w:val="0"/>
          <w:numId w:val="10"/>
        </w:numPr>
        <w:spacing w:after="200" w:line="276" w:lineRule="auto"/>
        <w:rPr>
          <w:rFonts w:ascii="Arial" w:eastAsia="Arial" w:hAnsi="Arial" w:cs="Arial"/>
          <w:sz w:val="20"/>
          <w:szCs w:val="20"/>
          <w:lang w:val="fr-FR"/>
        </w:rPr>
      </w:pPr>
      <w:r w:rsidRPr="0BA40188">
        <w:rPr>
          <w:rFonts w:ascii="Arial" w:eastAsia="Arial" w:hAnsi="Arial" w:cs="Arial"/>
          <w:sz w:val="20"/>
          <w:szCs w:val="20"/>
          <w:lang w:val="fr-FR"/>
        </w:rPr>
        <w:t>Bennesser Alaoui H, Lehraiki M, Hamaz S, El Attar N, Fakhreddine N, Serraj K. Bevacizumab : un nouveau succès dans la maladie de Rendu-Osler [Bevacizumab: a new success in hereditary hemorrhagic telangiectasia]. Rev Med Interne. 2015 Sep;36(9):623-5. French.</w:t>
      </w:r>
    </w:p>
    <w:p w14:paraId="064BBA61"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Maestraggi Q, Bouattour M, Toquet S, Jaussaud R, Kianmanesh R, Durand F, Servettaz A. Bevacizumab to Treat Cholangiopathy in Hereditary Hemorrhagic Telangiectasia: Be Cautious: A Case Report. </w:t>
      </w:r>
      <w:r>
        <w:rPr>
          <w:rFonts w:ascii="Arial" w:eastAsia="Arial" w:hAnsi="Arial" w:cs="Arial"/>
          <w:sz w:val="20"/>
          <w:szCs w:val="20"/>
        </w:rPr>
        <w:t xml:space="preserve">Medicine (Baltimore). 2015 Nov;94(46):e1966. </w:t>
      </w:r>
    </w:p>
    <w:p w14:paraId="2239DD07"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Amann A, Steiner N, Gunsilius E. Bevacizumab: an option for refractory epistaxis in hereditary haemorrhagic telangiectasia. </w:t>
      </w:r>
      <w:r>
        <w:rPr>
          <w:rFonts w:ascii="Arial" w:eastAsia="Arial" w:hAnsi="Arial" w:cs="Arial"/>
          <w:sz w:val="20"/>
          <w:szCs w:val="20"/>
        </w:rPr>
        <w:t>Wien Klin Wochenschr. 2015 Aug;127(15-16):631-4.</w:t>
      </w:r>
    </w:p>
    <w:p w14:paraId="20E11B74"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Kochanowski J, Sobieszczańska M, Tubek S, Żurek M, Pawełczak J. Successful therapy with bevacizumab in a case of hereditary hemorrhagic telangiectasia. </w:t>
      </w:r>
      <w:r>
        <w:rPr>
          <w:rFonts w:ascii="Arial" w:eastAsia="Arial" w:hAnsi="Arial" w:cs="Arial"/>
          <w:sz w:val="20"/>
          <w:szCs w:val="20"/>
        </w:rPr>
        <w:t xml:space="preserve">Hum Vaccin Immunother. 2015;11(3):680-1. </w:t>
      </w:r>
    </w:p>
    <w:p w14:paraId="76E6F6AC"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Huemer F, Dejaco M, Grabmer C, Melchardt T, Neureiter D, Mayer G, Egle A, Greil R, Weiss L. Intermittent low-dose bevacizumab in hereditary hemorrhagic telangiectasia: A case report. </w:t>
      </w:r>
      <w:r>
        <w:rPr>
          <w:rFonts w:ascii="Arial" w:eastAsia="Arial" w:hAnsi="Arial" w:cs="Arial"/>
          <w:sz w:val="20"/>
          <w:szCs w:val="20"/>
        </w:rPr>
        <w:t>Wien Klin Wochenschr. 2017 Feb;129(3-4):141-144.</w:t>
      </w:r>
    </w:p>
    <w:p w14:paraId="159213E8"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Sehl ME, M Gruber T, McWilliams JP, Marder VJ. Successful management of chronic gastrointestinal hemorrhage using bevacizumab in the setting of hereditary hemorrhagic telangiectasia. </w:t>
      </w:r>
      <w:r>
        <w:rPr>
          <w:rFonts w:ascii="Arial" w:eastAsia="Arial" w:hAnsi="Arial" w:cs="Arial"/>
          <w:sz w:val="20"/>
          <w:szCs w:val="20"/>
        </w:rPr>
        <w:t>Am J Hematol. 2015 Jun;90(6):561-3.</w:t>
      </w:r>
    </w:p>
    <w:p w14:paraId="201262A8"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Ou G, Galorport C, Enns R. Bevacizumab and gastrointestinal bleeding in hereditary hemorrhagic telangiectasia. </w:t>
      </w:r>
      <w:r>
        <w:rPr>
          <w:rFonts w:ascii="Arial" w:eastAsia="Arial" w:hAnsi="Arial" w:cs="Arial"/>
          <w:sz w:val="20"/>
          <w:szCs w:val="20"/>
        </w:rPr>
        <w:t>World J Gastrointest Surg. 2016 Dec 27;8(12):792-795.</w:t>
      </w:r>
    </w:p>
    <w:p w14:paraId="7C5F836C" w14:textId="77777777" w:rsidR="00A75BD0" w:rsidRDefault="009D4DA5">
      <w:pPr>
        <w:numPr>
          <w:ilvl w:val="0"/>
          <w:numId w:val="10"/>
        </w:numPr>
        <w:spacing w:after="200" w:line="276" w:lineRule="auto"/>
        <w:rPr>
          <w:rFonts w:ascii="Arial" w:eastAsia="Arial" w:hAnsi="Arial" w:cs="Arial"/>
          <w:sz w:val="20"/>
          <w:szCs w:val="20"/>
        </w:rPr>
      </w:pPr>
      <w:r>
        <w:rPr>
          <w:rFonts w:ascii="Arial" w:eastAsia="Arial" w:hAnsi="Arial" w:cs="Arial"/>
          <w:sz w:val="20"/>
          <w:szCs w:val="20"/>
        </w:rPr>
        <w:t xml:space="preserve">Muller YD, Oppliger R, </w:t>
      </w:r>
      <w:r>
        <w:rPr>
          <w:rFonts w:ascii="Arial" w:eastAsia="Arial" w:hAnsi="Arial" w:cs="Arial"/>
          <w:i/>
          <w:sz w:val="20"/>
          <w:szCs w:val="20"/>
        </w:rPr>
        <w:t>et al</w:t>
      </w:r>
      <w:r>
        <w:rPr>
          <w:rFonts w:ascii="Arial" w:eastAsia="Arial" w:hAnsi="Arial" w:cs="Arial"/>
          <w:sz w:val="20"/>
          <w:szCs w:val="20"/>
        </w:rPr>
        <w:t xml:space="preserve">. </w:t>
      </w:r>
      <w:r w:rsidRPr="002F6A24">
        <w:rPr>
          <w:rFonts w:ascii="Arial" w:eastAsia="Arial" w:hAnsi="Arial" w:cs="Arial"/>
          <w:sz w:val="20"/>
          <w:szCs w:val="20"/>
          <w:lang w:val="en-US"/>
        </w:rPr>
        <w:t xml:space="preserve">Hereditary haemorrhagic telangiectasia: to transplant or not to transplant - is there a right time for liver transplantation? </w:t>
      </w:r>
      <w:r>
        <w:rPr>
          <w:rFonts w:ascii="Arial" w:eastAsia="Arial" w:hAnsi="Arial" w:cs="Arial"/>
          <w:sz w:val="20"/>
          <w:szCs w:val="20"/>
        </w:rPr>
        <w:t>Liver Int. 2016 Dec;36(12):1735-1740.</w:t>
      </w:r>
    </w:p>
    <w:p w14:paraId="7741AF81"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Bertoli LF, Lee PL, Lallone L, Barton JC. Intravenous Bevacizumab Therapy in a Patient with Hereditary Hemorrhagic Telangiectasia, ENG E137K, Alcoholic Cirrhosis, and Portal Hypertension. </w:t>
      </w:r>
      <w:r>
        <w:rPr>
          <w:rFonts w:ascii="Arial" w:eastAsia="Arial" w:hAnsi="Arial" w:cs="Arial"/>
          <w:sz w:val="20"/>
          <w:szCs w:val="20"/>
        </w:rPr>
        <w:t xml:space="preserve">Case Rep Gastroenterol. 2017 May 17;11(2):293-304. </w:t>
      </w:r>
    </w:p>
    <w:p w14:paraId="2DF6F002"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Ospina FE, Echeverri A, Posso-Osorio I, Jaimes L, Gutierrez J, Tobón GJ. Bevacizumab as a treatment for hereditary hemorrhagic telangiectasia in children: a case report. </w:t>
      </w:r>
      <w:r>
        <w:rPr>
          <w:rFonts w:ascii="Arial" w:eastAsia="Arial" w:hAnsi="Arial" w:cs="Arial"/>
          <w:sz w:val="20"/>
          <w:szCs w:val="20"/>
        </w:rPr>
        <w:t>Colomb Med (Cali). 2017 Jun 30;48(2):88-93.</w:t>
      </w:r>
    </w:p>
    <w:p w14:paraId="75625836"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Bernardes C, Santos S, Loureiro R, Borges V, Ramos G. Bevacizumab for Refractory Gastrointestinal Bleeding in Rendu-Osler-Weber Disease. </w:t>
      </w:r>
      <w:r>
        <w:rPr>
          <w:rFonts w:ascii="Arial" w:eastAsia="Arial" w:hAnsi="Arial" w:cs="Arial"/>
          <w:sz w:val="20"/>
          <w:szCs w:val="20"/>
        </w:rPr>
        <w:t>GE Port J Gastroenterol. 2018 Mar;25(2):91-95.</w:t>
      </w:r>
    </w:p>
    <w:p w14:paraId="58DF0780"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Oladiran O, Nazir S. Bevacizumab: A Rare Cause of Nonischemic Cardiomyopathy. </w:t>
      </w:r>
      <w:r>
        <w:rPr>
          <w:rFonts w:ascii="Arial" w:eastAsia="Arial" w:hAnsi="Arial" w:cs="Arial"/>
          <w:sz w:val="20"/>
          <w:szCs w:val="20"/>
        </w:rPr>
        <w:t>Case Rep Cardiol. 2018 Aug 27;2018:1361326.</w:t>
      </w:r>
    </w:p>
    <w:p w14:paraId="7F2FAB50"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Flower M, Chern B. A case report of successful treatment of high-output heart failure secondary to hereditary haemorrhagic telangiectasia with bevacizumab. </w:t>
      </w:r>
      <w:r>
        <w:rPr>
          <w:rFonts w:ascii="Arial" w:eastAsia="Arial" w:hAnsi="Arial" w:cs="Arial"/>
          <w:sz w:val="20"/>
          <w:szCs w:val="20"/>
        </w:rPr>
        <w:t>Oxf Med Case Reports. 2019 Jun 14;2019(6):omz046.</w:t>
      </w:r>
    </w:p>
    <w:p w14:paraId="62CC18E4" w14:textId="77777777" w:rsidR="00A75BD0" w:rsidRPr="001E1168" w:rsidRDefault="009D4DA5">
      <w:pPr>
        <w:numPr>
          <w:ilvl w:val="0"/>
          <w:numId w:val="10"/>
        </w:numPr>
        <w:spacing w:after="200" w:line="276" w:lineRule="auto"/>
        <w:rPr>
          <w:rFonts w:ascii="Arial" w:eastAsia="Arial" w:hAnsi="Arial" w:cs="Arial"/>
          <w:sz w:val="20"/>
          <w:szCs w:val="20"/>
          <w:lang w:val="en-GB"/>
        </w:rPr>
      </w:pPr>
      <w:r w:rsidRPr="002F6A24">
        <w:rPr>
          <w:rFonts w:ascii="Arial" w:eastAsia="Arial" w:hAnsi="Arial" w:cs="Arial"/>
          <w:sz w:val="20"/>
          <w:szCs w:val="20"/>
          <w:lang w:val="en-US"/>
        </w:rPr>
        <w:t xml:space="preserve">Olsen LB, Kjeldsen AD, Poulsen MK, Kjeldsen J, Fialla AD. High output cardiac failure in 3 patients with hereditary hemorrhagic telangiectasia and hepatic vascular malformations, evaluation of treatment. </w:t>
      </w:r>
      <w:r w:rsidRPr="001E1168">
        <w:rPr>
          <w:rFonts w:ascii="Arial" w:eastAsia="Arial" w:hAnsi="Arial" w:cs="Arial"/>
          <w:sz w:val="20"/>
          <w:szCs w:val="20"/>
          <w:lang w:val="en-GB"/>
        </w:rPr>
        <w:t>Orphanet J Rare Dis. 2020 Nov 26;15(1):334.</w:t>
      </w:r>
    </w:p>
    <w:p w14:paraId="4AE3D458"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 xml:space="preserve">Albitar HA, Almodallal Y, Nishimura R, Iyer VN. Mobile Mitral and Aortic Valvular Masses in Patients With Hereditary Hemorrhagic Telangiectasia Receiving Intravenous Bevacizumab. </w:t>
      </w:r>
      <w:r>
        <w:rPr>
          <w:rFonts w:ascii="Arial" w:eastAsia="Arial" w:hAnsi="Arial" w:cs="Arial"/>
          <w:sz w:val="20"/>
          <w:szCs w:val="20"/>
        </w:rPr>
        <w:t>Mayo Clin Proc Innov Qual Outcomes. 2020 May 8;4(4):460-463.</w:t>
      </w:r>
    </w:p>
    <w:p w14:paraId="215614EE" w14:textId="77777777" w:rsidR="00A75BD0" w:rsidRPr="001E1168" w:rsidRDefault="009D4DA5">
      <w:pPr>
        <w:numPr>
          <w:ilvl w:val="0"/>
          <w:numId w:val="10"/>
        </w:numPr>
        <w:spacing w:after="200" w:line="276" w:lineRule="auto"/>
        <w:rPr>
          <w:rFonts w:ascii="Arial" w:eastAsia="Arial" w:hAnsi="Arial" w:cs="Arial"/>
          <w:sz w:val="20"/>
          <w:szCs w:val="20"/>
          <w:lang w:val="en-GB"/>
        </w:rPr>
      </w:pPr>
      <w:r w:rsidRPr="002F6A24">
        <w:rPr>
          <w:rFonts w:ascii="Arial" w:eastAsia="Arial" w:hAnsi="Arial" w:cs="Arial"/>
          <w:sz w:val="20"/>
          <w:szCs w:val="20"/>
          <w:lang w:val="en-US"/>
        </w:rPr>
        <w:t xml:space="preserve">Dupuis-Girod S, Rivière S, Lavigne C, </w:t>
      </w:r>
      <w:r w:rsidRPr="002F6A24">
        <w:rPr>
          <w:rFonts w:ascii="Arial" w:eastAsia="Arial" w:hAnsi="Arial" w:cs="Arial"/>
          <w:i/>
          <w:sz w:val="20"/>
          <w:szCs w:val="20"/>
          <w:lang w:val="en-US"/>
        </w:rPr>
        <w:t>et al</w:t>
      </w:r>
      <w:r w:rsidRPr="002F6A24">
        <w:rPr>
          <w:rFonts w:ascii="Arial" w:eastAsia="Arial" w:hAnsi="Arial" w:cs="Arial"/>
          <w:sz w:val="20"/>
          <w:szCs w:val="20"/>
          <w:lang w:val="en-US"/>
        </w:rPr>
        <w:t xml:space="preserve">. Efficacy and safety of intravenous bevacizumab on severe bleeding associated with hemorrhagic hereditary telangiectasia: A national, randomized multicenter trial.  </w:t>
      </w:r>
      <w:r w:rsidRPr="001E1168">
        <w:rPr>
          <w:rFonts w:ascii="Arial" w:eastAsia="Arial" w:hAnsi="Arial" w:cs="Arial"/>
          <w:sz w:val="20"/>
          <w:szCs w:val="20"/>
          <w:lang w:val="en-GB"/>
        </w:rPr>
        <w:t>J Intern Med 2023, 294; 761-774.</w:t>
      </w:r>
    </w:p>
    <w:p w14:paraId="7E6DA395" w14:textId="77777777" w:rsidR="00A75BD0" w:rsidRDefault="009D4DA5">
      <w:pPr>
        <w:numPr>
          <w:ilvl w:val="0"/>
          <w:numId w:val="10"/>
        </w:numPr>
        <w:spacing w:after="200" w:line="276" w:lineRule="auto"/>
        <w:rPr>
          <w:rFonts w:ascii="Arial" w:eastAsia="Arial" w:hAnsi="Arial" w:cs="Arial"/>
          <w:sz w:val="20"/>
          <w:szCs w:val="20"/>
        </w:rPr>
      </w:pPr>
      <w:r w:rsidRPr="002F6A24">
        <w:rPr>
          <w:rFonts w:ascii="Arial" w:eastAsia="Arial" w:hAnsi="Arial" w:cs="Arial"/>
          <w:sz w:val="20"/>
          <w:szCs w:val="20"/>
          <w:lang w:val="en-US"/>
        </w:rPr>
        <w:t>Chen, H., Zhang, Z., Chen, X., Wang, C., Chen, M., Liao, H., Zhu, J., Zheng, Z., &amp; Chen, R. (2023). Meta-analysis of efficacy and safety of bevacizumab in the treatment of hereditary hemorrhagic telangiectasia epistaxis. </w:t>
      </w:r>
      <w:r>
        <w:rPr>
          <w:rFonts w:ascii="Arial" w:eastAsia="Arial" w:hAnsi="Arial" w:cs="Arial"/>
          <w:sz w:val="20"/>
          <w:szCs w:val="20"/>
        </w:rPr>
        <w:t>Frontiers in pharmacology, 14, 1089847.</w:t>
      </w:r>
      <w:r>
        <w:rPr>
          <w:rFonts w:ascii="Quattrocento Sans" w:eastAsia="Quattrocento Sans" w:hAnsi="Quattrocento Sans" w:cs="Quattrocento Sans"/>
          <w:color w:val="212121"/>
          <w:highlight w:val="white"/>
        </w:rPr>
        <w:t xml:space="preserve"> </w:t>
      </w:r>
    </w:p>
    <w:p w14:paraId="4F298303" w14:textId="77777777" w:rsidR="00A75BD0" w:rsidRDefault="009D4DA5">
      <w:pPr>
        <w:rPr>
          <w:rFonts w:ascii="Arial Narrow" w:eastAsia="Arial Narrow" w:hAnsi="Arial Narrow" w:cs="Arial Narrow"/>
          <w:sz w:val="28"/>
          <w:szCs w:val="28"/>
        </w:rPr>
      </w:pPr>
      <w:bookmarkStart w:id="11" w:name="_heading=h.3rdcrjn" w:colFirst="0" w:colLast="0"/>
      <w:bookmarkEnd w:id="11"/>
      <w:r>
        <w:rPr>
          <w:rFonts w:ascii="Arial" w:eastAsia="Arial" w:hAnsi="Arial" w:cs="Arial"/>
          <w:sz w:val="20"/>
          <w:szCs w:val="20"/>
        </w:rPr>
        <w:t xml:space="preserve"> </w:t>
      </w:r>
      <w:r>
        <w:br w:type="page"/>
      </w:r>
      <w:r>
        <w:rPr>
          <w:rFonts w:ascii="Arial Narrow" w:eastAsia="Arial Narrow" w:hAnsi="Arial Narrow" w:cs="Arial Narrow"/>
          <w:b/>
          <w:color w:val="2E75B5"/>
          <w:sz w:val="28"/>
          <w:szCs w:val="28"/>
        </w:rPr>
        <w:t>ANNEXE 3 :</w:t>
      </w:r>
      <w:r>
        <w:rPr>
          <w:rFonts w:ascii="Arial Narrow" w:eastAsia="Arial Narrow" w:hAnsi="Arial Narrow" w:cs="Arial Narrow"/>
          <w:color w:val="2E75B5"/>
          <w:sz w:val="28"/>
          <w:szCs w:val="28"/>
        </w:rPr>
        <w:t xml:space="preserve"> </w:t>
      </w:r>
      <w:r>
        <w:rPr>
          <w:rFonts w:ascii="Arial Narrow" w:eastAsia="Arial Narrow" w:hAnsi="Arial Narrow" w:cs="Arial Narrow"/>
          <w:b/>
          <w:color w:val="2E75B5"/>
          <w:sz w:val="28"/>
          <w:szCs w:val="28"/>
        </w:rPr>
        <w:t xml:space="preserve">Note d’information destinée aux patients bénéficiant d’un médicament dans un cadre de prescription compassionnelle </w:t>
      </w:r>
    </w:p>
    <w:p w14:paraId="0693FBE9" w14:textId="77777777" w:rsidR="00A75BD0" w:rsidRDefault="00A75BD0">
      <w:pPr>
        <w:pStyle w:val="Titre1"/>
        <w:rPr>
          <w:rFonts w:ascii="Arial" w:eastAsia="Arial" w:hAnsi="Arial" w:cs="Arial"/>
          <w:i/>
          <w:sz w:val="20"/>
          <w:szCs w:val="20"/>
        </w:rPr>
      </w:pPr>
    </w:p>
    <w:p w14:paraId="7633C9BF" w14:textId="77777777" w:rsidR="00A75BD0" w:rsidRDefault="009D4DA5" w:rsidP="0BA40188">
      <w:pPr>
        <w:pBdr>
          <w:top w:val="single" w:sz="4" w:space="1" w:color="000000"/>
          <w:left w:val="single" w:sz="4" w:space="4" w:color="000000"/>
          <w:bottom w:val="single" w:sz="4" w:space="1" w:color="000000"/>
          <w:right w:val="single" w:sz="4" w:space="4" w:color="000000"/>
        </w:pBdr>
        <w:tabs>
          <w:tab w:val="left" w:pos="567"/>
        </w:tabs>
        <w:spacing w:after="120"/>
        <w:ind w:right="306"/>
        <w:jc w:val="center"/>
        <w:rPr>
          <w:rFonts w:ascii="Arial" w:eastAsia="Arial" w:hAnsi="Arial" w:cs="Arial"/>
          <w:b/>
          <w:bCs/>
          <w:i/>
          <w:iCs/>
          <w:sz w:val="20"/>
          <w:szCs w:val="20"/>
          <w:lang w:val="fr-FR"/>
        </w:rPr>
      </w:pPr>
      <w:r w:rsidRPr="0BA40188">
        <w:rPr>
          <w:rFonts w:ascii="Arial" w:eastAsia="Arial" w:hAnsi="Arial" w:cs="Arial"/>
          <w:b/>
          <w:bCs/>
          <w:i/>
          <w:iCs/>
          <w:sz w:val="20"/>
          <w:szCs w:val="20"/>
          <w:lang w:val="fr-FR"/>
        </w:rPr>
        <w:t xml:space="preserve">A remettre au patient avant toute prescription </w:t>
      </w:r>
      <w:r w:rsidRPr="0BA40188">
        <w:rPr>
          <w:rFonts w:ascii="Arial" w:eastAsia="Arial" w:hAnsi="Arial" w:cs="Arial"/>
          <w:b/>
          <w:bCs/>
          <w:sz w:val="20"/>
          <w:szCs w:val="20"/>
          <w:lang w:val="fr-FR"/>
        </w:rPr>
        <w:t>de bevacizumab</w:t>
      </w:r>
      <w:r w:rsidRPr="0BA40188">
        <w:rPr>
          <w:rFonts w:ascii="Arial" w:eastAsia="Arial" w:hAnsi="Arial" w:cs="Arial"/>
          <w:b/>
          <w:bCs/>
          <w:i/>
          <w:iCs/>
          <w:sz w:val="20"/>
          <w:szCs w:val="20"/>
          <w:lang w:val="fr-FR"/>
        </w:rPr>
        <w:t xml:space="preserve"> </w:t>
      </w:r>
    </w:p>
    <w:p w14:paraId="3BCF95C1" w14:textId="77777777" w:rsidR="00A75BD0" w:rsidRDefault="009D4DA5" w:rsidP="0BA40188">
      <w:pPr>
        <w:pBdr>
          <w:top w:val="single" w:sz="4" w:space="1" w:color="000000"/>
          <w:left w:val="single" w:sz="4" w:space="4" w:color="000000"/>
          <w:bottom w:val="single" w:sz="4" w:space="1" w:color="000000"/>
          <w:right w:val="single" w:sz="4" w:space="4" w:color="000000"/>
        </w:pBdr>
        <w:tabs>
          <w:tab w:val="left" w:pos="567"/>
        </w:tabs>
        <w:spacing w:after="120"/>
        <w:ind w:right="306"/>
        <w:jc w:val="center"/>
        <w:rPr>
          <w:rFonts w:ascii="Arial" w:eastAsia="Arial" w:hAnsi="Arial" w:cs="Arial"/>
          <w:b/>
          <w:bCs/>
          <w:lang w:val="fr-FR"/>
        </w:rPr>
      </w:pPr>
      <w:r w:rsidRPr="0BA40188">
        <w:rPr>
          <w:rFonts w:ascii="Arial" w:eastAsia="Arial" w:hAnsi="Arial" w:cs="Arial"/>
          <w:b/>
          <w:bCs/>
          <w:i/>
          <w:iCs/>
          <w:sz w:val="20"/>
          <w:szCs w:val="20"/>
          <w:lang w:val="fr-FR"/>
        </w:rPr>
        <w:t>f</w:t>
      </w:r>
      <w:r w:rsidRPr="0BA40188">
        <w:rPr>
          <w:rFonts w:ascii="Arial" w:eastAsia="Arial" w:hAnsi="Arial" w:cs="Arial"/>
          <w:b/>
          <w:bCs/>
          <w:sz w:val="20"/>
          <w:szCs w:val="20"/>
          <w:lang w:val="fr-FR"/>
        </w:rPr>
        <w:t>aisant l’objet d’un CADRE DE PRESCRIPTION COMPASSIONNELLE</w:t>
      </w:r>
      <w:r w:rsidRPr="0BA40188">
        <w:rPr>
          <w:rFonts w:ascii="Arial" w:eastAsia="Arial" w:hAnsi="Arial" w:cs="Arial"/>
          <w:b/>
          <w:bCs/>
          <w:lang w:val="fr-FR"/>
        </w:rPr>
        <w:t xml:space="preserve"> </w:t>
      </w:r>
    </w:p>
    <w:p w14:paraId="25B0E036" w14:textId="77777777" w:rsidR="00A75BD0" w:rsidRDefault="009D4DA5">
      <w:pPr>
        <w:pBdr>
          <w:top w:val="single" w:sz="4" w:space="1" w:color="000000"/>
          <w:left w:val="single" w:sz="4" w:space="4" w:color="000000"/>
          <w:bottom w:val="single" w:sz="4" w:space="1" w:color="000000"/>
          <w:right w:val="single" w:sz="4" w:space="4" w:color="000000"/>
        </w:pBdr>
        <w:tabs>
          <w:tab w:val="left" w:pos="567"/>
        </w:tabs>
        <w:spacing w:after="200"/>
        <w:ind w:right="306"/>
        <w:jc w:val="both"/>
        <w:rPr>
          <w:rFonts w:ascii="Arial" w:eastAsia="Arial" w:hAnsi="Arial" w:cs="Arial"/>
          <w:i/>
          <w:sz w:val="20"/>
          <w:szCs w:val="20"/>
        </w:rPr>
      </w:pPr>
      <w:r>
        <w:rPr>
          <w:rFonts w:ascii="Arial" w:eastAsia="Arial" w:hAnsi="Arial" w:cs="Arial"/>
          <w:i/>
          <w:sz w:val="20"/>
          <w:szCs w:val="20"/>
        </w:rPr>
        <w:t>Dans le cas où le patient serait dans l'incapacité de prendre connaissance de cette information, celle-ci sera remise à son représentant légal ou, le cas échéant, à la personne de confiance qu’il a désignée.</w:t>
      </w:r>
    </w:p>
    <w:p w14:paraId="0D963BF5" w14:textId="77777777" w:rsidR="00A75BD0" w:rsidRDefault="009D4DA5" w:rsidP="0BA40188">
      <w:pPr>
        <w:pBdr>
          <w:top w:val="nil"/>
          <w:left w:val="nil"/>
          <w:bottom w:val="nil"/>
          <w:right w:val="nil"/>
          <w:between w:val="nil"/>
        </w:pBdr>
        <w:spacing w:before="90" w:line="240"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Votre médecin vous a proposé un traitement par bevacizumab qui fait l’objet d’un cadre de prescription compassionnelle (CPC).</w:t>
      </w:r>
    </w:p>
    <w:p w14:paraId="5786CC4B" w14:textId="77777777" w:rsidR="00A75BD0" w:rsidRDefault="00A75BD0">
      <w:pPr>
        <w:pBdr>
          <w:top w:val="nil"/>
          <w:left w:val="nil"/>
          <w:bottom w:val="nil"/>
          <w:right w:val="nil"/>
          <w:between w:val="nil"/>
        </w:pBdr>
        <w:spacing w:line="240" w:lineRule="auto"/>
        <w:jc w:val="both"/>
        <w:rPr>
          <w:rFonts w:ascii="Arial" w:eastAsia="Arial" w:hAnsi="Arial" w:cs="Arial"/>
          <w:color w:val="000000"/>
          <w:sz w:val="20"/>
          <w:szCs w:val="20"/>
        </w:rPr>
      </w:pPr>
    </w:p>
    <w:p w14:paraId="69582C1D" w14:textId="77777777" w:rsidR="00A75BD0" w:rsidRDefault="009D4DA5">
      <w:pPr>
        <w:pBdr>
          <w:top w:val="nil"/>
          <w:left w:val="nil"/>
          <w:bottom w:val="nil"/>
          <w:right w:val="nil"/>
          <w:between w:val="nil"/>
        </w:pBdr>
        <w:spacing w:before="1" w:line="240" w:lineRule="auto"/>
        <w:jc w:val="both"/>
        <w:rPr>
          <w:rFonts w:ascii="Arial" w:eastAsia="Arial" w:hAnsi="Arial" w:cs="Arial"/>
          <w:color w:val="000000"/>
          <w:sz w:val="20"/>
          <w:szCs w:val="20"/>
        </w:rPr>
      </w:pPr>
      <w:r>
        <w:rPr>
          <w:rFonts w:ascii="Arial" w:eastAsia="Arial" w:hAnsi="Arial" w:cs="Arial"/>
          <w:color w:val="000000"/>
          <w:sz w:val="20"/>
          <w:szCs w:val="20"/>
        </w:rPr>
        <w:t>Cette note a pour but de vous informer afin de vous permettre, en toute connaissance de cause, d’accepter le traitement qui vous est proposé. Elle comprend :</w:t>
      </w:r>
    </w:p>
    <w:p w14:paraId="76A150B0" w14:textId="77777777" w:rsidR="00A75BD0" w:rsidRDefault="009D4DA5" w:rsidP="0BA40188">
      <w:pPr>
        <w:widowControl w:val="0"/>
        <w:numPr>
          <w:ilvl w:val="1"/>
          <w:numId w:val="29"/>
        </w:numPr>
        <w:pBdr>
          <w:top w:val="nil"/>
          <w:left w:val="nil"/>
          <w:bottom w:val="nil"/>
          <w:right w:val="nil"/>
          <w:between w:val="nil"/>
        </w:pBdr>
        <w:tabs>
          <w:tab w:val="left" w:pos="805"/>
        </w:tabs>
        <w:spacing w:before="122" w:after="0" w:line="293" w:lineRule="auto"/>
        <w:jc w:val="both"/>
        <w:rPr>
          <w:rFonts w:ascii="Arial" w:eastAsia="Arial" w:hAnsi="Arial" w:cs="Arial"/>
          <w:b/>
          <w:bCs/>
          <w:color w:val="000000"/>
          <w:sz w:val="20"/>
          <w:szCs w:val="20"/>
          <w:lang w:val="fr-FR"/>
        </w:rPr>
      </w:pPr>
      <w:r w:rsidRPr="0BA40188">
        <w:rPr>
          <w:rFonts w:ascii="Arial" w:eastAsia="Arial" w:hAnsi="Arial" w:cs="Arial"/>
          <w:b/>
          <w:bCs/>
          <w:color w:val="000000" w:themeColor="text1"/>
          <w:sz w:val="20"/>
          <w:szCs w:val="20"/>
          <w:lang w:val="fr-FR"/>
        </w:rPr>
        <w:t>des informations générales sur les CPC,</w:t>
      </w:r>
    </w:p>
    <w:p w14:paraId="25A16F51" w14:textId="77777777" w:rsidR="00A75BD0" w:rsidRDefault="009D4DA5" w:rsidP="0BA40188">
      <w:pPr>
        <w:widowControl w:val="0"/>
        <w:numPr>
          <w:ilvl w:val="1"/>
          <w:numId w:val="29"/>
        </w:numPr>
        <w:pBdr>
          <w:top w:val="nil"/>
          <w:left w:val="nil"/>
          <w:bottom w:val="nil"/>
          <w:right w:val="nil"/>
          <w:between w:val="nil"/>
        </w:pBdr>
        <w:tabs>
          <w:tab w:val="left" w:pos="805"/>
        </w:tabs>
        <w:spacing w:after="0" w:line="293" w:lineRule="auto"/>
        <w:jc w:val="both"/>
        <w:rPr>
          <w:rFonts w:ascii="Arial" w:eastAsia="Arial" w:hAnsi="Arial" w:cs="Arial"/>
          <w:b/>
          <w:bCs/>
          <w:color w:val="000000"/>
          <w:sz w:val="20"/>
          <w:szCs w:val="20"/>
          <w:lang w:val="fr-FR"/>
        </w:rPr>
      </w:pPr>
      <w:r w:rsidRPr="0BA40188">
        <w:rPr>
          <w:rFonts w:ascii="Arial" w:eastAsia="Arial" w:hAnsi="Arial" w:cs="Arial"/>
          <w:b/>
          <w:bCs/>
          <w:color w:val="000000" w:themeColor="text1"/>
          <w:sz w:val="20"/>
          <w:szCs w:val="20"/>
          <w:lang w:val="fr-FR"/>
        </w:rPr>
        <w:t>des informations sur le médicament, notamment sur ses effets indésirables,</w:t>
      </w:r>
    </w:p>
    <w:p w14:paraId="3D38482C" w14:textId="77777777" w:rsidR="00A75BD0" w:rsidRDefault="009D4DA5" w:rsidP="0BA40188">
      <w:pPr>
        <w:widowControl w:val="0"/>
        <w:numPr>
          <w:ilvl w:val="1"/>
          <w:numId w:val="29"/>
        </w:numPr>
        <w:pBdr>
          <w:top w:val="nil"/>
          <w:left w:val="nil"/>
          <w:bottom w:val="nil"/>
          <w:right w:val="nil"/>
          <w:between w:val="nil"/>
        </w:pBdr>
        <w:tabs>
          <w:tab w:val="left" w:pos="805"/>
        </w:tabs>
        <w:spacing w:after="0" w:line="293" w:lineRule="auto"/>
        <w:jc w:val="both"/>
        <w:rPr>
          <w:rFonts w:ascii="Arial" w:eastAsia="Arial" w:hAnsi="Arial" w:cs="Arial"/>
          <w:b/>
          <w:bCs/>
          <w:color w:val="000000"/>
          <w:sz w:val="20"/>
          <w:szCs w:val="20"/>
          <w:lang w:val="fr-FR"/>
        </w:rPr>
      </w:pPr>
      <w:r w:rsidRPr="0BA40188">
        <w:rPr>
          <w:rFonts w:ascii="Arial" w:eastAsia="Arial" w:hAnsi="Arial" w:cs="Arial"/>
          <w:b/>
          <w:bCs/>
          <w:color w:val="000000" w:themeColor="text1"/>
          <w:sz w:val="20"/>
          <w:szCs w:val="20"/>
          <w:lang w:val="fr-FR"/>
        </w:rPr>
        <w:t>les modalités vous permettant de signaler des effets indésirables,</w:t>
      </w:r>
    </w:p>
    <w:p w14:paraId="3335A058" w14:textId="77777777" w:rsidR="00A75BD0" w:rsidRDefault="009D4DA5" w:rsidP="0BA40188">
      <w:pPr>
        <w:widowControl w:val="0"/>
        <w:numPr>
          <w:ilvl w:val="1"/>
          <w:numId w:val="29"/>
        </w:numPr>
        <w:pBdr>
          <w:top w:val="nil"/>
          <w:left w:val="nil"/>
          <w:bottom w:val="nil"/>
          <w:right w:val="nil"/>
          <w:between w:val="nil"/>
        </w:pBdr>
        <w:tabs>
          <w:tab w:val="left" w:pos="805"/>
        </w:tabs>
        <w:spacing w:after="0" w:line="240" w:lineRule="auto"/>
        <w:jc w:val="both"/>
        <w:rPr>
          <w:rFonts w:ascii="Arial" w:eastAsia="Arial" w:hAnsi="Arial" w:cs="Arial"/>
          <w:b/>
          <w:bCs/>
          <w:color w:val="000000"/>
          <w:sz w:val="20"/>
          <w:szCs w:val="20"/>
          <w:lang w:val="fr-FR"/>
        </w:rPr>
      </w:pPr>
      <w:r w:rsidRPr="0BA40188">
        <w:rPr>
          <w:rFonts w:ascii="Arial" w:eastAsia="Arial" w:hAnsi="Arial" w:cs="Arial"/>
          <w:b/>
          <w:bCs/>
          <w:color w:val="000000" w:themeColor="text1"/>
          <w:sz w:val="20"/>
          <w:szCs w:val="20"/>
          <w:lang w:val="fr-FR"/>
        </w:rPr>
        <w:t>une information relative au traitement de vos données à caractère personnel incluant les modalités vous permettant d’exercer vos droits sur ces données (cf. annexe 4).</w:t>
      </w:r>
    </w:p>
    <w:p w14:paraId="2B551A13" w14:textId="77777777" w:rsidR="00A75BD0" w:rsidRDefault="00A75BD0">
      <w:pPr>
        <w:pBdr>
          <w:top w:val="nil"/>
          <w:left w:val="nil"/>
          <w:bottom w:val="nil"/>
          <w:right w:val="nil"/>
          <w:between w:val="nil"/>
        </w:pBdr>
        <w:spacing w:before="3" w:line="240" w:lineRule="auto"/>
        <w:rPr>
          <w:rFonts w:ascii="Arial" w:eastAsia="Arial" w:hAnsi="Arial" w:cs="Arial"/>
          <w:color w:val="000000"/>
          <w:sz w:val="20"/>
          <w:szCs w:val="20"/>
        </w:rPr>
      </w:pPr>
    </w:p>
    <w:p w14:paraId="7AD61707" w14:textId="77777777" w:rsidR="00A75BD0" w:rsidRDefault="009D4DA5">
      <w:pPr>
        <w:ind w:right="21"/>
        <w:jc w:val="both"/>
        <w:rPr>
          <w:rFonts w:ascii="Arial" w:eastAsia="Arial" w:hAnsi="Arial" w:cs="Arial"/>
          <w:sz w:val="20"/>
          <w:szCs w:val="20"/>
        </w:rPr>
      </w:pPr>
      <w:r>
        <w:rPr>
          <w:rFonts w:ascii="Arial" w:eastAsia="Arial" w:hAnsi="Arial" w:cs="Arial"/>
          <w:sz w:val="20"/>
          <w:szCs w:val="20"/>
        </w:rPr>
        <w:t>Il est important que vous indiquiez à votre médecin ou à votre pharmacien si vous prenez ou si vous avez pris récemment un autre médicament, même s’il s’agit d’un médicament délivré sans ordonnance.</w:t>
      </w:r>
    </w:p>
    <w:p w14:paraId="023E565E" w14:textId="77777777" w:rsidR="00A75BD0" w:rsidRDefault="00A75BD0">
      <w:pPr>
        <w:ind w:right="260"/>
        <w:jc w:val="both"/>
        <w:rPr>
          <w:rFonts w:ascii="Arial" w:eastAsia="Arial" w:hAnsi="Arial" w:cs="Arial"/>
          <w:b/>
          <w:sz w:val="20"/>
          <w:szCs w:val="20"/>
        </w:rPr>
      </w:pPr>
    </w:p>
    <w:p w14:paraId="2C83FA23" w14:textId="77777777" w:rsidR="00A75BD0" w:rsidRDefault="009D4DA5">
      <w:pPr>
        <w:ind w:right="260"/>
        <w:jc w:val="both"/>
        <w:rPr>
          <w:rFonts w:ascii="Arial" w:eastAsia="Arial" w:hAnsi="Arial" w:cs="Arial"/>
          <w:sz w:val="20"/>
          <w:szCs w:val="20"/>
        </w:rPr>
      </w:pPr>
      <w:r>
        <w:rPr>
          <w:rFonts w:ascii="Arial" w:eastAsia="Arial" w:hAnsi="Arial" w:cs="Arial"/>
          <w:b/>
          <w:sz w:val="20"/>
          <w:szCs w:val="20"/>
        </w:rPr>
        <w:t>Informations générales sur les CPC</w:t>
      </w:r>
    </w:p>
    <w:p w14:paraId="5E1FEE14" w14:textId="77777777" w:rsidR="00A75BD0" w:rsidRDefault="009D4DA5">
      <w:pPr>
        <w:ind w:right="261"/>
        <w:jc w:val="both"/>
        <w:rPr>
          <w:rFonts w:ascii="Arial" w:eastAsia="Arial" w:hAnsi="Arial" w:cs="Arial"/>
          <w:sz w:val="20"/>
          <w:szCs w:val="20"/>
        </w:rPr>
      </w:pPr>
      <w:r>
        <w:rPr>
          <w:rFonts w:ascii="Arial" w:eastAsia="Arial" w:hAnsi="Arial" w:cs="Arial"/>
          <w:sz w:val="20"/>
          <w:szCs w:val="20"/>
        </w:rPr>
        <w:t>Le CPC (procédure dérogatoire exceptionnelle prévue à l’article L. 5121-12-1 III du code de la santé publique) permet de sécuriser la prescription d’un médicament dans une indication thérapeutique non conforme à son autorisation de mise sur le marché (AMM).</w:t>
      </w:r>
    </w:p>
    <w:p w14:paraId="09FD4C30" w14:textId="77777777" w:rsidR="00A75BD0" w:rsidRDefault="009D4DA5">
      <w:pPr>
        <w:ind w:right="261"/>
        <w:jc w:val="both"/>
        <w:rPr>
          <w:rFonts w:ascii="Arial" w:eastAsia="Arial" w:hAnsi="Arial" w:cs="Arial"/>
          <w:sz w:val="20"/>
          <w:szCs w:val="20"/>
        </w:rPr>
      </w:pPr>
      <w:r>
        <w:rPr>
          <w:rFonts w:ascii="Arial" w:eastAsia="Arial" w:hAnsi="Arial" w:cs="Arial"/>
          <w:sz w:val="20"/>
          <w:szCs w:val="20"/>
        </w:rPr>
        <w:t xml:space="preserve">Il répond à un besoin thérapeutique non couvert, dès lors que le rapport bénéfice/risque de ce médicament dans cette indication est présumé favorable par l’Agence nationale de sécurité du médicament et des produits de santé (ANSM). </w:t>
      </w:r>
    </w:p>
    <w:p w14:paraId="55607586" w14:textId="77777777" w:rsidR="00A75BD0" w:rsidRDefault="009D4DA5" w:rsidP="0BA40188">
      <w:pPr>
        <w:ind w:right="96"/>
        <w:jc w:val="both"/>
        <w:rPr>
          <w:rFonts w:ascii="Arial" w:eastAsia="Arial" w:hAnsi="Arial" w:cs="Arial"/>
          <w:lang w:val="fr-FR"/>
        </w:rPr>
      </w:pPr>
      <w:r w:rsidRPr="0BA40188">
        <w:rPr>
          <w:rFonts w:ascii="Arial" w:eastAsia="Arial" w:hAnsi="Arial" w:cs="Arial"/>
          <w:sz w:val="20"/>
          <w:szCs w:val="20"/>
          <w:lang w:val="fr-FR"/>
        </w:rPr>
        <w:t>Dans ce cadre, le bevacizumab</w:t>
      </w:r>
      <w:r w:rsidRPr="0BA40188">
        <w:rPr>
          <w:rFonts w:ascii="Arial" w:eastAsia="Arial" w:hAnsi="Arial" w:cs="Arial"/>
          <w:sz w:val="20"/>
          <w:szCs w:val="20"/>
          <w:vertAlign w:val="superscript"/>
          <w:lang w:val="fr-FR"/>
        </w:rPr>
        <w:t xml:space="preserve"> </w:t>
      </w:r>
      <w:r w:rsidRPr="0BA40188">
        <w:rPr>
          <w:rFonts w:ascii="Arial" w:eastAsia="Arial" w:hAnsi="Arial" w:cs="Arial"/>
          <w:sz w:val="20"/>
          <w:szCs w:val="20"/>
          <w:lang w:val="fr-FR"/>
        </w:rPr>
        <w:t>est disponible pour le traitement de la maladie de Rendu-Osler.</w:t>
      </w:r>
    </w:p>
    <w:p w14:paraId="70897656" w14:textId="77777777" w:rsidR="00A75BD0" w:rsidRDefault="009D4DA5" w:rsidP="0BA40188">
      <w:pPr>
        <w:ind w:right="260"/>
        <w:jc w:val="both"/>
        <w:rPr>
          <w:rFonts w:ascii="Arial" w:eastAsia="Arial" w:hAnsi="Arial" w:cs="Arial"/>
          <w:i/>
          <w:iCs/>
          <w:sz w:val="20"/>
          <w:szCs w:val="20"/>
          <w:lang w:val="fr-FR"/>
        </w:rPr>
      </w:pPr>
      <w:r w:rsidRPr="0BA40188">
        <w:rPr>
          <w:rFonts w:ascii="Arial" w:eastAsia="Arial" w:hAnsi="Arial" w:cs="Arial"/>
          <w:sz w:val="20"/>
          <w:szCs w:val="20"/>
          <w:lang w:val="fr-FR"/>
        </w:rPr>
        <w:t>L’utilisation de bevacizumab et la surveillance de tous les patients traités se fait en conformité avec le protocole d’utilisation thérapeutique et de suivi des patients (PUT-SP) validé par l’ANSM. Les données concernant les patients traités dans ce contexte seront collectées et feront l’objet de rapports envoyés à l’ANSM, qui assure une surveillance nationale de l’utilisation de bevacizumab en collaboration avec le Centre Régional de Pharmacovigilance (CRPV) de Lyon en charge du suivi national. Un résumé de ces rapports sera périodiquement publié par l’ANSM sur son site internet (</w:t>
      </w:r>
      <w:hyperlink r:id="rId61">
        <w:r w:rsidRPr="0BA40188">
          <w:rPr>
            <w:rFonts w:ascii="Arial" w:eastAsia="Arial" w:hAnsi="Arial" w:cs="Arial"/>
            <w:sz w:val="20"/>
            <w:szCs w:val="20"/>
            <w:lang w:val="fr-FR"/>
          </w:rPr>
          <w:t>www.ansm.sante.fr</w:t>
        </w:r>
      </w:hyperlink>
      <w:r w:rsidRPr="0BA40188">
        <w:rPr>
          <w:rFonts w:ascii="Arial" w:eastAsia="Arial" w:hAnsi="Arial" w:cs="Arial"/>
          <w:sz w:val="20"/>
          <w:szCs w:val="20"/>
          <w:lang w:val="fr-FR"/>
        </w:rPr>
        <w:t>). Celui-ci ne comporte aucune donnée personnelle.</w:t>
      </w:r>
    </w:p>
    <w:p w14:paraId="648DA738" w14:textId="77777777" w:rsidR="00A75BD0" w:rsidRDefault="009D4DA5" w:rsidP="0BA40188">
      <w:pPr>
        <w:spacing w:line="360" w:lineRule="auto"/>
        <w:ind w:right="260"/>
        <w:jc w:val="both"/>
        <w:rPr>
          <w:rFonts w:ascii="Arial" w:eastAsia="Arial" w:hAnsi="Arial" w:cs="Arial"/>
          <w:b/>
          <w:bCs/>
          <w:sz w:val="20"/>
          <w:szCs w:val="20"/>
          <w:lang w:val="fr-FR"/>
        </w:rPr>
      </w:pPr>
      <w:r w:rsidRPr="0BA40188">
        <w:rPr>
          <w:rFonts w:ascii="Arial" w:eastAsia="Arial" w:hAnsi="Arial" w:cs="Arial"/>
          <w:b/>
          <w:bCs/>
          <w:sz w:val="20"/>
          <w:szCs w:val="20"/>
          <w:lang w:val="fr-FR"/>
        </w:rPr>
        <w:t>Informations sur le bevacizumab</w:t>
      </w:r>
    </w:p>
    <w:p w14:paraId="2954F16D" w14:textId="77777777" w:rsidR="00A75BD0" w:rsidRDefault="009D4DA5" w:rsidP="0BA40188">
      <w:pPr>
        <w:keepLines/>
        <w:pBdr>
          <w:top w:val="nil"/>
          <w:left w:val="nil"/>
          <w:bottom w:val="nil"/>
          <w:right w:val="nil"/>
          <w:between w:val="nil"/>
        </w:pBdr>
        <w:spacing w:before="120" w:after="0" w:line="240" w:lineRule="auto"/>
        <w:ind w:right="46"/>
        <w:jc w:val="both"/>
        <w:rPr>
          <w:rFonts w:ascii="Arial" w:eastAsia="Arial" w:hAnsi="Arial" w:cs="Arial"/>
          <w:sz w:val="20"/>
          <w:szCs w:val="20"/>
          <w:lang w:val="fr-FR"/>
        </w:rPr>
      </w:pPr>
      <w:r w:rsidRPr="0BA40188">
        <w:rPr>
          <w:rFonts w:ascii="Arial" w:eastAsia="Arial" w:hAnsi="Arial" w:cs="Arial"/>
          <w:sz w:val="20"/>
          <w:szCs w:val="20"/>
          <w:lang w:val="fr-FR"/>
        </w:rPr>
        <w:t>Le bevacizumab est un anticorps monoclonal humanisé, qui est un type de protéine normalement fabriqué par le système immunitaire pour aider l’organisme à se défendre contre les infections et les cancers. Le bevacizumab se lie sélectivement à une protéine appelée facteur de croissance endothélial vasculaire humain (VEGF) qui est présente dans le revêtement intérieur des vaisseaux sanguins et lymphatiques. La protéine VEGF induit la croissance des vaisseaux sanguins dans les tumeurs. Ces vaisseaux apportent l’oxygène et les nutriments nécessaires aux tumeurs. Dès que le bevacizumab se lie au VEGF, la croissance des tumeurs est inhibée en bloquant la formation de néo-vaisseaux qui alimentent la tumeur en nutriments et en oxygène.</w:t>
      </w:r>
    </w:p>
    <w:p w14:paraId="3ABEB385" w14:textId="77777777" w:rsidR="00A75BD0" w:rsidRDefault="009D4DA5" w:rsidP="0BA40188">
      <w:pPr>
        <w:keepLines/>
        <w:pBdr>
          <w:top w:val="nil"/>
          <w:left w:val="nil"/>
          <w:bottom w:val="nil"/>
          <w:right w:val="nil"/>
          <w:between w:val="nil"/>
        </w:pBdr>
        <w:spacing w:before="120" w:after="0" w:line="240" w:lineRule="auto"/>
        <w:ind w:right="46"/>
        <w:jc w:val="both"/>
        <w:rPr>
          <w:rFonts w:ascii="Arial" w:eastAsia="Arial" w:hAnsi="Arial" w:cs="Arial"/>
          <w:sz w:val="20"/>
          <w:szCs w:val="20"/>
          <w:lang w:val="fr-FR"/>
        </w:rPr>
      </w:pPr>
      <w:r w:rsidRPr="0BA40188">
        <w:rPr>
          <w:rFonts w:ascii="Arial" w:eastAsia="Arial" w:hAnsi="Arial" w:cs="Arial"/>
          <w:sz w:val="20"/>
          <w:szCs w:val="20"/>
          <w:lang w:val="fr-FR"/>
        </w:rPr>
        <w:t>Dans le cadre de son autorisation de mise sur le marché, le bevacizumab est un médicament utilisé chez des patients adultes pour traiter certains types de cancers, en association à d'autres médicaments anticancéreux. Pour plus d'information, veuillez consulter la notice de l’AMM du bevacizumab destinée au patient consultable sur la base de données publique des médicaments : http://base- donnees-publique.medicaments.gouv.fr/.</w:t>
      </w:r>
    </w:p>
    <w:p w14:paraId="40F9D5C0" w14:textId="77777777" w:rsidR="00A75BD0" w:rsidRDefault="00A75BD0">
      <w:pPr>
        <w:jc w:val="both"/>
        <w:rPr>
          <w:rFonts w:ascii="Arial" w:eastAsia="Arial" w:hAnsi="Arial" w:cs="Arial"/>
        </w:rPr>
      </w:pPr>
      <w:bookmarkStart w:id="12" w:name="_heading=h.1fob9te" w:colFirst="0" w:colLast="0"/>
      <w:bookmarkEnd w:id="12"/>
    </w:p>
    <w:p w14:paraId="4B89F7D2" w14:textId="77777777" w:rsidR="00A75BD0" w:rsidRDefault="009D4DA5" w:rsidP="0BA40188">
      <w:pPr>
        <w:pBdr>
          <w:top w:val="nil"/>
          <w:left w:val="nil"/>
          <w:bottom w:val="nil"/>
          <w:right w:val="nil"/>
          <w:between w:val="nil"/>
        </w:pBdr>
        <w:ind w:right="7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Il est important de noter que, contrairement à une utilisation conforme à son AMM, la sécurité et l’efficacité du bevacizumab dans la situation du CPC, sont seulement présumées à ce jour. Le but de ce CPC est de vous permettre de bénéficier de ce traitement en faisant l'objet d'un suivi particulier au cours duquel des données personnelles seront collectées (annexe 4). Toutes ces données seront analysées. Ce suivi devrait donc aussi permettre de s’assurer que les bénéfices de ce traitement dans ces indications restent présumés supérieurs aux risques potentiellement encourus.</w:t>
      </w:r>
    </w:p>
    <w:p w14:paraId="06F521AA" w14:textId="77777777" w:rsidR="00A75BD0" w:rsidRDefault="009D4DA5">
      <w:pPr>
        <w:keepNext/>
        <w:spacing w:before="240"/>
        <w:jc w:val="both"/>
        <w:rPr>
          <w:rFonts w:ascii="Arial" w:eastAsia="Arial" w:hAnsi="Arial" w:cs="Arial"/>
          <w:sz w:val="20"/>
          <w:szCs w:val="20"/>
        </w:rPr>
      </w:pPr>
      <w:r>
        <w:rPr>
          <w:rFonts w:ascii="Arial" w:eastAsia="Arial" w:hAnsi="Arial" w:cs="Arial"/>
          <w:sz w:val="20"/>
          <w:szCs w:val="20"/>
        </w:rPr>
        <w:t>Posologie :</w:t>
      </w:r>
    </w:p>
    <w:p w14:paraId="0519193B" w14:textId="77777777" w:rsidR="00A75BD0" w:rsidRDefault="009D4DA5" w:rsidP="0BA40188">
      <w:pPr>
        <w:spacing w:before="120"/>
        <w:jc w:val="both"/>
        <w:rPr>
          <w:rFonts w:ascii="Arial" w:eastAsia="Arial" w:hAnsi="Arial" w:cs="Arial"/>
          <w:sz w:val="20"/>
          <w:szCs w:val="20"/>
          <w:lang w:val="fr-FR"/>
        </w:rPr>
      </w:pPr>
      <w:r w:rsidRPr="0BA40188">
        <w:rPr>
          <w:rFonts w:ascii="Arial" w:eastAsia="Arial" w:hAnsi="Arial" w:cs="Arial"/>
          <w:sz w:val="20"/>
          <w:szCs w:val="20"/>
          <w:lang w:val="fr-FR"/>
        </w:rPr>
        <w:t>La dose recommandée de bevacizumab dépend de votre poids : la dose est de 5 mg par kg de poids corporel administré en perfusion intraveineuse tous les 14 jours. Votre médecin prescrira un traitement d’induction de 6 perfusions.</w:t>
      </w:r>
    </w:p>
    <w:p w14:paraId="2EE98ED4" w14:textId="77777777" w:rsidR="00A75BD0" w:rsidRDefault="009D4DA5">
      <w:pPr>
        <w:spacing w:before="120"/>
        <w:jc w:val="both"/>
        <w:rPr>
          <w:rFonts w:ascii="Arial" w:eastAsia="Arial" w:hAnsi="Arial" w:cs="Arial"/>
          <w:sz w:val="20"/>
          <w:szCs w:val="20"/>
        </w:rPr>
      </w:pPr>
      <w:r>
        <w:rPr>
          <w:rFonts w:ascii="Arial" w:eastAsia="Arial" w:hAnsi="Arial" w:cs="Arial"/>
          <w:sz w:val="20"/>
          <w:szCs w:val="20"/>
        </w:rPr>
        <w:t>À l’issue de ce traitement et après évaluation de l’efficacité, votre médecin prescrira un traitement d’entretien avec une perfusion intraveineuse de 5 mg par kg de poids corporel toutes les 8 semaines, qui sera ensuite adapté en fonction de l’efficacité clinique et des analyses sanguines.</w:t>
      </w:r>
    </w:p>
    <w:p w14:paraId="51191CCD" w14:textId="77777777" w:rsidR="00A75BD0" w:rsidRDefault="009D4DA5">
      <w:pPr>
        <w:jc w:val="both"/>
        <w:rPr>
          <w:rFonts w:ascii="Arial" w:eastAsia="Arial" w:hAnsi="Arial" w:cs="Arial"/>
          <w:sz w:val="20"/>
          <w:szCs w:val="20"/>
        </w:rPr>
      </w:pPr>
      <w:r>
        <w:rPr>
          <w:rFonts w:ascii="Arial" w:eastAsia="Arial" w:hAnsi="Arial" w:cs="Arial"/>
          <w:sz w:val="20"/>
          <w:szCs w:val="20"/>
        </w:rPr>
        <w:t>Mode et voie d’administration :</w:t>
      </w:r>
    </w:p>
    <w:p w14:paraId="4B72D0BE"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 xml:space="preserve">Ne pas agiter le flacon. Le bevacizumab est une solution à diluer pour perfusion. En fonction de la dose qui vous est prescrite, la totalité ou une partie du contenu d’un flacon de bevacizumab sera diluée dans une solution de chlorure de sodium avant utilisation. Un médecin ou une infirmière vous administrera cette solution diluée de bevacizumab par perfusion intraveineuse (un goutte-à-goutte dans vos veines). La durée de la première perfusion sera de 90 minutes. Si la tolérance est bonne, celle de la seconde perfusion pourra être de 60 minutes. Les perfusions suivantes seront administrées en 30 minutes. </w:t>
      </w:r>
    </w:p>
    <w:p w14:paraId="0EBEF4EC" w14:textId="77777777" w:rsidR="00A75BD0" w:rsidRDefault="009D4DA5">
      <w:pPr>
        <w:keepNext/>
        <w:spacing w:before="240"/>
        <w:jc w:val="both"/>
        <w:rPr>
          <w:rFonts w:ascii="Arial" w:eastAsia="Arial" w:hAnsi="Arial" w:cs="Arial"/>
          <w:sz w:val="20"/>
          <w:szCs w:val="20"/>
        </w:rPr>
      </w:pPr>
      <w:r>
        <w:rPr>
          <w:rFonts w:ascii="Arial" w:eastAsia="Arial" w:hAnsi="Arial" w:cs="Arial"/>
          <w:sz w:val="20"/>
          <w:szCs w:val="20"/>
        </w:rPr>
        <w:t>Modalités de retraitement :</w:t>
      </w:r>
    </w:p>
    <w:p w14:paraId="4EC6CACA" w14:textId="77777777" w:rsidR="00A75BD0" w:rsidRDefault="009D4DA5">
      <w:pPr>
        <w:jc w:val="both"/>
        <w:rPr>
          <w:rFonts w:ascii="Arial" w:eastAsia="Arial" w:hAnsi="Arial" w:cs="Arial"/>
          <w:sz w:val="20"/>
          <w:szCs w:val="20"/>
        </w:rPr>
      </w:pPr>
      <w:r>
        <w:rPr>
          <w:rFonts w:ascii="Arial" w:eastAsia="Arial" w:hAnsi="Arial" w:cs="Arial"/>
          <w:sz w:val="20"/>
          <w:szCs w:val="20"/>
        </w:rPr>
        <w:t>Votre médecin peut décider de prescrire une nouvelle phase d’induction de 6 perfusions à 14 jours d’intervalle.</w:t>
      </w:r>
    </w:p>
    <w:p w14:paraId="3B5E850B" w14:textId="77777777" w:rsidR="00A75BD0" w:rsidRDefault="009D4DA5">
      <w:pPr>
        <w:jc w:val="both"/>
        <w:rPr>
          <w:rFonts w:ascii="Arial" w:eastAsia="Arial" w:hAnsi="Arial" w:cs="Arial"/>
          <w:i/>
          <w:color w:val="9933FF"/>
          <w:sz w:val="20"/>
          <w:szCs w:val="20"/>
        </w:rPr>
      </w:pPr>
      <w:r>
        <w:rPr>
          <w:rFonts w:ascii="Arial" w:eastAsia="Arial" w:hAnsi="Arial" w:cs="Arial"/>
          <w:sz w:val="20"/>
          <w:szCs w:val="20"/>
        </w:rPr>
        <w:t xml:space="preserve">Vous aurez des analyses de sang pendant votre traitement afin de permettre à votre médecin de déterminer la dose qui vous convient, comme mentionné dans la rubrique posologie ci-dessus. </w:t>
      </w:r>
    </w:p>
    <w:p w14:paraId="3422D2C9" w14:textId="77777777" w:rsidR="00A75BD0" w:rsidRDefault="009D4DA5">
      <w:pPr>
        <w:jc w:val="both"/>
        <w:rPr>
          <w:rFonts w:ascii="Arial" w:eastAsia="Arial" w:hAnsi="Arial" w:cs="Arial"/>
          <w:b/>
          <w:color w:val="000000"/>
          <w:sz w:val="20"/>
          <w:szCs w:val="20"/>
        </w:rPr>
      </w:pPr>
      <w:r>
        <w:rPr>
          <w:rFonts w:ascii="Arial" w:eastAsia="Arial" w:hAnsi="Arial" w:cs="Arial"/>
          <w:b/>
          <w:color w:val="000000"/>
          <w:sz w:val="20"/>
          <w:szCs w:val="20"/>
        </w:rPr>
        <w:t>Fertilité, grossesse, allaitement</w:t>
      </w:r>
    </w:p>
    <w:p w14:paraId="36FD300D"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N’utilisez jamais ce médicament si vous êtes enceinte. Le bevacizumab peut être nocif pour l’enfant à naître parce qu’il arrête la formation des nouveaux vaisseaux sanguins. Votre médecin doit vous conseiller une méthode de contraception à suivre au cours du traitement par bevacizumab et pendant au moins 6 mois après l’administration de la dernière dose de celui-ci.</w:t>
      </w:r>
    </w:p>
    <w:p w14:paraId="2A29440E" w14:textId="77777777" w:rsidR="00A75BD0" w:rsidRDefault="009D4DA5">
      <w:pPr>
        <w:jc w:val="both"/>
        <w:rPr>
          <w:rFonts w:ascii="Arial" w:eastAsia="Arial" w:hAnsi="Arial" w:cs="Arial"/>
          <w:sz w:val="20"/>
          <w:szCs w:val="20"/>
        </w:rPr>
      </w:pPr>
      <w:r>
        <w:rPr>
          <w:rFonts w:ascii="Arial" w:eastAsia="Arial" w:hAnsi="Arial" w:cs="Arial"/>
          <w:sz w:val="20"/>
          <w:szCs w:val="20"/>
        </w:rPr>
        <w:br/>
        <w:t>Si vous êtes enceinte ou que vous allaitez, si vous pensez être enceinte ou si vous avez l’intention de le devenir dans un avenir proche, informez immédiatement votre médecin.</w:t>
      </w:r>
    </w:p>
    <w:p w14:paraId="0C24A50E" w14:textId="77777777" w:rsidR="00A75BD0" w:rsidRDefault="009D4DA5" w:rsidP="0BA40188">
      <w:pPr>
        <w:jc w:val="both"/>
        <w:rPr>
          <w:rFonts w:ascii="Arial" w:eastAsia="Arial" w:hAnsi="Arial" w:cs="Arial"/>
          <w:sz w:val="20"/>
          <w:szCs w:val="20"/>
          <w:lang w:val="fr-FR"/>
        </w:rPr>
      </w:pPr>
      <w:r>
        <w:br/>
      </w:r>
      <w:r w:rsidRPr="0BA40188">
        <w:rPr>
          <w:rFonts w:ascii="Arial" w:eastAsia="Arial" w:hAnsi="Arial" w:cs="Arial"/>
          <w:sz w:val="20"/>
          <w:szCs w:val="20"/>
          <w:lang w:val="fr-FR"/>
        </w:rPr>
        <w:t>Vous ne devez pas allaiter votre enfant au cours du traitement par du bevacizumab et pendant au moins 6 mois après l’administration de la dernière dose de celui-ci en raison de risques d’effets nocifs sur la croissance et le développement de votre nourrisson.</w:t>
      </w:r>
    </w:p>
    <w:p w14:paraId="74DCC700" w14:textId="77777777" w:rsidR="00A75BD0" w:rsidRDefault="009D4DA5" w:rsidP="0BA40188">
      <w:pPr>
        <w:spacing w:before="120"/>
        <w:ind w:right="46"/>
        <w:jc w:val="both"/>
        <w:rPr>
          <w:rFonts w:ascii="Arial" w:eastAsia="Arial" w:hAnsi="Arial" w:cs="Arial"/>
          <w:sz w:val="20"/>
          <w:szCs w:val="20"/>
          <w:lang w:val="fr-FR"/>
        </w:rPr>
      </w:pPr>
      <w:r>
        <w:br/>
      </w:r>
      <w:r w:rsidRPr="0BA40188">
        <w:rPr>
          <w:rFonts w:ascii="Arial" w:eastAsia="Arial" w:hAnsi="Arial" w:cs="Arial"/>
          <w:sz w:val="20"/>
          <w:szCs w:val="20"/>
          <w:lang w:val="fr-FR"/>
        </w:rPr>
        <w:t>Le bevacizumab peut entraîner une altération de la fertilité. Contactez votre médecin pour plus d’informations.</w:t>
      </w:r>
    </w:p>
    <w:p w14:paraId="54CB3EB0" w14:textId="77777777" w:rsidR="00A75BD0" w:rsidRDefault="00A75BD0">
      <w:pPr>
        <w:spacing w:before="120"/>
        <w:ind w:right="46"/>
        <w:jc w:val="both"/>
        <w:rPr>
          <w:rFonts w:ascii="Arial" w:eastAsia="Arial" w:hAnsi="Arial" w:cs="Arial"/>
          <w:sz w:val="20"/>
          <w:szCs w:val="20"/>
        </w:rPr>
      </w:pPr>
    </w:p>
    <w:p w14:paraId="1430D12A" w14:textId="77777777" w:rsidR="00A75BD0" w:rsidRDefault="00A75BD0">
      <w:pPr>
        <w:spacing w:before="120"/>
        <w:ind w:right="46"/>
        <w:jc w:val="both"/>
        <w:rPr>
          <w:rFonts w:ascii="Arial" w:eastAsia="Arial" w:hAnsi="Arial" w:cs="Arial"/>
          <w:sz w:val="20"/>
          <w:szCs w:val="20"/>
        </w:rPr>
      </w:pPr>
    </w:p>
    <w:p w14:paraId="2FD4E8F6" w14:textId="77777777" w:rsidR="00A75BD0" w:rsidRDefault="00A75BD0">
      <w:pPr>
        <w:spacing w:before="120"/>
        <w:ind w:right="46"/>
        <w:jc w:val="both"/>
        <w:rPr>
          <w:rFonts w:ascii="Arial" w:eastAsia="Arial" w:hAnsi="Arial" w:cs="Arial"/>
          <w:sz w:val="20"/>
          <w:szCs w:val="20"/>
        </w:rPr>
      </w:pPr>
    </w:p>
    <w:p w14:paraId="15FA01C2" w14:textId="77777777" w:rsidR="00A75BD0" w:rsidRDefault="009D4DA5" w:rsidP="0BA40188">
      <w:pPr>
        <w:rPr>
          <w:rFonts w:ascii="Arial" w:eastAsia="Arial" w:hAnsi="Arial" w:cs="Arial"/>
          <w:sz w:val="20"/>
          <w:szCs w:val="20"/>
          <w:lang w:val="fr-FR"/>
        </w:rPr>
      </w:pPr>
      <w:r w:rsidRPr="0BA40188">
        <w:rPr>
          <w:rFonts w:ascii="Arial" w:eastAsia="Arial" w:hAnsi="Arial" w:cs="Arial"/>
          <w:sz w:val="20"/>
          <w:szCs w:val="20"/>
          <w:lang w:val="fr-FR"/>
        </w:rPr>
        <w:t>Contre-indications</w:t>
      </w:r>
      <w:r>
        <w:br/>
      </w:r>
      <w:r w:rsidRPr="0BA40188">
        <w:rPr>
          <w:rFonts w:ascii="Arial" w:eastAsia="Arial" w:hAnsi="Arial" w:cs="Arial"/>
          <w:sz w:val="20"/>
          <w:szCs w:val="20"/>
          <w:lang w:val="fr-FR"/>
        </w:rPr>
        <w:t>Ne prenez jamais le bevacizumab :</w:t>
      </w:r>
    </w:p>
    <w:p w14:paraId="33222188" w14:textId="77777777" w:rsidR="00A75BD0" w:rsidRDefault="009D4DA5" w:rsidP="0BA40188">
      <w:pPr>
        <w:rPr>
          <w:rFonts w:ascii="Arial" w:eastAsia="Arial" w:hAnsi="Arial" w:cs="Arial"/>
          <w:sz w:val="20"/>
          <w:szCs w:val="20"/>
          <w:lang w:val="fr-FR"/>
        </w:rPr>
      </w:pPr>
      <w:r w:rsidRPr="0BA40188">
        <w:rPr>
          <w:rFonts w:ascii="Arial" w:eastAsia="Arial" w:hAnsi="Arial" w:cs="Arial"/>
          <w:sz w:val="20"/>
          <w:szCs w:val="20"/>
          <w:lang w:val="fr-FR"/>
        </w:rPr>
        <w:t>•</w:t>
      </w:r>
      <w:r>
        <w:tab/>
      </w:r>
      <w:r w:rsidRPr="0BA40188">
        <w:rPr>
          <w:rFonts w:ascii="Arial" w:eastAsia="Arial" w:hAnsi="Arial" w:cs="Arial"/>
          <w:sz w:val="20"/>
          <w:szCs w:val="20"/>
          <w:lang w:val="fr-FR"/>
        </w:rPr>
        <w:t xml:space="preserve">Si vous êtes allergique (hypersensible) au bevacizumab ou à l’un des autres composants </w:t>
      </w:r>
      <w:r>
        <w:br/>
      </w:r>
      <w:r w:rsidRPr="0BA40188">
        <w:rPr>
          <w:rFonts w:ascii="Arial" w:eastAsia="Arial" w:hAnsi="Arial" w:cs="Arial"/>
          <w:sz w:val="20"/>
          <w:szCs w:val="20"/>
          <w:lang w:val="fr-FR"/>
        </w:rPr>
        <w:t xml:space="preserve">             contenus dans ce médicament mentionné dans la rubrique 6 de la notice destinée au patient.</w:t>
      </w:r>
    </w:p>
    <w:p w14:paraId="3F6D1EC5" w14:textId="77777777" w:rsidR="00A75BD0" w:rsidRDefault="009D4DA5">
      <w:pPr>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Si vous êtes allergique (hypersensible) à un produit obtenu à partir de cellules ovariennes de</w:t>
      </w:r>
      <w:r>
        <w:rPr>
          <w:rFonts w:ascii="Arial" w:eastAsia="Arial" w:hAnsi="Arial" w:cs="Arial"/>
          <w:sz w:val="20"/>
          <w:szCs w:val="20"/>
        </w:rPr>
        <w:br/>
        <w:t xml:space="preserve">             hamster chinois (CHO) ou à un autre anticorps recombinant humain ou humanisé.</w:t>
      </w:r>
    </w:p>
    <w:p w14:paraId="58424687" w14:textId="77777777" w:rsidR="00A75BD0" w:rsidRDefault="009D4DA5">
      <w:pPr>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Si vous êtes enceinte. </w:t>
      </w:r>
    </w:p>
    <w:p w14:paraId="01989684" w14:textId="77777777" w:rsidR="00A75BD0" w:rsidRDefault="009D4DA5">
      <w:pPr>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Antécédent de thrombose profonde dans les 6 mois précédent le traitement</w:t>
      </w:r>
    </w:p>
    <w:p w14:paraId="55D307E4" w14:textId="77777777" w:rsidR="00A75BD0" w:rsidRDefault="009D4DA5">
      <w:pPr>
        <w:rPr>
          <w:rFonts w:ascii="Arial" w:eastAsia="Arial" w:hAnsi="Arial" w:cs="Arial"/>
          <w:color w:val="000000"/>
        </w:rPr>
      </w:pPr>
      <w:r>
        <w:rPr>
          <w:rFonts w:ascii="Arial" w:eastAsia="Arial" w:hAnsi="Arial" w:cs="Arial"/>
          <w:sz w:val="20"/>
          <w:szCs w:val="20"/>
        </w:rPr>
        <w:t>•</w:t>
      </w:r>
      <w:r>
        <w:rPr>
          <w:rFonts w:ascii="Arial" w:eastAsia="Arial" w:hAnsi="Arial" w:cs="Arial"/>
          <w:sz w:val="20"/>
          <w:szCs w:val="20"/>
        </w:rPr>
        <w:tab/>
        <w:t>Plaies non cicatrisées</w:t>
      </w:r>
    </w:p>
    <w:p w14:paraId="1BE289AD" w14:textId="77777777" w:rsidR="00A75BD0" w:rsidRDefault="009D4DA5">
      <w:pPr>
        <w:spacing w:before="120"/>
        <w:ind w:right="46"/>
        <w:jc w:val="both"/>
        <w:rPr>
          <w:rFonts w:ascii="Arial" w:eastAsia="Arial" w:hAnsi="Arial" w:cs="Arial"/>
          <w:sz w:val="20"/>
          <w:szCs w:val="20"/>
        </w:rPr>
      </w:pPr>
      <w:r>
        <w:rPr>
          <w:rFonts w:ascii="Arial" w:eastAsia="Arial" w:hAnsi="Arial" w:cs="Arial"/>
          <w:sz w:val="20"/>
          <w:szCs w:val="20"/>
        </w:rPr>
        <w:t xml:space="preserve">Les mises en garde et précautions d’emploi et les effets indésirables sont identiques à ceux de l’AMM. </w:t>
      </w:r>
    </w:p>
    <w:p w14:paraId="5CC87A9A" w14:textId="77777777" w:rsidR="00A75BD0" w:rsidRDefault="00A75BD0">
      <w:pPr>
        <w:pBdr>
          <w:top w:val="nil"/>
          <w:left w:val="nil"/>
          <w:bottom w:val="nil"/>
          <w:right w:val="nil"/>
          <w:between w:val="nil"/>
        </w:pBdr>
        <w:ind w:right="70"/>
        <w:jc w:val="both"/>
        <w:rPr>
          <w:rFonts w:ascii="Arial" w:eastAsia="Arial" w:hAnsi="Arial" w:cs="Arial"/>
          <w:color w:val="000000"/>
          <w:sz w:val="20"/>
          <w:szCs w:val="20"/>
        </w:rPr>
      </w:pPr>
    </w:p>
    <w:p w14:paraId="12144E19" w14:textId="77777777" w:rsidR="00A75BD0" w:rsidRDefault="009D4DA5">
      <w:pPr>
        <w:pBdr>
          <w:top w:val="nil"/>
          <w:left w:val="nil"/>
          <w:bottom w:val="nil"/>
          <w:right w:val="nil"/>
          <w:between w:val="nil"/>
        </w:pBdr>
        <w:ind w:right="70"/>
        <w:jc w:val="both"/>
        <w:rPr>
          <w:rFonts w:ascii="Arial" w:eastAsia="Arial" w:hAnsi="Arial" w:cs="Arial"/>
          <w:color w:val="0562C1"/>
          <w:sz w:val="20"/>
          <w:szCs w:val="20"/>
          <w:u w:val="single"/>
        </w:rPr>
      </w:pPr>
      <w:r>
        <w:rPr>
          <w:rFonts w:ascii="Arial" w:eastAsia="Arial" w:hAnsi="Arial" w:cs="Arial"/>
          <w:color w:val="000000"/>
          <w:sz w:val="20"/>
          <w:szCs w:val="20"/>
        </w:rPr>
        <w:t xml:space="preserve">En plus de la présente note d’information, le médecin vous remettra la notice destinée au patient, laquelle ne mentionne pas l’indication du présent CPC mais vous informe notamment des contre-indications, mises en garde et effets indésirables. Elle est également consultable sur la base de données publique des médicaments : </w:t>
      </w:r>
      <w:hyperlink r:id="rId62">
        <w:r>
          <w:rPr>
            <w:rFonts w:ascii="Arial" w:eastAsia="Arial" w:hAnsi="Arial" w:cs="Arial"/>
            <w:color w:val="0562C1"/>
            <w:sz w:val="20"/>
            <w:szCs w:val="20"/>
            <w:u w:val="single"/>
          </w:rPr>
          <w:t>http://base-</w:t>
        </w:r>
      </w:hyperlink>
      <w:r>
        <w:rPr>
          <w:rFonts w:ascii="Arial" w:eastAsia="Arial" w:hAnsi="Arial" w:cs="Arial"/>
          <w:color w:val="0562C1"/>
          <w:sz w:val="20"/>
          <w:szCs w:val="20"/>
        </w:rPr>
        <w:t xml:space="preserve"> </w:t>
      </w:r>
      <w:r>
        <w:rPr>
          <w:rFonts w:ascii="Arial" w:eastAsia="Arial" w:hAnsi="Arial" w:cs="Arial"/>
          <w:color w:val="0562C1"/>
          <w:sz w:val="20"/>
          <w:szCs w:val="20"/>
          <w:u w:val="single"/>
        </w:rPr>
        <w:t>donnees-publique.medicaments.gouv.fr/.</w:t>
      </w:r>
    </w:p>
    <w:p w14:paraId="3004DAFE" w14:textId="77777777" w:rsidR="00A75BD0" w:rsidRDefault="009D4DA5">
      <w:pPr>
        <w:pBdr>
          <w:top w:val="nil"/>
          <w:left w:val="nil"/>
          <w:bottom w:val="nil"/>
          <w:right w:val="nil"/>
          <w:between w:val="nil"/>
        </w:pBdr>
        <w:ind w:right="70"/>
        <w:jc w:val="both"/>
        <w:rPr>
          <w:rFonts w:ascii="Arial" w:eastAsia="Arial" w:hAnsi="Arial" w:cs="Arial"/>
          <w:color w:val="000000"/>
          <w:sz w:val="20"/>
          <w:szCs w:val="20"/>
        </w:rPr>
      </w:pPr>
      <w:r>
        <w:rPr>
          <w:rFonts w:ascii="Arial" w:eastAsia="Arial" w:hAnsi="Arial" w:cs="Arial"/>
          <w:color w:val="000000"/>
          <w:sz w:val="20"/>
          <w:szCs w:val="20"/>
        </w:rPr>
        <w:t>Il est indispensable que vous la lisiez attentivement. En effet, cette notice contient des informations importantes pour votre traitement et vous devrez la montrer, ainsi que la présente note d’information, à tous les médecins que vous serez amené à consulter.</w:t>
      </w:r>
    </w:p>
    <w:p w14:paraId="455207CF" w14:textId="77777777" w:rsidR="00A75BD0" w:rsidRDefault="00A75BD0">
      <w:pPr>
        <w:pBdr>
          <w:top w:val="nil"/>
          <w:left w:val="nil"/>
          <w:bottom w:val="nil"/>
          <w:right w:val="nil"/>
          <w:between w:val="nil"/>
        </w:pBdr>
        <w:ind w:right="352"/>
        <w:jc w:val="both"/>
        <w:rPr>
          <w:rFonts w:ascii="Arial" w:eastAsia="Arial" w:hAnsi="Arial" w:cs="Arial"/>
          <w:color w:val="000000"/>
          <w:sz w:val="20"/>
          <w:szCs w:val="20"/>
        </w:rPr>
      </w:pPr>
    </w:p>
    <w:p w14:paraId="77025940" w14:textId="77777777" w:rsidR="00A75BD0" w:rsidRDefault="009D4DA5">
      <w:pPr>
        <w:tabs>
          <w:tab w:val="left" w:pos="567"/>
        </w:tabs>
        <w:spacing w:before="120" w:after="0" w:line="240" w:lineRule="auto"/>
        <w:jc w:val="both"/>
        <w:rPr>
          <w:rFonts w:ascii="Arial" w:eastAsia="Arial" w:hAnsi="Arial" w:cs="Arial"/>
          <w:b/>
          <w:sz w:val="20"/>
          <w:szCs w:val="20"/>
        </w:rPr>
      </w:pPr>
      <w:r>
        <w:rPr>
          <w:rFonts w:ascii="Arial" w:eastAsia="Arial" w:hAnsi="Arial" w:cs="Arial"/>
          <w:b/>
          <w:sz w:val="20"/>
          <w:szCs w:val="20"/>
        </w:rPr>
        <w:t>Modalités de signalement des effets indésirables par le patient</w:t>
      </w:r>
    </w:p>
    <w:p w14:paraId="3026F046" w14:textId="77777777" w:rsidR="00A75BD0" w:rsidRDefault="00A75BD0">
      <w:pPr>
        <w:tabs>
          <w:tab w:val="left" w:pos="567"/>
        </w:tabs>
        <w:spacing w:after="0" w:line="240" w:lineRule="auto"/>
        <w:jc w:val="both"/>
        <w:rPr>
          <w:rFonts w:ascii="Arial" w:eastAsia="Arial" w:hAnsi="Arial" w:cs="Arial"/>
          <w:b/>
          <w:sz w:val="20"/>
          <w:szCs w:val="20"/>
        </w:rPr>
      </w:pPr>
    </w:p>
    <w:p w14:paraId="60DC895D" w14:textId="77777777" w:rsidR="00A75BD0" w:rsidRDefault="009D4DA5">
      <w:pPr>
        <w:jc w:val="both"/>
        <w:rPr>
          <w:rFonts w:ascii="Arial" w:eastAsia="Arial" w:hAnsi="Arial" w:cs="Arial"/>
          <w:sz w:val="20"/>
          <w:szCs w:val="20"/>
        </w:rPr>
      </w:pPr>
      <w:r>
        <w:rPr>
          <w:rFonts w:ascii="Arial" w:eastAsia="Arial" w:hAnsi="Arial" w:cs="Arial"/>
          <w:sz w:val="20"/>
          <w:szCs w:val="20"/>
        </w:rPr>
        <w:t>Si vous ressentez un quelconque effet indésirable, parlez-en à votre médecin ou à votre pharmacien.</w:t>
      </w:r>
    </w:p>
    <w:p w14:paraId="078EB01F" w14:textId="77777777" w:rsidR="00A75BD0" w:rsidRDefault="009D4DA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Vous avez également la possibilité de signaler directement tout effet indésirable susceptible d'être lié au médicament via le portail de signalement </w:t>
      </w:r>
      <w:r>
        <w:rPr>
          <w:rFonts w:ascii="Arial" w:eastAsia="Arial" w:hAnsi="Arial" w:cs="Arial"/>
          <w:color w:val="0562C1"/>
          <w:sz w:val="20"/>
          <w:szCs w:val="20"/>
          <w:u w:val="single"/>
        </w:rPr>
        <w:t xml:space="preserve"> </w:t>
      </w:r>
      <w:hyperlink r:id="rId63">
        <w:r>
          <w:rPr>
            <w:rFonts w:ascii="Arial" w:eastAsia="Arial" w:hAnsi="Arial" w:cs="Arial"/>
            <w:color w:val="0562C1"/>
            <w:sz w:val="20"/>
            <w:szCs w:val="20"/>
            <w:u w:val="single"/>
          </w:rPr>
          <w:t>signalement.social-sante.gouv.fr</w:t>
        </w:r>
      </w:hyperlink>
      <w:r>
        <w:rPr>
          <w:rFonts w:ascii="Arial" w:eastAsia="Arial" w:hAnsi="Arial" w:cs="Arial"/>
          <w:color w:val="0562C1"/>
          <w:sz w:val="20"/>
          <w:szCs w:val="20"/>
          <w:u w:val="single"/>
        </w:rPr>
        <w:t>.</w:t>
      </w:r>
    </w:p>
    <w:p w14:paraId="080747FE" w14:textId="77777777" w:rsidR="00A75BD0" w:rsidRDefault="009D4DA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Votre déclaration doit préciser que vous êtes pris en charge dans le contexte d’un CPC. En signalant les effets indésirables, vous contribuez à fournir davantage d'informations sur la sécurité de ce médicament.</w:t>
      </w:r>
    </w:p>
    <w:p w14:paraId="1A618DA1" w14:textId="77777777" w:rsidR="00A75BD0" w:rsidRDefault="009D4DA5" w:rsidP="0BA40188">
      <w:pPr>
        <w:jc w:val="both"/>
        <w:rPr>
          <w:rFonts w:ascii="Arial" w:eastAsia="Arial" w:hAnsi="Arial" w:cs="Arial"/>
          <w:b/>
          <w:bCs/>
          <w:sz w:val="20"/>
          <w:szCs w:val="20"/>
          <w:lang w:val="fr-FR"/>
        </w:rPr>
      </w:pPr>
      <w:r w:rsidRPr="0BA40188">
        <w:rPr>
          <w:rFonts w:ascii="Arial" w:eastAsia="Arial" w:hAnsi="Arial" w:cs="Arial"/>
          <w:sz w:val="20"/>
          <w:szCs w:val="20"/>
          <w:lang w:val="fr-FR"/>
        </w:rPr>
        <w:t>Naturellement, la décision d’accepter un traitement par du bevacizumab vous appartient totalement. Vous pouvez refuser le traitement si vous le souhaitez.</w:t>
      </w:r>
      <w:r w:rsidRPr="0BA40188">
        <w:rPr>
          <w:rFonts w:ascii="Arial" w:eastAsia="Arial" w:hAnsi="Arial" w:cs="Arial"/>
          <w:b/>
          <w:bCs/>
          <w:sz w:val="20"/>
          <w:szCs w:val="20"/>
          <w:lang w:val="fr-FR"/>
        </w:rPr>
        <w:t xml:space="preserve"> </w:t>
      </w:r>
    </w:p>
    <w:p w14:paraId="2B830F5D" w14:textId="77777777" w:rsidR="00A75BD0" w:rsidRDefault="00A75BD0">
      <w:pPr>
        <w:rPr>
          <w:rFonts w:ascii="Arial" w:eastAsia="Arial" w:hAnsi="Arial" w:cs="Arial"/>
          <w:sz w:val="20"/>
          <w:szCs w:val="20"/>
        </w:rPr>
      </w:pPr>
    </w:p>
    <w:p w14:paraId="5DF12D43" w14:textId="77777777" w:rsidR="00A75BD0" w:rsidRDefault="009D4DA5">
      <w:pPr>
        <w:rPr>
          <w:rFonts w:ascii="Arial" w:eastAsia="Arial" w:hAnsi="Arial" w:cs="Arial"/>
          <w:b/>
          <w:sz w:val="20"/>
          <w:szCs w:val="20"/>
        </w:rPr>
      </w:pPr>
      <w:r>
        <w:rPr>
          <w:rFonts w:ascii="Arial" w:eastAsia="Arial" w:hAnsi="Arial" w:cs="Arial"/>
          <w:b/>
          <w:sz w:val="20"/>
          <w:szCs w:val="20"/>
        </w:rPr>
        <w:t xml:space="preserve">Traitement de vos données personnelles </w:t>
      </w:r>
    </w:p>
    <w:p w14:paraId="08625250"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Le traitement par un médicament dans un cadre de prescription compassionnelle avec un protocole d’utilisation thérapeutique et de suivi des patients (PUT-SP) implique le recueil de données personnelles concernant votre santé. </w:t>
      </w:r>
    </w:p>
    <w:p w14:paraId="3EFC7AEA" w14:textId="77777777" w:rsidR="00A75BD0" w:rsidRDefault="009D4DA5" w:rsidP="0BA40188">
      <w:pPr>
        <w:jc w:val="both"/>
        <w:rPr>
          <w:i/>
          <w:iCs/>
          <w:lang w:val="fr-FR"/>
        </w:rPr>
      </w:pPr>
      <w:r w:rsidRPr="0BA40188">
        <w:rPr>
          <w:rFonts w:ascii="Arial" w:eastAsia="Arial" w:hAnsi="Arial" w:cs="Arial"/>
          <w:sz w:val="20"/>
          <w:szCs w:val="20"/>
          <w:lang w:val="fr-FR"/>
        </w:rPr>
        <w:t>Vous trouverez des informations complémentaires relatives à vos droits dans l’annexe 4a. « Note d’information sur le traitement des données personnelles à destination des patients »</w:t>
      </w:r>
      <w:r w:rsidRPr="0BA40188">
        <w:rPr>
          <w:lang w:val="fr-FR"/>
        </w:rPr>
        <w:br w:type="page"/>
      </w:r>
    </w:p>
    <w:p w14:paraId="77043128" w14:textId="77777777" w:rsidR="00A75BD0" w:rsidRDefault="009D4DA5">
      <w:pPr>
        <w:pStyle w:val="Titre2"/>
        <w:rPr>
          <w:rFonts w:ascii="Arial Narrow" w:eastAsia="Arial Narrow" w:hAnsi="Arial Narrow" w:cs="Arial Narrow"/>
          <w:sz w:val="28"/>
          <w:szCs w:val="28"/>
        </w:rPr>
      </w:pPr>
      <w:r>
        <w:rPr>
          <w:rFonts w:ascii="Arial Narrow" w:eastAsia="Arial Narrow" w:hAnsi="Arial Narrow" w:cs="Arial Narrow"/>
          <w:b/>
          <w:sz w:val="28"/>
          <w:szCs w:val="28"/>
        </w:rPr>
        <w:t>ANNEXE 4 :</w:t>
      </w:r>
      <w:r>
        <w:rPr>
          <w:rFonts w:ascii="Arial Narrow" w:eastAsia="Arial Narrow" w:hAnsi="Arial Narrow" w:cs="Arial Narrow"/>
          <w:sz w:val="28"/>
          <w:szCs w:val="28"/>
        </w:rPr>
        <w:t xml:space="preserve"> </w:t>
      </w:r>
      <w:r>
        <w:rPr>
          <w:rFonts w:ascii="Arial Narrow" w:eastAsia="Arial Narrow" w:hAnsi="Arial Narrow" w:cs="Arial Narrow"/>
          <w:b/>
          <w:sz w:val="28"/>
          <w:szCs w:val="28"/>
        </w:rPr>
        <w:t>Note d’information sur le traitement des données personnelles</w:t>
      </w:r>
    </w:p>
    <w:p w14:paraId="76DEB6AD" w14:textId="77777777" w:rsidR="00A75BD0" w:rsidRDefault="00A75BD0">
      <w:pPr>
        <w:jc w:val="both"/>
        <w:rPr>
          <w:rFonts w:ascii="Arial" w:eastAsia="Arial" w:hAnsi="Arial" w:cs="Arial"/>
          <w:sz w:val="20"/>
          <w:szCs w:val="20"/>
        </w:rPr>
      </w:pPr>
    </w:p>
    <w:p w14:paraId="59130175" w14:textId="77777777" w:rsidR="00A75BD0" w:rsidRDefault="009D4DA5">
      <w:pPr>
        <w:pBdr>
          <w:top w:val="nil"/>
          <w:left w:val="nil"/>
          <w:bottom w:val="nil"/>
          <w:right w:val="nil"/>
          <w:between w:val="nil"/>
        </w:pBdr>
        <w:spacing w:line="240" w:lineRule="auto"/>
        <w:rPr>
          <w:rFonts w:ascii="Arial" w:eastAsia="Arial" w:hAnsi="Arial" w:cs="Arial"/>
          <w:color w:val="538135"/>
        </w:rPr>
      </w:pPr>
      <w:r>
        <w:rPr>
          <w:rFonts w:ascii="Arial Narrow" w:eastAsia="Arial Narrow" w:hAnsi="Arial Narrow" w:cs="Arial Narrow"/>
          <w:color w:val="2E75B5"/>
          <w:sz w:val="28"/>
          <w:szCs w:val="28"/>
        </w:rPr>
        <w:t>Annexe 4a. Note d’information sur le traitement des données personnelles à destination des patients</w:t>
      </w:r>
    </w:p>
    <w:p w14:paraId="492BD406" w14:textId="77777777" w:rsidR="00A75BD0" w:rsidRDefault="00A75BD0">
      <w:pPr>
        <w:ind w:firstLine="709"/>
        <w:rPr>
          <w:rFonts w:ascii="Arial" w:eastAsia="Arial" w:hAnsi="Arial" w:cs="Arial"/>
          <w:b/>
          <w:color w:val="538135"/>
          <w:sz w:val="20"/>
          <w:szCs w:val="20"/>
        </w:rPr>
      </w:pPr>
    </w:p>
    <w:p w14:paraId="3171C0F3" w14:textId="77777777" w:rsidR="00A75BD0" w:rsidRDefault="009D4DA5">
      <w:pPr>
        <w:jc w:val="both"/>
        <w:rPr>
          <w:rFonts w:ascii="Arial" w:eastAsia="Arial" w:hAnsi="Arial" w:cs="Arial"/>
          <w:sz w:val="20"/>
          <w:szCs w:val="20"/>
        </w:rPr>
      </w:pPr>
      <w:r>
        <w:rPr>
          <w:rFonts w:ascii="Arial" w:eastAsia="Arial" w:hAnsi="Arial" w:cs="Arial"/>
          <w:sz w:val="20"/>
          <w:szCs w:val="20"/>
        </w:rPr>
        <w:t>Un médicament prescrit au titre d’un cadre de prescription compassionnelle (CPC) vous a été délivré par votre médecin avec un</w:t>
      </w:r>
      <w:r>
        <w:rPr>
          <w:rFonts w:ascii="Arial" w:eastAsia="Arial" w:hAnsi="Arial" w:cs="Arial"/>
          <w:b/>
          <w:sz w:val="20"/>
          <w:szCs w:val="20"/>
        </w:rPr>
        <w:t xml:space="preserve"> </w:t>
      </w:r>
      <w:r>
        <w:rPr>
          <w:rFonts w:ascii="Arial" w:eastAsia="Arial" w:hAnsi="Arial" w:cs="Arial"/>
          <w:sz w:val="20"/>
          <w:szCs w:val="20"/>
        </w:rPr>
        <w:t>protocole d’utilisation thérapeutique et de suivi des patients (PUT-SP) implique un traitement de données personnelles relatives à votre santé. Ces données personnelles sont des informations qui portent sur vous, votre santé, vos habitudes de vie.</w:t>
      </w:r>
    </w:p>
    <w:p w14:paraId="7403EACA" w14:textId="77777777" w:rsidR="00A75BD0" w:rsidRDefault="009D4DA5">
      <w:pPr>
        <w:jc w:val="both"/>
        <w:rPr>
          <w:rFonts w:ascii="Arial" w:eastAsia="Arial" w:hAnsi="Arial" w:cs="Arial"/>
          <w:sz w:val="20"/>
          <w:szCs w:val="20"/>
        </w:rPr>
      </w:pPr>
      <w:r>
        <w:rPr>
          <w:rFonts w:ascii="Arial" w:eastAsia="Arial" w:hAnsi="Arial" w:cs="Arial"/>
          <w:sz w:val="20"/>
          <w:szCs w:val="20"/>
        </w:rPr>
        <w:t>Ce document vous informe sur les données personnelles qui sont recueillies et leur traitement, c’est-à-dire l’utilisation qui en sera faite</w:t>
      </w:r>
      <w:r>
        <w:t xml:space="preserve"> </w:t>
      </w:r>
      <w:r>
        <w:rPr>
          <w:rFonts w:ascii="Arial" w:eastAsia="Arial" w:hAnsi="Arial" w:cs="Arial"/>
          <w:sz w:val="20"/>
          <w:szCs w:val="20"/>
        </w:rPr>
        <w:t xml:space="preserve">dans ce cadre précis. </w:t>
      </w:r>
    </w:p>
    <w:p w14:paraId="55533048"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Les co-responsables du traitement des données sont les laboratoires</w:t>
      </w:r>
      <w:r w:rsidRPr="0BA40188">
        <w:rPr>
          <w:lang w:val="fr-FR"/>
        </w:rPr>
        <w:t xml:space="preserve"> </w:t>
      </w:r>
      <w:r w:rsidRPr="0BA40188">
        <w:rPr>
          <w:rFonts w:ascii="Arial" w:eastAsia="Arial" w:hAnsi="Arial" w:cs="Arial"/>
          <w:sz w:val="20"/>
          <w:szCs w:val="20"/>
          <w:lang w:val="fr-FR"/>
        </w:rPr>
        <w:t>Roche SAS, Pfizer</w:t>
      </w:r>
      <w:r w:rsidRPr="0BA40188">
        <w:rPr>
          <w:lang w:val="fr-FR"/>
        </w:rPr>
        <w:t>,</w:t>
      </w:r>
      <w:r w:rsidRPr="0BA40188">
        <w:rPr>
          <w:rFonts w:ascii="Arial" w:eastAsia="Arial" w:hAnsi="Arial" w:cs="Arial"/>
          <w:sz w:val="20"/>
          <w:szCs w:val="20"/>
          <w:lang w:val="fr-FR"/>
        </w:rPr>
        <w:t xml:space="preserve"> Celltrion Healthcare, Amgen, Biocon</w:t>
      </w:r>
      <w:r w:rsidRPr="0BA40188">
        <w:rPr>
          <w:lang w:val="fr-FR"/>
        </w:rPr>
        <w:t xml:space="preserve">, et </w:t>
      </w:r>
      <w:r w:rsidRPr="0BA40188">
        <w:rPr>
          <w:rFonts w:ascii="Arial" w:eastAsia="Arial" w:hAnsi="Arial" w:cs="Arial"/>
          <w:sz w:val="20"/>
          <w:szCs w:val="20"/>
          <w:lang w:val="fr-FR"/>
        </w:rPr>
        <w:t>Organon France</w:t>
      </w:r>
      <w:r w:rsidRPr="0BA40188">
        <w:rPr>
          <w:lang w:val="fr-FR"/>
        </w:rPr>
        <w:t xml:space="preserve">     </w:t>
      </w:r>
      <w:r w:rsidRPr="0BA40188">
        <w:rPr>
          <w:rFonts w:ascii="Arial" w:eastAsia="Arial" w:hAnsi="Arial" w:cs="Arial"/>
          <w:sz w:val="20"/>
          <w:szCs w:val="20"/>
          <w:lang w:val="fr-FR"/>
        </w:rPr>
        <w:t>, ainsi que les Hospices Civils de Lyon. Il s’agit des laboratoires exploitant le médicament qui vous a été prescrit au titre du cadre de prescription compassionnelle, et des Hopitaux civils de Lyon, hôpital organisant la collecte des données.</w:t>
      </w:r>
      <w:r w:rsidRPr="0BA40188">
        <w:rPr>
          <w:rFonts w:ascii="Arial" w:eastAsia="Arial" w:hAnsi="Arial" w:cs="Arial"/>
          <w:sz w:val="20"/>
          <w:szCs w:val="20"/>
          <w:highlight w:val="white"/>
          <w:lang w:val="fr-FR"/>
        </w:rPr>
        <w:t xml:space="preserve"> Les coordonnées de chacun des co-responsables de traitement sont indiquées en fin de notice</w:t>
      </w:r>
      <w:r w:rsidRPr="0BA40188">
        <w:rPr>
          <w:rFonts w:ascii="Arial" w:eastAsia="Arial" w:hAnsi="Arial" w:cs="Arial"/>
          <w:sz w:val="20"/>
          <w:szCs w:val="20"/>
          <w:lang w:val="fr-FR"/>
        </w:rPr>
        <w:t>.</w:t>
      </w:r>
    </w:p>
    <w:p w14:paraId="73701F62" w14:textId="77777777" w:rsidR="00A75BD0" w:rsidRDefault="00A75BD0">
      <w:pPr>
        <w:jc w:val="both"/>
      </w:pPr>
    </w:p>
    <w:p w14:paraId="2F70DBA7" w14:textId="77777777" w:rsidR="00A75BD0" w:rsidRDefault="009D4DA5">
      <w:pPr>
        <w:jc w:val="both"/>
      </w:pPr>
      <w:r>
        <w:rPr>
          <w:rFonts w:ascii="Arial" w:eastAsia="Arial" w:hAnsi="Arial" w:cs="Arial"/>
          <w:sz w:val="20"/>
          <w:szCs w:val="20"/>
        </w:rPr>
        <w:t xml:space="preserve">Pour toute question ou demande concernant le traitement de vos données, vous pouvez contacter le délégué à la protection des données des Hospices Civils de </w:t>
      </w:r>
      <w:r>
        <w:rPr>
          <w:rFonts w:ascii="Arial" w:eastAsia="Arial" w:hAnsi="Arial" w:cs="Arial"/>
          <w:sz w:val="20"/>
          <w:szCs w:val="20"/>
          <w:highlight w:val="white"/>
        </w:rPr>
        <w:t xml:space="preserve">Lyon : </w:t>
      </w:r>
    </w:p>
    <w:p w14:paraId="17A7629F" w14:textId="77777777" w:rsidR="00A75BD0" w:rsidRDefault="00A75BD0">
      <w:pPr>
        <w:jc w:val="both"/>
        <w:rPr>
          <w:rFonts w:ascii="Arial" w:eastAsia="Arial" w:hAnsi="Arial" w:cs="Arial"/>
          <w:sz w:val="20"/>
          <w:szCs w:val="20"/>
          <w:highlight w:val="white"/>
        </w:rPr>
      </w:pPr>
    </w:p>
    <w:p w14:paraId="0B7F3625" w14:textId="77777777" w:rsidR="00A75BD0" w:rsidRDefault="009D4DA5" w:rsidP="0BA40188">
      <w:pPr>
        <w:numPr>
          <w:ilvl w:val="0"/>
          <w:numId w:val="7"/>
        </w:numPr>
        <w:pBdr>
          <w:top w:val="nil"/>
          <w:left w:val="nil"/>
          <w:bottom w:val="nil"/>
          <w:right w:val="nil"/>
          <w:between w:val="nil"/>
        </w:pBdr>
        <w:spacing w:after="0"/>
        <w:jc w:val="both"/>
        <w:rPr>
          <w:rFonts w:ascii="Arial" w:eastAsia="Arial" w:hAnsi="Arial" w:cs="Arial"/>
          <w:sz w:val="20"/>
          <w:szCs w:val="20"/>
          <w:lang w:val="fr-FR"/>
        </w:rPr>
      </w:pPr>
      <w:r w:rsidRPr="0BA40188">
        <w:rPr>
          <w:rFonts w:ascii="Arial" w:eastAsia="Arial" w:hAnsi="Arial" w:cs="Arial"/>
          <w:sz w:val="20"/>
          <w:szCs w:val="20"/>
          <w:lang w:val="fr-FR"/>
        </w:rPr>
        <w:t>par courrier : Hospices Civils de Lyon - Délégué à la Protection des Données - Direction des affaires Juridiques - 3 quai des Célestins - BP 2251 69229 Lyon cedex 02 ;</w:t>
      </w:r>
    </w:p>
    <w:p w14:paraId="2A4CEEC0" w14:textId="77777777" w:rsidR="00A75BD0" w:rsidRDefault="009D4DA5">
      <w:pPr>
        <w:numPr>
          <w:ilvl w:val="0"/>
          <w:numId w:val="7"/>
        </w:numPr>
        <w:jc w:val="both"/>
      </w:pPr>
      <w:r w:rsidRPr="0BA40188">
        <w:rPr>
          <w:rFonts w:ascii="Arial" w:eastAsia="Arial" w:hAnsi="Arial" w:cs="Arial"/>
          <w:sz w:val="20"/>
          <w:szCs w:val="20"/>
          <w:lang w:val="fr-FR"/>
        </w:rPr>
        <w:t>ou par par email : dpo@chu-lyon.fr.</w:t>
      </w:r>
    </w:p>
    <w:p w14:paraId="64701643" w14:textId="77777777" w:rsidR="00A75BD0" w:rsidRDefault="00A75BD0">
      <w:pPr>
        <w:rPr>
          <w:rFonts w:ascii="Arial" w:eastAsia="Arial" w:hAnsi="Arial" w:cs="Arial"/>
          <w:color w:val="2E75B5"/>
          <w:sz w:val="6"/>
          <w:szCs w:val="6"/>
        </w:rPr>
      </w:pPr>
    </w:p>
    <w:p w14:paraId="3B12F25D" w14:textId="77777777" w:rsidR="00A75BD0" w:rsidRDefault="00A75BD0">
      <w:pPr>
        <w:jc w:val="both"/>
        <w:rPr>
          <w:rFonts w:ascii="Arial" w:eastAsia="Arial" w:hAnsi="Arial" w:cs="Arial"/>
          <w:sz w:val="8"/>
          <w:szCs w:val="8"/>
        </w:rPr>
      </w:pPr>
    </w:p>
    <w:p w14:paraId="60E8B472" w14:textId="77777777" w:rsidR="00A75BD0" w:rsidRDefault="009D4DA5">
      <w:pPr>
        <w:rPr>
          <w:rFonts w:ascii="Arial" w:eastAsia="Arial" w:hAnsi="Arial" w:cs="Arial"/>
          <w:b/>
          <w:color w:val="2E75B5"/>
          <w:sz w:val="20"/>
          <w:szCs w:val="20"/>
        </w:rPr>
      </w:pPr>
      <w:r>
        <w:rPr>
          <w:rFonts w:ascii="Arial" w:eastAsia="Arial" w:hAnsi="Arial" w:cs="Arial"/>
          <w:color w:val="2E75B5"/>
          <w:sz w:val="20"/>
          <w:szCs w:val="20"/>
        </w:rPr>
        <w:t>À quoi vont servir vos données</w:t>
      </w:r>
      <w:r>
        <w:rPr>
          <w:rFonts w:ascii="Arial" w:eastAsia="Arial" w:hAnsi="Arial" w:cs="Arial"/>
          <w:b/>
          <w:color w:val="2E75B5"/>
          <w:sz w:val="20"/>
          <w:szCs w:val="20"/>
        </w:rPr>
        <w:t> </w:t>
      </w:r>
      <w:r>
        <w:rPr>
          <w:rFonts w:ascii="Arial" w:eastAsia="Arial" w:hAnsi="Arial" w:cs="Arial"/>
          <w:color w:val="2E75B5"/>
          <w:sz w:val="20"/>
          <w:szCs w:val="20"/>
        </w:rPr>
        <w:t>?</w:t>
      </w:r>
    </w:p>
    <w:p w14:paraId="5A5F715F"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Pour pouvoir relever d’un CPC, un médicament doit remplir plusieurs critères, notamment présenter plus de bénéfices que de risques. Vos données personnelles et en particulier les informations sur votre réponse et votre tolérance au traitement, permettront d’évaluer en continu si ces critères sont toujours remplis. </w:t>
      </w:r>
    </w:p>
    <w:p w14:paraId="1A8D424C" w14:textId="77777777" w:rsidR="00A75BD0" w:rsidRDefault="009D4DA5">
      <w:pPr>
        <w:spacing w:before="240" w:after="240"/>
        <w:jc w:val="both"/>
        <w:rPr>
          <w:rFonts w:ascii="Arial" w:eastAsia="Arial" w:hAnsi="Arial" w:cs="Arial"/>
          <w:sz w:val="20"/>
          <w:szCs w:val="20"/>
        </w:rPr>
      </w:pPr>
      <w:r>
        <w:rPr>
          <w:rFonts w:ascii="Arial" w:eastAsia="Arial" w:hAnsi="Arial" w:cs="Arial"/>
          <w:sz w:val="20"/>
          <w:szCs w:val="20"/>
        </w:rPr>
        <w:t>Des données de santé vous concernant sont collectées, enregistrées sur support informatique, transmises et analysées par les entités listées dans la présente note d’information par le biais de leur sous-traitant ICTA</w:t>
      </w:r>
      <w:r>
        <w:t xml:space="preserve">     </w:t>
      </w:r>
      <w:r>
        <w:rPr>
          <w:rFonts w:ascii="Arial" w:eastAsia="Arial" w:hAnsi="Arial" w:cs="Arial"/>
          <w:sz w:val="20"/>
          <w:szCs w:val="20"/>
        </w:rPr>
        <w:t>afin de :</w:t>
      </w:r>
    </w:p>
    <w:p w14:paraId="38352FF5" w14:textId="77777777" w:rsidR="00A75BD0" w:rsidRDefault="009D4DA5" w:rsidP="0BA40188">
      <w:pPr>
        <w:numPr>
          <w:ilvl w:val="0"/>
          <w:numId w:val="24"/>
        </w:numPr>
        <w:spacing w:before="240" w:after="0"/>
        <w:jc w:val="both"/>
        <w:rPr>
          <w:rFonts w:ascii="Arial" w:eastAsia="Arial" w:hAnsi="Arial" w:cs="Arial"/>
          <w:sz w:val="20"/>
          <w:szCs w:val="20"/>
          <w:lang w:val="fr-FR"/>
        </w:rPr>
      </w:pPr>
      <w:r w:rsidRPr="0BA40188">
        <w:rPr>
          <w:rFonts w:ascii="Arial" w:eastAsia="Arial" w:hAnsi="Arial" w:cs="Arial"/>
          <w:sz w:val="20"/>
          <w:szCs w:val="20"/>
          <w:lang w:val="fr-FR"/>
        </w:rPr>
        <w:t>permettre l’initiation, le suivi et l’arrêt de la prescription de votre traitement par bevacizumab dans le cadre de prescription compassionnelle ;</w:t>
      </w:r>
    </w:p>
    <w:p w14:paraId="6B7D9561" w14:textId="77777777" w:rsidR="00A75BD0" w:rsidRDefault="009D4DA5" w:rsidP="0BA40188">
      <w:pPr>
        <w:numPr>
          <w:ilvl w:val="0"/>
          <w:numId w:val="24"/>
        </w:numPr>
        <w:spacing w:after="240"/>
        <w:jc w:val="both"/>
        <w:rPr>
          <w:rFonts w:ascii="Arial" w:eastAsia="Arial" w:hAnsi="Arial" w:cs="Arial"/>
          <w:sz w:val="20"/>
          <w:szCs w:val="20"/>
          <w:lang w:val="fr-FR"/>
        </w:rPr>
      </w:pPr>
      <w:r w:rsidRPr="0BA40188">
        <w:rPr>
          <w:rFonts w:ascii="Arial" w:eastAsia="Arial" w:hAnsi="Arial" w:cs="Arial"/>
          <w:sz w:val="20"/>
          <w:szCs w:val="20"/>
          <w:lang w:val="fr-FR"/>
        </w:rPr>
        <w:t>produire un rapport scientifique permettant d'évaluer et de décrire l'efficacité de votre traitement ; et garantir au mieux votre sécurité ainsi que celle de l’ensemble des patients traités.</w:t>
      </w:r>
    </w:p>
    <w:p w14:paraId="4BD8A01A" w14:textId="77777777" w:rsidR="00A75BD0" w:rsidRDefault="00A75BD0">
      <w:pPr>
        <w:jc w:val="both"/>
        <w:rPr>
          <w:rFonts w:ascii="Arial" w:eastAsia="Arial" w:hAnsi="Arial" w:cs="Arial"/>
          <w:sz w:val="20"/>
          <w:szCs w:val="20"/>
        </w:rPr>
      </w:pPr>
    </w:p>
    <w:p w14:paraId="5082D4A5"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Vos données personnelles pourront-elles être réutilisées par la suite ?</w:t>
      </w:r>
    </w:p>
    <w:p w14:paraId="4624978E" w14:textId="77777777" w:rsidR="00A75BD0" w:rsidRDefault="009D4DA5" w:rsidP="5349355A">
      <w:pPr>
        <w:ind w:right="70"/>
        <w:jc w:val="both"/>
        <w:rPr>
          <w:rFonts w:ascii="Arial" w:eastAsia="Arial" w:hAnsi="Arial" w:cs="Arial"/>
          <w:sz w:val="20"/>
          <w:szCs w:val="20"/>
          <w:lang w:val="fr-FR"/>
        </w:rPr>
      </w:pPr>
      <w:r w:rsidRPr="5349355A">
        <w:rPr>
          <w:rFonts w:ascii="Arial" w:eastAsia="Arial" w:hAnsi="Arial" w:cs="Arial"/>
          <w:sz w:val="20"/>
          <w:szCs w:val="20"/>
          <w:lang w:val="fr-FR"/>
        </w:rPr>
        <w:t xml:space="preserve">Ces données pseudonymisées, pourront également être utilisées ensuite pour faire de la recherche, étude ou de l’évaluation dans le domaine de la santé, en particulier sur la maladie de Rendu Osler et dans le domaine des maladies rares. </w:t>
      </w:r>
    </w:p>
    <w:p w14:paraId="04D705B8" w14:textId="77777777" w:rsidR="00A75BD0" w:rsidRDefault="009D4DA5" w:rsidP="5349355A">
      <w:pPr>
        <w:ind w:right="70"/>
        <w:jc w:val="both"/>
        <w:rPr>
          <w:rFonts w:ascii="Arial" w:eastAsia="Arial" w:hAnsi="Arial" w:cs="Arial"/>
          <w:sz w:val="20"/>
          <w:szCs w:val="20"/>
          <w:lang w:val="fr-FR"/>
        </w:rPr>
      </w:pPr>
      <w:r w:rsidRPr="5349355A">
        <w:rPr>
          <w:rFonts w:ascii="Arial" w:eastAsia="Arial" w:hAnsi="Arial" w:cs="Arial"/>
          <w:sz w:val="20"/>
          <w:szCs w:val="20"/>
          <w:lang w:val="fr-FR"/>
        </w:rPr>
        <w:t>Les utilisations de ces données pseudonymisées pour la recherche en santé pourront être organisées par les Hospices Civils de Lyon et pourront être transmises ailleurs dans le monde et réutilisées par des partenaires publics ou privés lors de recherches ultérieures exclusivement à des fins scientifiques. Vous retrouverez les informations relatives à la base de données CIROCO et aux recherches qu’elle permet de mener dans la note d’information dédiée qui vous est délivrée séparément.</w:t>
      </w:r>
    </w:p>
    <w:p w14:paraId="4803233C" w14:textId="77777777" w:rsidR="00A75BD0" w:rsidRDefault="00A75BD0">
      <w:pPr>
        <w:ind w:right="70"/>
        <w:jc w:val="both"/>
        <w:rPr>
          <w:rFonts w:ascii="Arial" w:eastAsia="Arial" w:hAnsi="Arial" w:cs="Arial"/>
          <w:sz w:val="20"/>
          <w:szCs w:val="20"/>
        </w:rPr>
      </w:pPr>
    </w:p>
    <w:p w14:paraId="3B6B81E6"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 xml:space="preserve">Sur quelle loi se fonde le traitement des données ? </w:t>
      </w:r>
    </w:p>
    <w:p w14:paraId="26632AE0"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Ce traitement de données est fondé sur : </w:t>
      </w:r>
    </w:p>
    <w:p w14:paraId="45709071" w14:textId="77777777" w:rsidR="00A75BD0" w:rsidRDefault="009D4DA5" w:rsidP="0BA40188">
      <w:pPr>
        <w:numPr>
          <w:ilvl w:val="0"/>
          <w:numId w:val="27"/>
        </w:numPr>
        <w:spacing w:after="0"/>
        <w:jc w:val="both"/>
        <w:rPr>
          <w:rFonts w:ascii="Arial" w:eastAsia="Arial" w:hAnsi="Arial" w:cs="Arial"/>
          <w:sz w:val="20"/>
          <w:szCs w:val="20"/>
          <w:lang w:val="fr-FR"/>
        </w:rPr>
      </w:pPr>
      <w:r w:rsidRPr="0BA40188">
        <w:rPr>
          <w:rFonts w:ascii="Arial" w:eastAsia="Arial" w:hAnsi="Arial" w:cs="Arial"/>
          <w:sz w:val="20"/>
          <w:szCs w:val="20"/>
          <w:lang w:val="fr-FR"/>
        </w:rPr>
        <w:t xml:space="preserve">une obligation légale à la charge de chaque laboratoire, responsable conjoint du traitement (article 6.1.c du </w:t>
      </w:r>
      <w:hyperlink r:id="rId64">
        <w:r w:rsidRPr="0BA40188">
          <w:rPr>
            <w:rFonts w:ascii="Arial" w:eastAsia="Arial" w:hAnsi="Arial" w:cs="Arial"/>
            <w:color w:val="004990"/>
            <w:sz w:val="20"/>
            <w:szCs w:val="20"/>
            <w:u w:val="single"/>
            <w:lang w:val="fr-FR"/>
          </w:rPr>
          <w:t>RGPD</w:t>
        </w:r>
      </w:hyperlink>
      <w:r w:rsidRPr="0BA40188">
        <w:rPr>
          <w:rFonts w:ascii="Arial" w:eastAsia="Arial" w:hAnsi="Arial" w:cs="Arial"/>
          <w:sz w:val="20"/>
          <w:szCs w:val="20"/>
          <w:lang w:val="fr-FR"/>
        </w:rPr>
        <w:t>), telle que prévue à l’</w:t>
      </w:r>
      <w:hyperlink r:id="rId65">
        <w:r w:rsidRPr="0BA40188">
          <w:rPr>
            <w:rFonts w:ascii="Arial" w:eastAsia="Arial" w:hAnsi="Arial" w:cs="Arial"/>
            <w:color w:val="004990"/>
            <w:sz w:val="20"/>
            <w:szCs w:val="20"/>
            <w:u w:val="single"/>
            <w:lang w:val="fr-FR"/>
          </w:rPr>
          <w:t>article L. 5121-12-1 du code de la santé publique</w:t>
        </w:r>
      </w:hyperlink>
      <w:r w:rsidRPr="0BA40188">
        <w:rPr>
          <w:rFonts w:ascii="Arial" w:eastAsia="Arial" w:hAnsi="Arial" w:cs="Arial"/>
          <w:color w:val="004990"/>
          <w:sz w:val="20"/>
          <w:szCs w:val="20"/>
          <w:u w:val="single"/>
          <w:lang w:val="fr-FR"/>
        </w:rPr>
        <w:t xml:space="preserve"> </w:t>
      </w:r>
      <w:r w:rsidRPr="0BA40188">
        <w:rPr>
          <w:rFonts w:ascii="Arial" w:eastAsia="Arial" w:hAnsi="Arial" w:cs="Arial"/>
          <w:sz w:val="20"/>
          <w:szCs w:val="20"/>
          <w:lang w:val="fr-FR"/>
        </w:rPr>
        <w:t xml:space="preserve">relatif au dispositif d’accès compassionnel aux médicaments ; </w:t>
      </w:r>
    </w:p>
    <w:p w14:paraId="0A621A51" w14:textId="77777777" w:rsidR="00A75BD0" w:rsidRDefault="009D4DA5" w:rsidP="0BA40188">
      <w:pPr>
        <w:numPr>
          <w:ilvl w:val="0"/>
          <w:numId w:val="27"/>
        </w:numPr>
        <w:jc w:val="both"/>
        <w:rPr>
          <w:rFonts w:ascii="Arial" w:eastAsia="Arial" w:hAnsi="Arial" w:cs="Arial"/>
          <w:sz w:val="20"/>
          <w:szCs w:val="20"/>
          <w:lang w:val="fr-FR"/>
        </w:rPr>
      </w:pPr>
      <w:r w:rsidRPr="0BA40188">
        <w:rPr>
          <w:rFonts w:ascii="Arial" w:eastAsia="Arial" w:hAnsi="Arial" w:cs="Arial"/>
          <w:sz w:val="20"/>
          <w:szCs w:val="20"/>
          <w:lang w:val="fr-FR"/>
        </w:rPr>
        <w:t xml:space="preserve">l’intérêt légitime des HCL (article 6.1 f. du RGPD) </w:t>
      </w:r>
    </w:p>
    <w:p w14:paraId="7098520A" w14:textId="77777777" w:rsidR="00A75BD0" w:rsidRDefault="009D4DA5">
      <w:pPr>
        <w:jc w:val="both"/>
        <w:rPr>
          <w:rFonts w:ascii="Arial" w:eastAsia="Arial" w:hAnsi="Arial" w:cs="Arial"/>
          <w:sz w:val="20"/>
          <w:szCs w:val="20"/>
        </w:rPr>
      </w:pPr>
      <w:r>
        <w:rPr>
          <w:rFonts w:ascii="Arial" w:eastAsia="Arial" w:hAnsi="Arial" w:cs="Arial"/>
          <w:sz w:val="20"/>
          <w:szCs w:val="20"/>
        </w:rPr>
        <w:t>La collecte de données de santé est justifiée par des motifs d’intérêt public dans le domaine de la santé (article 9.2.i) du RGPD.</w:t>
      </w:r>
    </w:p>
    <w:p w14:paraId="1E9047D0"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Quelles sont les données collectées ?</w:t>
      </w:r>
    </w:p>
    <w:p w14:paraId="201FCBE8" w14:textId="77777777" w:rsidR="00A75BD0" w:rsidRDefault="009D4DA5">
      <w:pPr>
        <w:spacing w:after="0"/>
        <w:jc w:val="both"/>
        <w:rPr>
          <w:rFonts w:ascii="Arial" w:eastAsia="Arial" w:hAnsi="Arial" w:cs="Arial"/>
          <w:sz w:val="20"/>
          <w:szCs w:val="20"/>
        </w:rPr>
      </w:pPr>
      <w:r>
        <w:rPr>
          <w:rFonts w:ascii="Arial" w:eastAsia="Arial" w:hAnsi="Arial" w:cs="Arial"/>
          <w:sz w:val="20"/>
          <w:szCs w:val="20"/>
        </w:rPr>
        <w:t>Votre médecin qui vous a</w:t>
      </w:r>
      <w:r>
        <w:rPr>
          <w:rFonts w:ascii="Arial" w:eastAsia="Arial" w:hAnsi="Arial" w:cs="Arial"/>
          <w:color w:val="7030A0"/>
          <w:sz w:val="20"/>
          <w:szCs w:val="20"/>
        </w:rPr>
        <w:t xml:space="preserve"> </w:t>
      </w:r>
      <w:r>
        <w:rPr>
          <w:rFonts w:ascii="Arial" w:eastAsia="Arial" w:hAnsi="Arial" w:cs="Arial"/>
          <w:sz w:val="20"/>
          <w:szCs w:val="20"/>
        </w:rPr>
        <w:t>prescrit</w:t>
      </w:r>
      <w:r>
        <w:rPr>
          <w:rFonts w:ascii="Arial" w:eastAsia="Arial" w:hAnsi="Arial" w:cs="Arial"/>
          <w:color w:val="7030A0"/>
          <w:sz w:val="20"/>
          <w:szCs w:val="20"/>
        </w:rPr>
        <w:t xml:space="preserve"> </w:t>
      </w:r>
      <w:r>
        <w:rPr>
          <w:rFonts w:ascii="Arial" w:eastAsia="Arial" w:hAnsi="Arial" w:cs="Arial"/>
          <w:sz w:val="20"/>
          <w:szCs w:val="20"/>
        </w:rPr>
        <w:t>le médicament sera</w:t>
      </w:r>
      <w:r>
        <w:rPr>
          <w:rFonts w:ascii="Arial" w:eastAsia="Arial" w:hAnsi="Arial" w:cs="Arial"/>
          <w:i/>
          <w:color w:val="7030A0"/>
          <w:sz w:val="20"/>
          <w:szCs w:val="20"/>
        </w:rPr>
        <w:t xml:space="preserve"> </w:t>
      </w:r>
      <w:r>
        <w:rPr>
          <w:rFonts w:ascii="Arial" w:eastAsia="Arial" w:hAnsi="Arial" w:cs="Arial"/>
          <w:sz w:val="20"/>
          <w:szCs w:val="20"/>
        </w:rPr>
        <w:t xml:space="preserve">amené à collecter les données personnelles suivantes autant que de besoin aux fins de transmission aux laboratoires pharmaceutiques : </w:t>
      </w:r>
    </w:p>
    <w:p w14:paraId="7EDE58D9" w14:textId="77777777" w:rsidR="00A75BD0" w:rsidRDefault="009D4DA5" w:rsidP="0BA40188">
      <w:pPr>
        <w:numPr>
          <w:ilvl w:val="0"/>
          <w:numId w:val="25"/>
        </w:numPr>
        <w:pBdr>
          <w:top w:val="nil"/>
          <w:left w:val="nil"/>
          <w:bottom w:val="nil"/>
          <w:right w:val="nil"/>
          <w:between w:val="nil"/>
        </w:pBdr>
        <w:spacing w:after="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votre identification : numéro d’inclusion (code ne permettant pas de vous identifier directement), sexe, poids, taille, âge ou année et mois de naissance ou date de naissance complète si nécessaire dans un contexte pédiatrique ;</w:t>
      </w:r>
    </w:p>
    <w:p w14:paraId="3303674E" w14:textId="77777777" w:rsidR="00A75BD0" w:rsidRDefault="009D4DA5" w:rsidP="0BA40188">
      <w:pPr>
        <w:numPr>
          <w:ilvl w:val="0"/>
          <w:numId w:val="25"/>
        </w:numPr>
        <w:pBdr>
          <w:top w:val="nil"/>
          <w:left w:val="nil"/>
          <w:bottom w:val="nil"/>
          <w:right w:val="nil"/>
          <w:between w:val="nil"/>
        </w:pBdr>
        <w:spacing w:after="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xml:space="preserve">les informations relatives à votre état de santé : notamment vos symptômes (ex : atteinte hépatique, hémorragies digestives, hémorragies nasales), l’histoire de votre maladie, vos antécédents personnels ou familiaux, vos autres maladies ou traitements, grossesse en cours ; </w:t>
      </w:r>
    </w:p>
    <w:p w14:paraId="249EF986" w14:textId="77777777" w:rsidR="00A75BD0" w:rsidRDefault="009D4DA5" w:rsidP="0BA40188">
      <w:pPr>
        <w:numPr>
          <w:ilvl w:val="0"/>
          <w:numId w:val="25"/>
        </w:numPr>
        <w:pBdr>
          <w:top w:val="nil"/>
          <w:left w:val="nil"/>
          <w:bottom w:val="nil"/>
          <w:right w:val="nil"/>
          <w:between w:val="nil"/>
        </w:pBdr>
        <w:spacing w:after="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les informations relatives aux conditions d’utilisation du médicament impliquant notamment : l’identification des professionnels de santé vous prenant en charge, vos autres traitements, les informations relatives aux modalités de prescription et d’utilisation du médicament ;</w:t>
      </w:r>
    </w:p>
    <w:p w14:paraId="01D74986" w14:textId="77777777" w:rsidR="00A75BD0" w:rsidRDefault="009D4DA5" w:rsidP="0BA40188">
      <w:pPr>
        <w:numPr>
          <w:ilvl w:val="0"/>
          <w:numId w:val="25"/>
        </w:numPr>
        <w:pBdr>
          <w:top w:val="nil"/>
          <w:left w:val="nil"/>
          <w:bottom w:val="nil"/>
          <w:right w:val="nil"/>
          <w:between w:val="nil"/>
        </w:pBdr>
        <w:spacing w:after="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l’efficacité du médicament ;</w:t>
      </w:r>
    </w:p>
    <w:p w14:paraId="3B2C43DD" w14:textId="77777777" w:rsidR="00A75BD0" w:rsidRDefault="009D4DA5" w:rsidP="0BA40188">
      <w:pPr>
        <w:numPr>
          <w:ilvl w:val="0"/>
          <w:numId w:val="25"/>
        </w:numPr>
        <w:pBdr>
          <w:top w:val="nil"/>
          <w:left w:val="nil"/>
          <w:bottom w:val="nil"/>
          <w:right w:val="nil"/>
          <w:between w:val="nil"/>
        </w:pBdr>
        <w:spacing w:after="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la nature et la fréquence des effets indésirables du médicament (ce sont les conséquences inattendues et désagréables du traitement que vous pourriez ressentir : douleur, nausées, diarrhées, etc.) ;</w:t>
      </w:r>
    </w:p>
    <w:p w14:paraId="2C34593E" w14:textId="77777777" w:rsidR="00A75BD0" w:rsidRDefault="009D4DA5" w:rsidP="0BA40188">
      <w:pPr>
        <w:numPr>
          <w:ilvl w:val="0"/>
          <w:numId w:val="25"/>
        </w:numPr>
        <w:pBdr>
          <w:top w:val="nil"/>
          <w:left w:val="nil"/>
          <w:bottom w:val="nil"/>
          <w:right w:val="nil"/>
          <w:between w:val="nil"/>
        </w:pBdr>
        <w:spacing w:line="288" w:lineRule="auto"/>
        <w:jc w:val="both"/>
        <w:rPr>
          <w:rFonts w:ascii="Arial" w:eastAsia="Arial" w:hAnsi="Arial" w:cs="Arial"/>
          <w:sz w:val="20"/>
          <w:szCs w:val="20"/>
          <w:lang w:val="fr-FR"/>
        </w:rPr>
      </w:pPr>
      <w:r w:rsidRPr="0BA40188">
        <w:rPr>
          <w:rFonts w:ascii="Arial" w:eastAsia="Arial" w:hAnsi="Arial" w:cs="Arial"/>
          <w:color w:val="000000" w:themeColor="text1"/>
          <w:sz w:val="20"/>
          <w:szCs w:val="20"/>
          <w:lang w:val="fr-FR"/>
        </w:rPr>
        <w:t xml:space="preserve">les motifs des éventuels arrêts de traitement. </w:t>
      </w:r>
    </w:p>
    <w:p w14:paraId="6F5075D7" w14:textId="77777777" w:rsidR="00A75BD0" w:rsidRDefault="009D4DA5" w:rsidP="0BA40188">
      <w:pPr>
        <w:rPr>
          <w:rFonts w:ascii="Arial" w:eastAsia="Arial" w:hAnsi="Arial" w:cs="Arial"/>
          <w:sz w:val="20"/>
          <w:szCs w:val="20"/>
          <w:highlight w:val="yellow"/>
          <w:lang w:val="fr-FR"/>
        </w:rPr>
      </w:pPr>
      <w:r w:rsidRPr="0BA40188">
        <w:rPr>
          <w:rFonts w:ascii="Arial" w:eastAsia="Arial" w:hAnsi="Arial" w:cs="Arial"/>
          <w:sz w:val="20"/>
          <w:szCs w:val="20"/>
          <w:lang w:val="fr-FR"/>
        </w:rPr>
        <w:t xml:space="preserve">Ces données seront collectées sous un format pseudonymisé. C’est-à-dire qu’elles ne feront pas apparaître votre nom, prénom, ou vos coordonnées. </w:t>
      </w:r>
    </w:p>
    <w:p w14:paraId="7CC59C88"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Qui est destinataire des données ?</w:t>
      </w:r>
    </w:p>
    <w:p w14:paraId="44130F1B"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Toutes ces informations confidentielles seront transmises aux personnels habilités des organismes responsables de traitement et leur</w:t>
      </w:r>
      <w:r w:rsidRPr="0BA40188">
        <w:rPr>
          <w:lang w:val="fr-FR"/>
        </w:rPr>
        <w:t xml:space="preserve">     </w:t>
      </w:r>
      <w:r w:rsidRPr="0BA40188">
        <w:rPr>
          <w:rFonts w:ascii="Arial" w:eastAsia="Arial" w:hAnsi="Arial" w:cs="Arial"/>
          <w:sz w:val="20"/>
          <w:szCs w:val="20"/>
          <w:lang w:val="fr-FR"/>
        </w:rPr>
        <w:t xml:space="preserve"> </w:t>
      </w:r>
      <w:r w:rsidRPr="0BA40188">
        <w:rPr>
          <w:lang w:val="fr-FR"/>
        </w:rPr>
        <w:t xml:space="preserve">     </w:t>
      </w:r>
      <w:r w:rsidRPr="0BA40188">
        <w:rPr>
          <w:rFonts w:ascii="Arial" w:eastAsia="Arial" w:hAnsi="Arial" w:cs="Arial"/>
          <w:sz w:val="20"/>
          <w:szCs w:val="20"/>
          <w:lang w:val="fr-FR"/>
        </w:rPr>
        <w:t>sous-traitant ICTA</w:t>
      </w:r>
      <w:r w:rsidRPr="0BA40188">
        <w:rPr>
          <w:lang w:val="fr-FR"/>
        </w:rPr>
        <w:t xml:space="preserve">     </w:t>
      </w:r>
      <w:r w:rsidRPr="0BA40188">
        <w:rPr>
          <w:rFonts w:ascii="Arial" w:eastAsia="Arial" w:hAnsi="Arial" w:cs="Arial"/>
          <w:sz w:val="20"/>
          <w:szCs w:val="20"/>
          <w:lang w:val="fr-FR"/>
        </w:rPr>
        <w:t xml:space="preserve"> (société de recherche sous contrat) sous une forme pseudonymisées. Vous ne serez identifié que par un numéro d’inclusion, ainsi que par votre âge. </w:t>
      </w:r>
    </w:p>
    <w:p w14:paraId="2A3768D5"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Vos données pourront également être transmises : </w:t>
      </w:r>
    </w:p>
    <w:p w14:paraId="2ABD8E0B" w14:textId="77777777" w:rsidR="00A75BD0" w:rsidRDefault="009D4DA5" w:rsidP="0BA40188">
      <w:pPr>
        <w:numPr>
          <w:ilvl w:val="0"/>
          <w:numId w:val="3"/>
        </w:numPr>
        <w:spacing w:after="0"/>
        <w:jc w:val="both"/>
        <w:rPr>
          <w:rFonts w:ascii="Arial" w:eastAsia="Arial" w:hAnsi="Arial" w:cs="Arial"/>
          <w:sz w:val="20"/>
          <w:szCs w:val="20"/>
          <w:lang w:val="fr-FR"/>
        </w:rPr>
      </w:pPr>
      <w:r w:rsidRPr="0BA40188">
        <w:rPr>
          <w:rFonts w:ascii="Arial" w:eastAsia="Arial" w:hAnsi="Arial" w:cs="Arial"/>
          <w:sz w:val="20"/>
          <w:szCs w:val="20"/>
          <w:lang w:val="fr-FR"/>
        </w:rPr>
        <w:t>au personnel habilité des autres sociétés du groupe Celltrion Healthcare auquel appartient Celltrion Healthcare France</w:t>
      </w:r>
    </w:p>
    <w:p w14:paraId="44FF0D98" w14:textId="77777777" w:rsidR="00A75BD0" w:rsidRDefault="009D4DA5" w:rsidP="0BA40188">
      <w:pPr>
        <w:numPr>
          <w:ilvl w:val="0"/>
          <w:numId w:val="3"/>
        </w:numPr>
        <w:jc w:val="both"/>
        <w:rPr>
          <w:rFonts w:ascii="Arial" w:eastAsia="Arial" w:hAnsi="Arial" w:cs="Arial"/>
          <w:sz w:val="20"/>
          <w:szCs w:val="20"/>
          <w:lang w:val="fr-FR"/>
        </w:rPr>
      </w:pPr>
      <w:r w:rsidRPr="0BA40188">
        <w:rPr>
          <w:rFonts w:ascii="Arial" w:eastAsia="Arial" w:hAnsi="Arial" w:cs="Arial"/>
          <w:color w:val="000000" w:themeColor="text1"/>
          <w:sz w:val="20"/>
          <w:szCs w:val="20"/>
          <w:lang w:val="fr-FR"/>
        </w:rPr>
        <w:t>au personnel habilité des autres sociétés du groupe Hoffman-La Roche auquel appartient Roche</w:t>
      </w:r>
    </w:p>
    <w:p w14:paraId="07B952A5" w14:textId="77777777" w:rsidR="00A75BD0" w:rsidRDefault="009D4DA5" w:rsidP="0BA40188">
      <w:pPr>
        <w:numPr>
          <w:ilvl w:val="0"/>
          <w:numId w:val="3"/>
        </w:numPr>
        <w:spacing w:after="0"/>
        <w:jc w:val="both"/>
        <w:rPr>
          <w:rFonts w:ascii="Arial" w:eastAsia="Arial" w:hAnsi="Arial" w:cs="Arial"/>
          <w:sz w:val="20"/>
          <w:szCs w:val="20"/>
          <w:lang w:val="fr-FR"/>
        </w:rPr>
      </w:pPr>
      <w:r w:rsidRPr="0BA40188">
        <w:rPr>
          <w:rFonts w:ascii="Arial" w:eastAsia="Arial" w:hAnsi="Arial" w:cs="Arial"/>
          <w:sz w:val="20"/>
          <w:szCs w:val="20"/>
          <w:lang w:val="fr-FR"/>
        </w:rPr>
        <w:t>au personnel habilité du laboratoire Organon &amp; co. ainsi qu’au laboratoire Samsung (titulaire de produit Aybintio)</w:t>
      </w:r>
    </w:p>
    <w:p w14:paraId="6BA42FEC" w14:textId="77777777" w:rsidR="00A75BD0" w:rsidRDefault="009D4DA5" w:rsidP="0BA40188">
      <w:pPr>
        <w:numPr>
          <w:ilvl w:val="0"/>
          <w:numId w:val="3"/>
        </w:numPr>
        <w:spacing w:after="0"/>
        <w:jc w:val="both"/>
        <w:rPr>
          <w:rFonts w:ascii="Arial" w:eastAsia="Arial" w:hAnsi="Arial" w:cs="Arial"/>
          <w:sz w:val="20"/>
          <w:szCs w:val="20"/>
          <w:lang w:val="fr-FR"/>
        </w:rPr>
      </w:pPr>
      <w:r w:rsidRPr="0BA40188">
        <w:rPr>
          <w:rFonts w:ascii="Arial" w:eastAsia="Arial" w:hAnsi="Arial" w:cs="Arial"/>
          <w:sz w:val="20"/>
          <w:szCs w:val="20"/>
          <w:lang w:val="fr-FR"/>
        </w:rPr>
        <w:t>aux Hospices Civils de Lyon</w:t>
      </w:r>
    </w:p>
    <w:p w14:paraId="14CF627A" w14:textId="77777777" w:rsidR="00A75BD0" w:rsidRDefault="009D4DA5" w:rsidP="0BA40188">
      <w:pPr>
        <w:numPr>
          <w:ilvl w:val="0"/>
          <w:numId w:val="3"/>
        </w:numPr>
        <w:spacing w:after="0"/>
        <w:jc w:val="both"/>
        <w:rPr>
          <w:rFonts w:ascii="Arial" w:eastAsia="Arial" w:hAnsi="Arial" w:cs="Arial"/>
          <w:sz w:val="20"/>
          <w:szCs w:val="20"/>
          <w:lang w:val="fr-FR"/>
        </w:rPr>
      </w:pPr>
      <w:r w:rsidRPr="0BA40188">
        <w:rPr>
          <w:rFonts w:ascii="Arial" w:eastAsia="Arial" w:hAnsi="Arial" w:cs="Arial"/>
          <w:sz w:val="20"/>
          <w:szCs w:val="20"/>
          <w:lang w:val="fr-FR"/>
        </w:rPr>
        <w:t>au personnel habilité des autres sociétés du groupe Pfizer Inc auquel appartient Pfizer</w:t>
      </w:r>
    </w:p>
    <w:p w14:paraId="7301B1F7" w14:textId="77777777" w:rsidR="00A75BD0" w:rsidRDefault="009D4DA5" w:rsidP="0BA40188">
      <w:pPr>
        <w:numPr>
          <w:ilvl w:val="0"/>
          <w:numId w:val="3"/>
        </w:numPr>
        <w:spacing w:after="0"/>
        <w:jc w:val="both"/>
        <w:rPr>
          <w:rFonts w:ascii="Arial" w:eastAsia="Arial" w:hAnsi="Arial" w:cs="Arial"/>
          <w:sz w:val="20"/>
          <w:szCs w:val="20"/>
          <w:lang w:val="fr-FR"/>
        </w:rPr>
      </w:pPr>
      <w:r w:rsidRPr="0BA40188">
        <w:rPr>
          <w:lang w:val="fr-FR"/>
        </w:rPr>
        <w:t xml:space="preserve">     </w:t>
      </w:r>
      <w:r w:rsidRPr="0BA40188">
        <w:rPr>
          <w:rFonts w:ascii="Arial" w:eastAsia="Arial" w:hAnsi="Arial" w:cs="Arial"/>
          <w:sz w:val="20"/>
          <w:szCs w:val="20"/>
          <w:lang w:val="fr-FR"/>
        </w:rPr>
        <w:t xml:space="preserve">au personnel habilité de Biocon Biologics France SAS et sociétés affiliées </w:t>
      </w:r>
    </w:p>
    <w:p w14:paraId="37166DC6" w14:textId="571C812D" w:rsidR="002F6A24" w:rsidRDefault="002F6A24">
      <w:pPr>
        <w:numPr>
          <w:ilvl w:val="0"/>
          <w:numId w:val="3"/>
        </w:numPr>
        <w:spacing w:after="0"/>
        <w:jc w:val="both"/>
        <w:rPr>
          <w:rFonts w:ascii="Arial" w:eastAsia="Arial" w:hAnsi="Arial" w:cs="Arial"/>
          <w:sz w:val="20"/>
          <w:szCs w:val="20"/>
        </w:rPr>
      </w:pPr>
      <w:r>
        <w:rPr>
          <w:rFonts w:ascii="Arial" w:eastAsia="Arial" w:hAnsi="Arial" w:cs="Arial"/>
          <w:sz w:val="20"/>
          <w:szCs w:val="20"/>
        </w:rPr>
        <w:t xml:space="preserve">Au personnel habilité des </w:t>
      </w:r>
      <w:r w:rsidR="00E6601B">
        <w:rPr>
          <w:rFonts w:ascii="Arial" w:eastAsia="Arial" w:hAnsi="Arial" w:cs="Arial"/>
          <w:sz w:val="20"/>
          <w:szCs w:val="20"/>
        </w:rPr>
        <w:t xml:space="preserve">autres </w:t>
      </w:r>
      <w:r>
        <w:rPr>
          <w:rFonts w:ascii="Arial" w:eastAsia="Arial" w:hAnsi="Arial" w:cs="Arial"/>
          <w:sz w:val="20"/>
          <w:szCs w:val="20"/>
        </w:rPr>
        <w:t>sociétés du groupe Amgen auquel appartient Amgen SAS</w:t>
      </w:r>
    </w:p>
    <w:p w14:paraId="23155428" w14:textId="77777777" w:rsidR="00A75BD0" w:rsidRDefault="00A75BD0">
      <w:pPr>
        <w:rPr>
          <w:rFonts w:ascii="Arial" w:eastAsia="Arial" w:hAnsi="Arial" w:cs="Arial"/>
          <w:color w:val="000000"/>
          <w:sz w:val="20"/>
          <w:szCs w:val="20"/>
        </w:rPr>
      </w:pPr>
    </w:p>
    <w:p w14:paraId="044A4D17" w14:textId="77777777" w:rsidR="00A75BD0" w:rsidRDefault="009D4DA5">
      <w:pPr>
        <w:keepLines/>
        <w:pBdr>
          <w:top w:val="nil"/>
          <w:left w:val="nil"/>
          <w:bottom w:val="nil"/>
          <w:right w:val="nil"/>
          <w:between w:val="nil"/>
        </w:pBdr>
        <w:spacing w:after="0" w:line="288" w:lineRule="auto"/>
        <w:jc w:val="both"/>
        <w:rPr>
          <w:rFonts w:ascii="Arial" w:eastAsia="Arial" w:hAnsi="Arial" w:cs="Arial"/>
          <w:color w:val="000000"/>
          <w:sz w:val="20"/>
          <w:szCs w:val="20"/>
        </w:rPr>
      </w:pPr>
      <w:r>
        <w:rPr>
          <w:rFonts w:ascii="Arial" w:eastAsia="Arial" w:hAnsi="Arial" w:cs="Arial"/>
          <w:color w:val="000000"/>
          <w:sz w:val="20"/>
          <w:szCs w:val="20"/>
        </w:rPr>
        <w:t>Ces informations seront traitées uniquement pour les finalités décrites ci-dessus. Un rapport relatif à l’ensemble des données recueillies appelé rapport de synthèse ainsi qu’un résumé de ce rapport sont transmis par les laboratoires à l’ANSM, ainsi qu’au centre régional de pharmacovigilance désigné pour assurer au niveau national le suivi du médicament.</w:t>
      </w:r>
    </w:p>
    <w:p w14:paraId="317C1491" w14:textId="77777777" w:rsidR="00A75BD0" w:rsidRDefault="009D4DA5">
      <w:pPr>
        <w:jc w:val="both"/>
        <w:rPr>
          <w:rFonts w:ascii="Arial" w:eastAsia="Arial" w:hAnsi="Arial" w:cs="Arial"/>
          <w:sz w:val="20"/>
          <w:szCs w:val="20"/>
        </w:rPr>
      </w:pPr>
      <w:r>
        <w:rPr>
          <w:rFonts w:ascii="Arial" w:eastAsia="Arial" w:hAnsi="Arial" w:cs="Arial"/>
          <w:sz w:val="20"/>
          <w:szCs w:val="20"/>
        </w:rPr>
        <w:t>Ce</w:t>
      </w:r>
      <w:r>
        <w:t xml:space="preserve"> </w:t>
      </w:r>
      <w:r>
        <w:rPr>
          <w:rFonts w:ascii="Arial" w:eastAsia="Arial" w:hAnsi="Arial" w:cs="Arial"/>
          <w:sz w:val="20"/>
          <w:szCs w:val="20"/>
        </w:rPr>
        <w:t>rapport de synthèse et ce résumé ne comprendront aucune information permettant de vous identifier.</w:t>
      </w:r>
    </w:p>
    <w:p w14:paraId="002DD4C6" w14:textId="77777777" w:rsidR="00A75BD0" w:rsidRDefault="00A75BD0">
      <w:pPr>
        <w:jc w:val="both"/>
        <w:rPr>
          <w:rFonts w:ascii="Arial" w:eastAsia="Arial" w:hAnsi="Arial" w:cs="Arial"/>
          <w:sz w:val="20"/>
          <w:szCs w:val="20"/>
        </w:rPr>
      </w:pPr>
    </w:p>
    <w:p w14:paraId="79485817" w14:textId="77777777" w:rsidR="00A75BD0" w:rsidRDefault="009D4DA5">
      <w:pPr>
        <w:jc w:val="both"/>
        <w:rPr>
          <w:rFonts w:ascii="Arial" w:eastAsia="Arial" w:hAnsi="Arial" w:cs="Arial"/>
          <w:color w:val="2E75B5"/>
          <w:sz w:val="20"/>
          <w:szCs w:val="20"/>
        </w:rPr>
      </w:pPr>
      <w:r>
        <w:rPr>
          <w:rFonts w:ascii="Arial" w:eastAsia="Arial" w:hAnsi="Arial" w:cs="Arial"/>
          <w:color w:val="2E75B5"/>
          <w:sz w:val="20"/>
          <w:szCs w:val="20"/>
        </w:rPr>
        <w:t xml:space="preserve">Transferts hors Union européenne </w:t>
      </w:r>
    </w:p>
    <w:p w14:paraId="676851FB" w14:textId="77777777" w:rsidR="00A75BD0" w:rsidRDefault="009D4DA5">
      <w:pPr>
        <w:jc w:val="both"/>
        <w:rPr>
          <w:rFonts w:ascii="Arial" w:eastAsia="Arial" w:hAnsi="Arial" w:cs="Arial"/>
          <w:sz w:val="20"/>
          <w:szCs w:val="20"/>
        </w:rPr>
      </w:pPr>
      <w:r>
        <w:rPr>
          <w:rFonts w:ascii="Arial" w:eastAsia="Arial" w:hAnsi="Arial" w:cs="Arial"/>
          <w:sz w:val="20"/>
          <w:szCs w:val="20"/>
        </w:rPr>
        <w:t>Vos données seront traitées au sein de l’Union européenne.</w:t>
      </w:r>
    </w:p>
    <w:p w14:paraId="281DFA81"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A titre exceptionnel, vos données pourront faire l’objet d’un transfert vers des organismes établis en dehors de l’Union européenne lorsque le transfert est strictement nécessaire à la mise en œuvre du traitement de ces données. </w:t>
      </w:r>
    </w:p>
    <w:p w14:paraId="211FE50E" w14:textId="77777777" w:rsidR="00A75BD0" w:rsidRDefault="009D4DA5">
      <w:pPr>
        <w:jc w:val="both"/>
        <w:rPr>
          <w:rFonts w:ascii="Arial" w:eastAsia="Arial" w:hAnsi="Arial" w:cs="Arial"/>
          <w:sz w:val="20"/>
          <w:szCs w:val="20"/>
        </w:rPr>
      </w:pPr>
      <w:r>
        <w:rPr>
          <w:rFonts w:ascii="Arial" w:eastAsia="Arial" w:hAnsi="Arial" w:cs="Arial"/>
          <w:sz w:val="20"/>
          <w:szCs w:val="20"/>
        </w:rPr>
        <w:t>À cette fin, les laboratoires concernés mettent en place les garanties nécessaires pour assurer la protection de vos droits en matière de protection des données personnelles, quel que soit le pays où vos données personnelles sont transférées.</w:t>
      </w:r>
    </w:p>
    <w:p w14:paraId="5FA31AC8"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Ainsi, vos données pourront être transférées hors de l’Union Européenne : </w:t>
      </w:r>
    </w:p>
    <w:p w14:paraId="0F475C8D" w14:textId="77777777" w:rsidR="00A75BD0" w:rsidRDefault="009D4DA5">
      <w:pPr>
        <w:numPr>
          <w:ilvl w:val="0"/>
          <w:numId w:val="14"/>
        </w:numPr>
        <w:jc w:val="both"/>
        <w:rPr>
          <w:rFonts w:ascii="Arial" w:eastAsia="Arial" w:hAnsi="Arial" w:cs="Arial"/>
          <w:sz w:val="20"/>
          <w:szCs w:val="20"/>
        </w:rPr>
      </w:pPr>
      <w:r>
        <w:rPr>
          <w:rFonts w:ascii="Arial" w:eastAsia="Arial" w:hAnsi="Arial" w:cs="Arial"/>
          <w:sz w:val="20"/>
          <w:szCs w:val="20"/>
        </w:rPr>
        <w:t>En Suisse par Roche, reconnu par la Commission européen comme un pays assurant un niveau adéquat de protection des données,</w:t>
      </w:r>
    </w:p>
    <w:p w14:paraId="3FB6444C" w14:textId="77777777" w:rsidR="00A75BD0" w:rsidRDefault="009D4DA5" w:rsidP="0BA40188">
      <w:pPr>
        <w:numPr>
          <w:ilvl w:val="0"/>
          <w:numId w:val="14"/>
        </w:numPr>
        <w:jc w:val="both"/>
        <w:rPr>
          <w:rFonts w:ascii="Arial" w:eastAsia="Arial" w:hAnsi="Arial" w:cs="Arial"/>
          <w:sz w:val="20"/>
          <w:szCs w:val="20"/>
          <w:lang w:val="fr-FR"/>
        </w:rPr>
      </w:pPr>
      <w:r w:rsidRPr="0BA40188">
        <w:rPr>
          <w:rFonts w:ascii="Arial" w:eastAsia="Arial" w:hAnsi="Arial" w:cs="Arial"/>
          <w:sz w:val="20"/>
          <w:szCs w:val="20"/>
          <w:lang w:val="fr-FR"/>
        </w:rPr>
        <w:t>En Corée du Sud par Celltrion Healthcare France, reconnu par la Commission européen comme un pays assurant un niveau adéquat de protection des données,</w:t>
      </w:r>
    </w:p>
    <w:p w14:paraId="4E66DE7E" w14:textId="77777777" w:rsidR="00A75BD0" w:rsidRDefault="009D4DA5">
      <w:pPr>
        <w:numPr>
          <w:ilvl w:val="0"/>
          <w:numId w:val="14"/>
        </w:numPr>
        <w:jc w:val="both"/>
        <w:rPr>
          <w:rFonts w:ascii="Arial" w:eastAsia="Arial" w:hAnsi="Arial" w:cs="Arial"/>
          <w:sz w:val="20"/>
          <w:szCs w:val="20"/>
        </w:rPr>
      </w:pPr>
      <w:r>
        <w:rPr>
          <w:rFonts w:ascii="Arial" w:eastAsia="Arial" w:hAnsi="Arial" w:cs="Arial"/>
          <w:sz w:val="20"/>
          <w:szCs w:val="20"/>
        </w:rPr>
        <w:t>En Corée du Sud par Organon France, pays pour lequel la Commission Européenne a rendu une décision d’adéquation, ce qui autorise le transfert,</w:t>
      </w:r>
    </w:p>
    <w:p w14:paraId="5B725B2B" w14:textId="41C0BADE" w:rsidR="00A75BD0" w:rsidRDefault="009D4DA5">
      <w:pPr>
        <w:numPr>
          <w:ilvl w:val="0"/>
          <w:numId w:val="14"/>
        </w:numPr>
        <w:jc w:val="both"/>
        <w:rPr>
          <w:rFonts w:ascii="Arial" w:eastAsia="Arial" w:hAnsi="Arial" w:cs="Arial"/>
          <w:sz w:val="20"/>
          <w:szCs w:val="20"/>
        </w:rPr>
      </w:pPr>
      <w:r w:rsidRPr="5C887A23">
        <w:rPr>
          <w:rFonts w:ascii="Arial" w:eastAsia="Arial" w:hAnsi="Arial" w:cs="Arial"/>
          <w:sz w:val="20"/>
          <w:szCs w:val="20"/>
        </w:rPr>
        <w:t>Au sein du groupe Amgen, en conformité avec les règles d’entreprise contraignantes d’Amgen, qui peuvent être consultée sur</w:t>
      </w:r>
      <w:r w:rsidR="11459CE8" w:rsidRPr="5C887A23">
        <w:rPr>
          <w:rFonts w:ascii="Arial" w:eastAsia="Arial" w:hAnsi="Arial" w:cs="Arial"/>
          <w:sz w:val="20"/>
          <w:szCs w:val="20"/>
        </w:rPr>
        <w:t xml:space="preserve"> http://www.amgen.com/bcr/</w:t>
      </w:r>
      <w:r w:rsidRPr="5C887A23">
        <w:rPr>
          <w:rFonts w:ascii="Arial" w:eastAsia="Arial" w:hAnsi="Arial" w:cs="Arial"/>
          <w:sz w:val="20"/>
          <w:szCs w:val="20"/>
        </w:rPr>
        <w:t xml:space="preserve"> </w:t>
      </w:r>
    </w:p>
    <w:p w14:paraId="4D2060D4" w14:textId="77777777" w:rsidR="00A75BD0" w:rsidRDefault="009D4DA5" w:rsidP="0BA40188">
      <w:pPr>
        <w:numPr>
          <w:ilvl w:val="0"/>
          <w:numId w:val="14"/>
        </w:numPr>
        <w:jc w:val="both"/>
        <w:rPr>
          <w:rFonts w:ascii="Arial" w:eastAsia="Arial" w:hAnsi="Arial" w:cs="Arial"/>
          <w:sz w:val="20"/>
          <w:szCs w:val="20"/>
          <w:lang w:val="fr-FR"/>
        </w:rPr>
      </w:pPr>
      <w:r w:rsidRPr="0BA40188">
        <w:rPr>
          <w:rFonts w:ascii="Arial" w:eastAsia="Arial" w:hAnsi="Arial" w:cs="Arial"/>
          <w:sz w:val="20"/>
          <w:szCs w:val="20"/>
          <w:lang w:val="fr-FR"/>
        </w:rPr>
        <w:t>Au sein du Groupe Pfizer Inc, étant précisé que Pfizer a conclu avec les sociétés du groupe Pfizer situées dans un pays tiers et le cas échéant, avec ses sous-traitants concernés, des clauses contractuelles types approuvées par la Commission Européenne conformément aux exigences des lois de protection des données. En outre, les laboratoires peuvent être amenés à transférer vos données à des autorités publiques sanitaires situées hors de l’Union européenne seulement si ce transfert est justifié par un motif important d’intérêt public reconnu par le droit de l’Union.</w:t>
      </w:r>
    </w:p>
    <w:p w14:paraId="6E2F878B" w14:textId="77777777" w:rsidR="00A75BD0" w:rsidRDefault="009D4DA5" w:rsidP="0BA40188">
      <w:pPr>
        <w:numPr>
          <w:ilvl w:val="0"/>
          <w:numId w:val="14"/>
        </w:numPr>
        <w:jc w:val="both"/>
        <w:rPr>
          <w:rFonts w:ascii="Arial" w:eastAsia="Arial" w:hAnsi="Arial" w:cs="Arial"/>
          <w:sz w:val="20"/>
          <w:szCs w:val="20"/>
          <w:lang w:val="fr-FR"/>
        </w:rPr>
      </w:pPr>
      <w:r w:rsidRPr="0BA40188">
        <w:rPr>
          <w:lang w:val="fr-FR"/>
        </w:rPr>
        <w:t xml:space="preserve">     </w:t>
      </w:r>
      <w:r w:rsidRPr="0BA40188">
        <w:rPr>
          <w:rFonts w:ascii="Arial" w:eastAsia="Arial" w:hAnsi="Arial" w:cs="Arial"/>
          <w:sz w:val="20"/>
          <w:szCs w:val="20"/>
          <w:lang w:val="fr-FR"/>
        </w:rPr>
        <w:t>Au sein du groupe de sociétés Biocon Biologics dans les conditions décrites par sa politique de données personnelles telle qu’accessible sur le site internet suivant :</w:t>
      </w:r>
      <w:r w:rsidRPr="0BA40188">
        <w:rPr>
          <w:lang w:val="fr-FR"/>
        </w:rPr>
        <w:t xml:space="preserve"> https:// www.bioconbiologics.com/privacy-policy-bbl , notamment en matière de transferts de données personnelles vers l’Inde. </w:t>
      </w:r>
    </w:p>
    <w:p w14:paraId="306FDA3B" w14:textId="77777777" w:rsidR="00A75BD0" w:rsidRDefault="009D4DA5">
      <w:pPr>
        <w:jc w:val="both"/>
      </w:pPr>
      <w:r>
        <w:rPr>
          <w:rFonts w:ascii="Arial" w:eastAsia="Arial" w:hAnsi="Arial" w:cs="Arial"/>
          <w:sz w:val="20"/>
          <w:szCs w:val="20"/>
        </w:rPr>
        <w:t>Vous avez le droit de demander une copie de ces garanties aux laboratoires pharmaceutiques concernés.</w:t>
      </w:r>
      <w:r>
        <w:t xml:space="preserve"> </w:t>
      </w:r>
      <w:r>
        <w:rPr>
          <w:rFonts w:ascii="Arial" w:eastAsia="Arial" w:hAnsi="Arial" w:cs="Arial"/>
          <w:sz w:val="20"/>
          <w:szCs w:val="20"/>
        </w:rPr>
        <w:t>Pour obtenir une copie de ces garanties et de manière générale pour toute question concernant ces transferts, n’hésitez pas à contacter le délégué à la protection des données des laboratoires pharmaceutiques et/ou des Hospices Civils de Lyon dont les coordonnées sont indiquées dans la présente notice.</w:t>
      </w:r>
    </w:p>
    <w:p w14:paraId="4E13D14A" w14:textId="77777777" w:rsidR="00A75BD0" w:rsidRDefault="00A75BD0">
      <w:pPr>
        <w:rPr>
          <w:rFonts w:ascii="Arial" w:eastAsia="Arial" w:hAnsi="Arial" w:cs="Arial"/>
          <w:color w:val="2E75B5"/>
          <w:sz w:val="20"/>
          <w:szCs w:val="20"/>
        </w:rPr>
      </w:pPr>
    </w:p>
    <w:p w14:paraId="6950E523"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Combien de temps sont conservées vos données ?</w:t>
      </w:r>
    </w:p>
    <w:p w14:paraId="5F736713" w14:textId="77777777" w:rsidR="00A75BD0" w:rsidRDefault="009D4DA5">
      <w:pPr>
        <w:spacing w:before="240" w:after="240"/>
        <w:jc w:val="both"/>
        <w:rPr>
          <w:rFonts w:ascii="Arial" w:eastAsia="Arial" w:hAnsi="Arial" w:cs="Arial"/>
          <w:sz w:val="20"/>
          <w:szCs w:val="20"/>
        </w:rPr>
      </w:pPr>
      <w:r>
        <w:rPr>
          <w:rFonts w:ascii="Arial" w:eastAsia="Arial" w:hAnsi="Arial" w:cs="Arial"/>
          <w:sz w:val="20"/>
          <w:szCs w:val="20"/>
        </w:rPr>
        <w:t>Les données vous concernant sont conservées dans la limite de dix ans suivant la fin du CPC ou, le cas échéant, dix ans suivant la fin de l’autorisation de mise sur le marché du médicament dans cette indication.</w:t>
      </w:r>
    </w:p>
    <w:p w14:paraId="69462B4D" w14:textId="77777777" w:rsidR="00A75BD0" w:rsidRDefault="009D4DA5">
      <w:pPr>
        <w:jc w:val="both"/>
      </w:pPr>
      <w:r>
        <w:rPr>
          <w:rFonts w:ascii="Arial" w:eastAsia="Arial" w:hAnsi="Arial" w:cs="Arial"/>
          <w:sz w:val="20"/>
          <w:szCs w:val="20"/>
        </w:rPr>
        <w:t>A l’issue de ce délai, elles seront supprimées ou anonymisées.</w:t>
      </w:r>
    </w:p>
    <w:p w14:paraId="43F81C4A" w14:textId="77777777" w:rsidR="00A75BD0" w:rsidRDefault="00A75BD0">
      <w:pPr>
        <w:rPr>
          <w:rFonts w:ascii="Arial" w:eastAsia="Arial" w:hAnsi="Arial" w:cs="Arial"/>
          <w:color w:val="2E75B5"/>
          <w:sz w:val="20"/>
          <w:szCs w:val="20"/>
        </w:rPr>
      </w:pPr>
    </w:p>
    <w:p w14:paraId="20620B44"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Les données seront-elles publiées ?</w:t>
      </w:r>
    </w:p>
    <w:p w14:paraId="6C56F502"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L’Agence nationale de sécurité du médicament et des produits de santé publie sur son site internet un résumé du rapport de synthèse des informations recueillies pour l’évaluation du médicament. </w:t>
      </w:r>
    </w:p>
    <w:p w14:paraId="5F024E9A" w14:textId="77777777" w:rsidR="00A75BD0" w:rsidRDefault="009D4DA5">
      <w:pPr>
        <w:jc w:val="both"/>
        <w:rPr>
          <w:rFonts w:ascii="Arial" w:eastAsia="Arial" w:hAnsi="Arial" w:cs="Arial"/>
          <w:sz w:val="20"/>
          <w:szCs w:val="20"/>
        </w:rPr>
      </w:pPr>
      <w:r>
        <w:rPr>
          <w:rFonts w:ascii="Arial" w:eastAsia="Arial" w:hAnsi="Arial" w:cs="Arial"/>
          <w:sz w:val="20"/>
          <w:szCs w:val="20"/>
        </w:rPr>
        <w:t>Des synthèses des résultats pourront par ailleurs être publiées dans des revues scientifiques.</w:t>
      </w:r>
    </w:p>
    <w:p w14:paraId="768E53F7" w14:textId="77777777" w:rsidR="00A75BD0" w:rsidRDefault="009D4DA5">
      <w:pPr>
        <w:jc w:val="both"/>
        <w:rPr>
          <w:rFonts w:ascii="Arial" w:eastAsia="Arial" w:hAnsi="Arial" w:cs="Arial"/>
          <w:sz w:val="20"/>
          <w:szCs w:val="20"/>
        </w:rPr>
      </w:pPr>
      <w:r>
        <w:rPr>
          <w:rFonts w:ascii="Arial" w:eastAsia="Arial" w:hAnsi="Arial" w:cs="Arial"/>
          <w:sz w:val="20"/>
          <w:szCs w:val="20"/>
        </w:rPr>
        <w:t>Aucun de ces documents publiés ne permettra de vous identifier.</w:t>
      </w:r>
    </w:p>
    <w:p w14:paraId="4D382BC2" w14:textId="77777777" w:rsidR="00A75BD0" w:rsidRDefault="00A75BD0">
      <w:pPr>
        <w:jc w:val="both"/>
      </w:pPr>
    </w:p>
    <w:p w14:paraId="7EF38338"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Quels sont vos droits et vos recours possibles ?</w:t>
      </w:r>
    </w:p>
    <w:p w14:paraId="5EFE0210"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Le médecin qui vous a prescrit le médicament est votre premier interlocuteur pour faire valoir vos droits sur vos données personnelles. </w:t>
      </w:r>
    </w:p>
    <w:p w14:paraId="51A2106E" w14:textId="77777777" w:rsidR="00A75BD0" w:rsidRDefault="009D4DA5">
      <w:pPr>
        <w:jc w:val="both"/>
        <w:rPr>
          <w:rFonts w:ascii="Arial" w:eastAsia="Arial" w:hAnsi="Arial" w:cs="Arial"/>
          <w:sz w:val="20"/>
          <w:szCs w:val="20"/>
        </w:rPr>
      </w:pPr>
      <w:r>
        <w:rPr>
          <w:rFonts w:ascii="Arial" w:eastAsia="Arial" w:hAnsi="Arial" w:cs="Arial"/>
          <w:sz w:val="20"/>
          <w:szCs w:val="20"/>
        </w:rPr>
        <w:t>Vous pouvez demander à ce médecin :</w:t>
      </w:r>
    </w:p>
    <w:p w14:paraId="515D2606" w14:textId="77777777" w:rsidR="00A75BD0" w:rsidRDefault="009D4DA5" w:rsidP="0BA40188">
      <w:pPr>
        <w:numPr>
          <w:ilvl w:val="2"/>
          <w:numId w:val="31"/>
        </w:numPr>
        <w:pBdr>
          <w:top w:val="nil"/>
          <w:left w:val="nil"/>
          <w:bottom w:val="nil"/>
          <w:right w:val="nil"/>
          <w:between w:val="nil"/>
        </w:pBdr>
        <w:spacing w:after="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à consulter vos données personnelles ;</w:t>
      </w:r>
    </w:p>
    <w:p w14:paraId="7D889AC1" w14:textId="77777777" w:rsidR="00A75BD0" w:rsidRDefault="009D4DA5" w:rsidP="0BA40188">
      <w:pPr>
        <w:numPr>
          <w:ilvl w:val="2"/>
          <w:numId w:val="31"/>
        </w:numPr>
        <w:pBdr>
          <w:top w:val="nil"/>
          <w:left w:val="nil"/>
          <w:bottom w:val="nil"/>
          <w:right w:val="nil"/>
          <w:between w:val="nil"/>
        </w:pBdr>
        <w:spacing w:after="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à modifier les données vous concernant ;</w:t>
      </w:r>
    </w:p>
    <w:p w14:paraId="7CA5D180" w14:textId="77777777" w:rsidR="00A75BD0" w:rsidRDefault="009D4DA5" w:rsidP="0BA40188">
      <w:pPr>
        <w:numPr>
          <w:ilvl w:val="2"/>
          <w:numId w:val="31"/>
        </w:numPr>
        <w:pBdr>
          <w:top w:val="nil"/>
          <w:left w:val="nil"/>
          <w:bottom w:val="nil"/>
          <w:right w:val="nil"/>
          <w:between w:val="nil"/>
        </w:pBdr>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à limiter le traitement de certaines données.</w:t>
      </w:r>
    </w:p>
    <w:p w14:paraId="00631137" w14:textId="77777777" w:rsidR="00A75BD0" w:rsidRDefault="009D4DA5">
      <w:pPr>
        <w:jc w:val="both"/>
        <w:rPr>
          <w:rFonts w:ascii="Arial" w:eastAsia="Arial" w:hAnsi="Arial" w:cs="Arial"/>
          <w:sz w:val="20"/>
          <w:szCs w:val="20"/>
        </w:rPr>
      </w:pPr>
      <w:r>
        <w:rPr>
          <w:rFonts w:ascii="Arial" w:eastAsia="Arial" w:hAnsi="Arial" w:cs="Arial"/>
          <w:sz w:val="20"/>
          <w:szCs w:val="20"/>
        </w:rPr>
        <w:t>Si vous acceptez d’être traité par un médicament prescrit au titre d’un CPC, vous ne pouvez pas vous opposer à la transmission des données listées ci-dessus ou demander leur suppression. Le droit à l’effacement et le droit à la portabilité ne sont également pas applicables à ce traitement.</w:t>
      </w:r>
    </w:p>
    <w:p w14:paraId="73982C3D" w14:textId="77777777" w:rsidR="00A75BD0" w:rsidRDefault="009D4DA5">
      <w:p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 xml:space="preserve">Vous pouvez cependant vous opposer à la réutilisation de vos données pour de la recherche. </w:t>
      </w:r>
    </w:p>
    <w:p w14:paraId="2FE62862" w14:textId="77777777" w:rsidR="00A75BD0" w:rsidRDefault="00A75BD0">
      <w:pPr>
        <w:pBdr>
          <w:top w:val="nil"/>
          <w:left w:val="nil"/>
          <w:bottom w:val="nil"/>
          <w:right w:val="nil"/>
          <w:between w:val="nil"/>
        </w:pBdr>
        <w:spacing w:line="240" w:lineRule="auto"/>
        <w:rPr>
          <w:rFonts w:ascii="Arial" w:eastAsia="Arial" w:hAnsi="Arial" w:cs="Arial"/>
          <w:sz w:val="20"/>
          <w:szCs w:val="20"/>
        </w:rPr>
      </w:pPr>
    </w:p>
    <w:p w14:paraId="2BA80202"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Vous pouvez également vous adresser au délégué à la protection des données des Hospices civils de Lyon </w:t>
      </w:r>
    </w:p>
    <w:p w14:paraId="6761C85D" w14:textId="77777777" w:rsidR="00A75BD0" w:rsidRDefault="009D4DA5" w:rsidP="0BA40188">
      <w:pPr>
        <w:numPr>
          <w:ilvl w:val="0"/>
          <w:numId w:val="7"/>
        </w:numPr>
        <w:pBdr>
          <w:top w:val="nil"/>
          <w:left w:val="nil"/>
          <w:bottom w:val="nil"/>
          <w:right w:val="nil"/>
          <w:between w:val="nil"/>
        </w:pBdr>
        <w:spacing w:after="0"/>
        <w:jc w:val="both"/>
        <w:rPr>
          <w:rFonts w:ascii="Arial" w:eastAsia="Arial" w:hAnsi="Arial" w:cs="Arial"/>
          <w:sz w:val="20"/>
          <w:szCs w:val="20"/>
          <w:lang w:val="fr-FR"/>
        </w:rPr>
      </w:pPr>
      <w:r w:rsidRPr="0BA40188">
        <w:rPr>
          <w:rFonts w:ascii="Arial" w:eastAsia="Arial" w:hAnsi="Arial" w:cs="Arial"/>
          <w:sz w:val="20"/>
          <w:szCs w:val="20"/>
          <w:lang w:val="fr-FR"/>
        </w:rPr>
        <w:t>par</w:t>
      </w:r>
      <w:r w:rsidRPr="0BA40188">
        <w:rPr>
          <w:rFonts w:ascii="Arial" w:eastAsia="Arial" w:hAnsi="Arial" w:cs="Arial"/>
          <w:sz w:val="20"/>
          <w:szCs w:val="20"/>
          <w:highlight w:val="white"/>
          <w:lang w:val="fr-FR"/>
        </w:rPr>
        <w:t xml:space="preserve"> courrier : Hospices Civils de Lyon - Délégué à la protection des données, Direction des Affaires Juridiques - BP 2251, 3, quai des Célestin, 69229 LYON Cedex 02 </w:t>
      </w:r>
    </w:p>
    <w:p w14:paraId="2D50761F" w14:textId="77777777" w:rsidR="00A75BD0" w:rsidRDefault="009D4DA5" w:rsidP="0BA40188">
      <w:pPr>
        <w:numPr>
          <w:ilvl w:val="0"/>
          <w:numId w:val="7"/>
        </w:numPr>
        <w:pBdr>
          <w:top w:val="nil"/>
          <w:left w:val="nil"/>
          <w:bottom w:val="nil"/>
          <w:right w:val="nil"/>
          <w:between w:val="nil"/>
        </w:pBdr>
        <w:jc w:val="both"/>
        <w:rPr>
          <w:rFonts w:ascii="Arial" w:eastAsia="Arial" w:hAnsi="Arial" w:cs="Arial"/>
          <w:sz w:val="20"/>
          <w:szCs w:val="20"/>
          <w:lang w:val="fr-FR"/>
        </w:rPr>
      </w:pPr>
      <w:r w:rsidRPr="0BA40188">
        <w:rPr>
          <w:rFonts w:ascii="Arial" w:eastAsia="Arial" w:hAnsi="Arial" w:cs="Arial"/>
          <w:sz w:val="20"/>
          <w:szCs w:val="20"/>
          <w:lang w:val="fr-FR"/>
        </w:rPr>
        <w:t>ou</w:t>
      </w:r>
      <w:r w:rsidRPr="0BA40188">
        <w:rPr>
          <w:rFonts w:ascii="Arial" w:eastAsia="Arial" w:hAnsi="Arial" w:cs="Arial"/>
          <w:sz w:val="20"/>
          <w:szCs w:val="20"/>
          <w:highlight w:val="white"/>
          <w:lang w:val="fr-FR"/>
        </w:rPr>
        <w:t xml:space="preserve"> par email </w:t>
      </w:r>
      <w:r w:rsidRPr="0BA40188">
        <w:rPr>
          <w:rFonts w:ascii="Arial" w:eastAsia="Arial" w:hAnsi="Arial" w:cs="Arial"/>
          <w:color w:val="000000" w:themeColor="text1"/>
          <w:sz w:val="20"/>
          <w:szCs w:val="20"/>
          <w:highlight w:val="white"/>
          <w:lang w:val="fr-FR"/>
        </w:rPr>
        <w:t xml:space="preserve"> : dpo@chu-lyon.fr.</w:t>
      </w:r>
    </w:p>
    <w:p w14:paraId="02D0510B" w14:textId="77777777" w:rsidR="00A75BD0" w:rsidRDefault="009D4DA5">
      <w:p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 xml:space="preserve">Vous pouvez également faire une réclamation à la Commission nationale de l’informatique et des libertés (CNIL) notamment sur son site internet </w:t>
      </w:r>
      <w:hyperlink r:id="rId66">
        <w:r>
          <w:rPr>
            <w:rFonts w:ascii="Arial" w:eastAsia="Arial" w:hAnsi="Arial" w:cs="Arial"/>
            <w:color w:val="0563C1"/>
            <w:sz w:val="20"/>
            <w:szCs w:val="20"/>
            <w:u w:val="single"/>
          </w:rPr>
          <w:t>www.cnil.fr</w:t>
        </w:r>
      </w:hyperlink>
      <w:r>
        <w:rPr>
          <w:rFonts w:ascii="Arial" w:eastAsia="Arial" w:hAnsi="Arial" w:cs="Arial"/>
          <w:sz w:val="20"/>
          <w:szCs w:val="20"/>
        </w:rPr>
        <w:t xml:space="preserve"> ou par courrier postal au 3 Place de Fontenoy - TSA 80715 - 75334 PARIS CEDEX 07.</w:t>
      </w:r>
    </w:p>
    <w:p w14:paraId="0CC1B4F1" w14:textId="77777777" w:rsidR="00A75BD0" w:rsidRDefault="009D4DA5">
      <w:r>
        <w:rPr>
          <w:rFonts w:ascii="Arial" w:eastAsia="Arial" w:hAnsi="Arial" w:cs="Arial"/>
          <w:sz w:val="20"/>
          <w:szCs w:val="20"/>
        </w:rPr>
        <w:t>Si vous le préférez, vous pouvez exercer vos droits auprès de chacun des co-responsables de traitement aux coordonnées suivantes : cela impliquera la transmission de votre identité au co-responsable de traitement concerné</w:t>
      </w:r>
    </w:p>
    <w:p w14:paraId="7E473FE4" w14:textId="77777777" w:rsidR="00A75BD0" w:rsidRDefault="00A75BD0">
      <w:pPr>
        <w:rPr>
          <w:rFonts w:ascii="Arial" w:eastAsia="Arial" w:hAnsi="Arial" w:cs="Arial"/>
          <w:sz w:val="20"/>
          <w:szCs w:val="20"/>
        </w:rPr>
      </w:pPr>
    </w:p>
    <w:tbl>
      <w:tblPr>
        <w:tblStyle w:val="af7"/>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0"/>
        <w:gridCol w:w="5240"/>
      </w:tblGrid>
      <w:tr w:rsidR="00A75BD0" w14:paraId="06AA0521" w14:textId="77777777" w:rsidTr="0BA40188">
        <w:tc>
          <w:tcPr>
            <w:tcW w:w="5240" w:type="dxa"/>
            <w:shd w:val="clear" w:color="auto" w:fill="auto"/>
            <w:tcMar>
              <w:top w:w="100" w:type="dxa"/>
              <w:left w:w="100" w:type="dxa"/>
              <w:bottom w:w="100" w:type="dxa"/>
              <w:right w:w="100" w:type="dxa"/>
            </w:tcMar>
          </w:tcPr>
          <w:p w14:paraId="0E6B0376" w14:textId="77777777" w:rsidR="00A75BD0" w:rsidRDefault="009D4DA5">
            <w:pPr>
              <w:widowControl w:val="0"/>
              <w:jc w:val="center"/>
              <w:rPr>
                <w:sz w:val="20"/>
                <w:szCs w:val="20"/>
              </w:rPr>
            </w:pPr>
            <w:r>
              <w:rPr>
                <w:sz w:val="20"/>
                <w:szCs w:val="20"/>
              </w:rPr>
              <w:t>Identité</w:t>
            </w:r>
          </w:p>
        </w:tc>
        <w:tc>
          <w:tcPr>
            <w:tcW w:w="5240" w:type="dxa"/>
            <w:shd w:val="clear" w:color="auto" w:fill="auto"/>
            <w:tcMar>
              <w:top w:w="100" w:type="dxa"/>
              <w:left w:w="100" w:type="dxa"/>
              <w:bottom w:w="100" w:type="dxa"/>
              <w:right w:w="100" w:type="dxa"/>
            </w:tcMar>
          </w:tcPr>
          <w:p w14:paraId="3A7070F4" w14:textId="77777777" w:rsidR="00A75BD0" w:rsidRDefault="009D4DA5">
            <w:pPr>
              <w:widowControl w:val="0"/>
              <w:jc w:val="center"/>
              <w:rPr>
                <w:sz w:val="20"/>
                <w:szCs w:val="20"/>
              </w:rPr>
            </w:pPr>
            <w:r>
              <w:rPr>
                <w:sz w:val="20"/>
                <w:szCs w:val="20"/>
              </w:rPr>
              <w:t xml:space="preserve">Coordonnées </w:t>
            </w:r>
          </w:p>
        </w:tc>
      </w:tr>
      <w:tr w:rsidR="00A75BD0" w14:paraId="35ABA5F4" w14:textId="77777777" w:rsidTr="0BA40188">
        <w:tc>
          <w:tcPr>
            <w:tcW w:w="5240" w:type="dxa"/>
            <w:shd w:val="clear" w:color="auto" w:fill="auto"/>
            <w:tcMar>
              <w:top w:w="100" w:type="dxa"/>
              <w:left w:w="100" w:type="dxa"/>
              <w:bottom w:w="100" w:type="dxa"/>
              <w:right w:w="100" w:type="dxa"/>
            </w:tcMar>
          </w:tcPr>
          <w:p w14:paraId="43937737" w14:textId="77777777" w:rsidR="00A75BD0" w:rsidRDefault="009D4DA5">
            <w:pPr>
              <w:widowControl w:val="0"/>
              <w:rPr>
                <w:sz w:val="20"/>
                <w:szCs w:val="20"/>
              </w:rPr>
            </w:pPr>
            <w:r>
              <w:rPr>
                <w:sz w:val="20"/>
                <w:szCs w:val="20"/>
              </w:rPr>
              <w:t>ROCHE SAS</w:t>
            </w:r>
          </w:p>
        </w:tc>
        <w:tc>
          <w:tcPr>
            <w:tcW w:w="5240" w:type="dxa"/>
            <w:shd w:val="clear" w:color="auto" w:fill="auto"/>
            <w:tcMar>
              <w:top w:w="100" w:type="dxa"/>
              <w:left w:w="100" w:type="dxa"/>
              <w:bottom w:w="100" w:type="dxa"/>
              <w:right w:w="100" w:type="dxa"/>
            </w:tcMar>
          </w:tcPr>
          <w:p w14:paraId="0B51439D" w14:textId="77777777" w:rsidR="00A75BD0" w:rsidRDefault="009D4DA5">
            <w:pPr>
              <w:widowControl w:val="0"/>
              <w:rPr>
                <w:sz w:val="20"/>
                <w:szCs w:val="20"/>
              </w:rPr>
            </w:pPr>
            <w:r>
              <w:rPr>
                <w:sz w:val="20"/>
                <w:szCs w:val="20"/>
              </w:rPr>
              <w:t>Adresse : 4 Cr de l'Île Seguin, 92100 Boulogne-Billancourt</w:t>
            </w:r>
          </w:p>
          <w:p w14:paraId="479B8E37" w14:textId="77777777" w:rsidR="00A75BD0" w:rsidRDefault="009D4DA5">
            <w:pPr>
              <w:widowControl w:val="0"/>
              <w:rPr>
                <w:sz w:val="20"/>
                <w:szCs w:val="20"/>
              </w:rPr>
            </w:pPr>
            <w:r>
              <w:rPr>
                <w:sz w:val="20"/>
                <w:szCs w:val="20"/>
              </w:rPr>
              <w:t>Contact électronique :  france.donneespersonnelles-pharma@roche.com</w:t>
            </w:r>
          </w:p>
        </w:tc>
      </w:tr>
      <w:tr w:rsidR="00A75BD0" w14:paraId="1FB45F67" w14:textId="77777777" w:rsidTr="0BA40188">
        <w:tc>
          <w:tcPr>
            <w:tcW w:w="5240" w:type="dxa"/>
            <w:shd w:val="clear" w:color="auto" w:fill="auto"/>
            <w:tcMar>
              <w:top w:w="100" w:type="dxa"/>
              <w:left w:w="100" w:type="dxa"/>
              <w:bottom w:w="100" w:type="dxa"/>
              <w:right w:w="100" w:type="dxa"/>
            </w:tcMar>
          </w:tcPr>
          <w:p w14:paraId="150A508B" w14:textId="77777777" w:rsidR="00A75BD0" w:rsidRDefault="009D4DA5">
            <w:pPr>
              <w:widowControl w:val="0"/>
              <w:rPr>
                <w:sz w:val="20"/>
                <w:szCs w:val="20"/>
              </w:rPr>
            </w:pPr>
            <w:r>
              <w:rPr>
                <w:sz w:val="20"/>
                <w:szCs w:val="20"/>
              </w:rPr>
              <w:t xml:space="preserve">PFIZER </w:t>
            </w:r>
          </w:p>
        </w:tc>
        <w:tc>
          <w:tcPr>
            <w:tcW w:w="5240" w:type="dxa"/>
            <w:shd w:val="clear" w:color="auto" w:fill="auto"/>
            <w:tcMar>
              <w:top w:w="100" w:type="dxa"/>
              <w:left w:w="100" w:type="dxa"/>
              <w:bottom w:w="100" w:type="dxa"/>
              <w:right w:w="100" w:type="dxa"/>
            </w:tcMar>
          </w:tcPr>
          <w:p w14:paraId="47C0A23D" w14:textId="77777777" w:rsidR="00A75BD0" w:rsidRDefault="009D4DA5">
            <w:pPr>
              <w:widowControl w:val="0"/>
              <w:rPr>
                <w:sz w:val="20"/>
                <w:szCs w:val="20"/>
              </w:rPr>
            </w:pPr>
            <w:r>
              <w:rPr>
                <w:sz w:val="20"/>
                <w:szCs w:val="20"/>
              </w:rPr>
              <w:t>Adresse : 23 Av. du Dr Lannelongue, 75014 Paris</w:t>
            </w:r>
          </w:p>
          <w:p w14:paraId="441CCB69" w14:textId="77777777" w:rsidR="00A75BD0" w:rsidRDefault="009D4DA5">
            <w:pPr>
              <w:widowControl w:val="0"/>
              <w:rPr>
                <w:sz w:val="20"/>
                <w:szCs w:val="20"/>
              </w:rPr>
            </w:pPr>
            <w:r>
              <w:rPr>
                <w:sz w:val="20"/>
                <w:szCs w:val="20"/>
              </w:rPr>
              <w:t>Contact électronique :  privacy.officer@pfizer.com</w:t>
            </w:r>
          </w:p>
        </w:tc>
      </w:tr>
      <w:tr w:rsidR="00A75BD0" w14:paraId="679404B8" w14:textId="77777777" w:rsidTr="0BA40188">
        <w:tc>
          <w:tcPr>
            <w:tcW w:w="5240" w:type="dxa"/>
            <w:shd w:val="clear" w:color="auto" w:fill="auto"/>
            <w:tcMar>
              <w:top w:w="100" w:type="dxa"/>
              <w:left w:w="100" w:type="dxa"/>
              <w:bottom w:w="100" w:type="dxa"/>
              <w:right w:w="100" w:type="dxa"/>
            </w:tcMar>
          </w:tcPr>
          <w:p w14:paraId="65BCA73E" w14:textId="77777777" w:rsidR="00A75BD0" w:rsidRDefault="009D4DA5">
            <w:pPr>
              <w:widowControl w:val="0"/>
              <w:rPr>
                <w:sz w:val="20"/>
                <w:szCs w:val="20"/>
              </w:rPr>
            </w:pPr>
            <w:r>
              <w:rPr>
                <w:sz w:val="20"/>
                <w:szCs w:val="20"/>
              </w:rPr>
              <w:t>CELLTRION HEALTHCARE FRANCE SAS</w:t>
            </w:r>
          </w:p>
        </w:tc>
        <w:tc>
          <w:tcPr>
            <w:tcW w:w="5240" w:type="dxa"/>
            <w:shd w:val="clear" w:color="auto" w:fill="auto"/>
            <w:tcMar>
              <w:top w:w="100" w:type="dxa"/>
              <w:left w:w="100" w:type="dxa"/>
              <w:bottom w:w="100" w:type="dxa"/>
              <w:right w:w="100" w:type="dxa"/>
            </w:tcMar>
          </w:tcPr>
          <w:p w14:paraId="1168D18A" w14:textId="77777777" w:rsidR="00A75BD0" w:rsidRDefault="009D4DA5" w:rsidP="0BA40188">
            <w:pPr>
              <w:widowControl w:val="0"/>
              <w:rPr>
                <w:sz w:val="20"/>
                <w:szCs w:val="20"/>
                <w:lang w:val="fr-FR"/>
              </w:rPr>
            </w:pPr>
            <w:r w:rsidRPr="0BA40188">
              <w:rPr>
                <w:sz w:val="20"/>
                <w:szCs w:val="20"/>
                <w:lang w:val="fr-FR"/>
              </w:rPr>
              <w:t>Adresse : 9-15 Rue Rouget de Lisle, 92130 Issy-les-Moulineaux</w:t>
            </w:r>
          </w:p>
          <w:p w14:paraId="7D3B50B4" w14:textId="77777777" w:rsidR="00A75BD0" w:rsidRDefault="009D4DA5">
            <w:pPr>
              <w:widowControl w:val="0"/>
              <w:rPr>
                <w:sz w:val="20"/>
                <w:szCs w:val="20"/>
              </w:rPr>
            </w:pPr>
            <w:r>
              <w:rPr>
                <w:sz w:val="20"/>
                <w:szCs w:val="20"/>
              </w:rPr>
              <w:t>Contact électronique :  dpo.cthc.fr@celltrionhc.com</w:t>
            </w:r>
          </w:p>
        </w:tc>
      </w:tr>
      <w:tr w:rsidR="00A75BD0" w14:paraId="56CE3D36" w14:textId="77777777" w:rsidTr="0BA40188">
        <w:tc>
          <w:tcPr>
            <w:tcW w:w="5240" w:type="dxa"/>
            <w:shd w:val="clear" w:color="auto" w:fill="auto"/>
            <w:tcMar>
              <w:top w:w="100" w:type="dxa"/>
              <w:left w:w="100" w:type="dxa"/>
              <w:bottom w:w="100" w:type="dxa"/>
              <w:right w:w="100" w:type="dxa"/>
            </w:tcMar>
          </w:tcPr>
          <w:p w14:paraId="34860673" w14:textId="77777777" w:rsidR="00A75BD0" w:rsidRDefault="009D4DA5">
            <w:pPr>
              <w:widowControl w:val="0"/>
              <w:rPr>
                <w:sz w:val="20"/>
                <w:szCs w:val="20"/>
              </w:rPr>
            </w:pPr>
            <w:r>
              <w:rPr>
                <w:sz w:val="20"/>
                <w:szCs w:val="20"/>
              </w:rPr>
              <w:t>AMGEN</w:t>
            </w:r>
          </w:p>
        </w:tc>
        <w:tc>
          <w:tcPr>
            <w:tcW w:w="5240" w:type="dxa"/>
            <w:shd w:val="clear" w:color="auto" w:fill="auto"/>
            <w:tcMar>
              <w:top w:w="100" w:type="dxa"/>
              <w:left w:w="100" w:type="dxa"/>
              <w:bottom w:w="100" w:type="dxa"/>
              <w:right w:w="100" w:type="dxa"/>
            </w:tcMar>
          </w:tcPr>
          <w:p w14:paraId="14B22A12" w14:textId="77777777" w:rsidR="00A75BD0" w:rsidRDefault="009D4DA5">
            <w:pPr>
              <w:widowControl w:val="0"/>
              <w:rPr>
                <w:sz w:val="20"/>
                <w:szCs w:val="20"/>
              </w:rPr>
            </w:pPr>
            <w:r>
              <w:rPr>
                <w:sz w:val="20"/>
                <w:szCs w:val="20"/>
              </w:rPr>
              <w:t>Adresse : 25 Quai du Président Paul Doumer, 92400 Courbevoie</w:t>
            </w:r>
          </w:p>
          <w:p w14:paraId="1204A22C" w14:textId="77777777" w:rsidR="00A75BD0" w:rsidRDefault="009D4DA5">
            <w:pPr>
              <w:widowControl w:val="0"/>
              <w:rPr>
                <w:sz w:val="20"/>
                <w:szCs w:val="20"/>
              </w:rPr>
            </w:pPr>
            <w:r>
              <w:rPr>
                <w:sz w:val="20"/>
                <w:szCs w:val="20"/>
              </w:rPr>
              <w:t>Contact électronique :  privacy@amgen.com</w:t>
            </w:r>
          </w:p>
        </w:tc>
      </w:tr>
      <w:tr w:rsidR="00A75BD0" w14:paraId="1E9E0E15" w14:textId="77777777" w:rsidTr="0BA40188">
        <w:tc>
          <w:tcPr>
            <w:tcW w:w="5240" w:type="dxa"/>
            <w:shd w:val="clear" w:color="auto" w:fill="auto"/>
            <w:tcMar>
              <w:top w:w="100" w:type="dxa"/>
              <w:left w:w="100" w:type="dxa"/>
              <w:bottom w:w="100" w:type="dxa"/>
              <w:right w:w="100" w:type="dxa"/>
            </w:tcMar>
          </w:tcPr>
          <w:p w14:paraId="410F288B" w14:textId="77777777" w:rsidR="00A75BD0" w:rsidRDefault="009D4DA5">
            <w:pPr>
              <w:widowControl w:val="0"/>
              <w:rPr>
                <w:sz w:val="20"/>
                <w:szCs w:val="20"/>
              </w:rPr>
            </w:pPr>
            <w:r>
              <w:rPr>
                <w:sz w:val="20"/>
                <w:szCs w:val="20"/>
              </w:rPr>
              <w:t>BIOCON</w:t>
            </w:r>
          </w:p>
        </w:tc>
        <w:tc>
          <w:tcPr>
            <w:tcW w:w="5240" w:type="dxa"/>
            <w:shd w:val="clear" w:color="auto" w:fill="auto"/>
            <w:tcMar>
              <w:top w:w="100" w:type="dxa"/>
              <w:left w:w="100" w:type="dxa"/>
              <w:bottom w:w="100" w:type="dxa"/>
              <w:right w:w="100" w:type="dxa"/>
            </w:tcMar>
          </w:tcPr>
          <w:p w14:paraId="7D9333DC" w14:textId="77777777" w:rsidR="00A75BD0" w:rsidRDefault="009D4DA5">
            <w:pPr>
              <w:widowControl w:val="0"/>
              <w:rPr>
                <w:sz w:val="20"/>
                <w:szCs w:val="20"/>
              </w:rPr>
            </w:pPr>
            <w:r>
              <w:rPr>
                <w:sz w:val="20"/>
                <w:szCs w:val="20"/>
              </w:rPr>
              <w:t>Adresse : 4 RUE DE MARIVAUX - 75002 PARIS</w:t>
            </w:r>
          </w:p>
          <w:p w14:paraId="1339772F" w14:textId="77777777" w:rsidR="00A75BD0" w:rsidRDefault="009D4DA5">
            <w:pPr>
              <w:widowControl w:val="0"/>
              <w:rPr>
                <w:sz w:val="20"/>
                <w:szCs w:val="20"/>
              </w:rPr>
            </w:pPr>
            <w:r>
              <w:rPr>
                <w:sz w:val="20"/>
                <w:szCs w:val="20"/>
              </w:rPr>
              <w:t>Contact électronique :  privacy@bioconbiologics.com</w:t>
            </w:r>
          </w:p>
        </w:tc>
      </w:tr>
      <w:tr w:rsidR="00A75BD0" w14:paraId="76FB4910" w14:textId="77777777" w:rsidTr="0BA40188">
        <w:tc>
          <w:tcPr>
            <w:tcW w:w="5240" w:type="dxa"/>
            <w:shd w:val="clear" w:color="auto" w:fill="auto"/>
            <w:tcMar>
              <w:top w:w="100" w:type="dxa"/>
              <w:left w:w="100" w:type="dxa"/>
              <w:bottom w:w="100" w:type="dxa"/>
              <w:right w:w="100" w:type="dxa"/>
            </w:tcMar>
          </w:tcPr>
          <w:p w14:paraId="308F0476" w14:textId="77777777" w:rsidR="00A75BD0" w:rsidRDefault="009D4DA5">
            <w:pPr>
              <w:widowControl w:val="0"/>
              <w:rPr>
                <w:sz w:val="20"/>
                <w:szCs w:val="20"/>
              </w:rPr>
            </w:pPr>
            <w:r>
              <w:rPr>
                <w:sz w:val="20"/>
                <w:szCs w:val="20"/>
              </w:rPr>
              <w:t>ORGANON FRANCE</w:t>
            </w:r>
          </w:p>
        </w:tc>
        <w:tc>
          <w:tcPr>
            <w:tcW w:w="5240" w:type="dxa"/>
            <w:shd w:val="clear" w:color="auto" w:fill="auto"/>
            <w:tcMar>
              <w:top w:w="100" w:type="dxa"/>
              <w:left w:w="100" w:type="dxa"/>
              <w:bottom w:w="100" w:type="dxa"/>
              <w:right w:w="100" w:type="dxa"/>
            </w:tcMar>
          </w:tcPr>
          <w:p w14:paraId="79AAEB9F" w14:textId="77777777" w:rsidR="00A75BD0" w:rsidRDefault="009D4DA5">
            <w:pPr>
              <w:widowControl w:val="0"/>
              <w:rPr>
                <w:sz w:val="20"/>
                <w:szCs w:val="20"/>
              </w:rPr>
            </w:pPr>
            <w:r>
              <w:rPr>
                <w:sz w:val="20"/>
                <w:szCs w:val="20"/>
              </w:rPr>
              <w:t>Adresse : 176 Rue Montmartre, 75002 Paris</w:t>
            </w:r>
          </w:p>
          <w:p w14:paraId="2D1E1AEA" w14:textId="77777777" w:rsidR="00A75BD0" w:rsidRDefault="009D4DA5">
            <w:pPr>
              <w:widowControl w:val="0"/>
              <w:rPr>
                <w:sz w:val="20"/>
                <w:szCs w:val="20"/>
              </w:rPr>
            </w:pPr>
            <w:r>
              <w:rPr>
                <w:sz w:val="20"/>
                <w:szCs w:val="20"/>
              </w:rPr>
              <w:t>Contact électronique :  dpofrance@organon.com</w:t>
            </w:r>
          </w:p>
        </w:tc>
      </w:tr>
      <w:tr w:rsidR="00A75BD0" w14:paraId="4C352539" w14:textId="77777777" w:rsidTr="0BA40188">
        <w:tc>
          <w:tcPr>
            <w:tcW w:w="5240" w:type="dxa"/>
            <w:shd w:val="clear" w:color="auto" w:fill="auto"/>
            <w:tcMar>
              <w:top w:w="100" w:type="dxa"/>
              <w:left w:w="100" w:type="dxa"/>
              <w:bottom w:w="100" w:type="dxa"/>
              <w:right w:w="100" w:type="dxa"/>
            </w:tcMar>
          </w:tcPr>
          <w:p w14:paraId="212EE4A6" w14:textId="77777777" w:rsidR="00A75BD0" w:rsidRDefault="009D4DA5">
            <w:pPr>
              <w:widowControl w:val="0"/>
              <w:rPr>
                <w:sz w:val="20"/>
                <w:szCs w:val="20"/>
              </w:rPr>
            </w:pPr>
            <w:r>
              <w:rPr>
                <w:sz w:val="20"/>
                <w:szCs w:val="20"/>
              </w:rPr>
              <w:t>HOSPICES CIVILS DE LYON</w:t>
            </w:r>
          </w:p>
        </w:tc>
        <w:tc>
          <w:tcPr>
            <w:tcW w:w="5240" w:type="dxa"/>
            <w:shd w:val="clear" w:color="auto" w:fill="auto"/>
            <w:tcMar>
              <w:top w:w="100" w:type="dxa"/>
              <w:left w:w="100" w:type="dxa"/>
              <w:bottom w:w="100" w:type="dxa"/>
              <w:right w:w="100" w:type="dxa"/>
            </w:tcMar>
          </w:tcPr>
          <w:p w14:paraId="1F067545" w14:textId="77777777" w:rsidR="00A75BD0" w:rsidRDefault="009D4DA5">
            <w:pPr>
              <w:widowControl w:val="0"/>
              <w:rPr>
                <w:sz w:val="20"/>
                <w:szCs w:val="20"/>
              </w:rPr>
            </w:pPr>
            <w:r>
              <w:rPr>
                <w:sz w:val="20"/>
                <w:szCs w:val="20"/>
              </w:rPr>
              <w:t>Adresse : 3 Quai des Célestins, 69002 Lyon</w:t>
            </w:r>
          </w:p>
          <w:p w14:paraId="55CD9E0C" w14:textId="77777777" w:rsidR="00A75BD0" w:rsidRDefault="009D4DA5">
            <w:pPr>
              <w:widowControl w:val="0"/>
              <w:rPr>
                <w:sz w:val="20"/>
                <w:szCs w:val="20"/>
              </w:rPr>
            </w:pPr>
            <w:r>
              <w:rPr>
                <w:sz w:val="20"/>
                <w:szCs w:val="20"/>
              </w:rPr>
              <w:t xml:space="preserve">Contact électronique :  dpo@chu-lyon.fr </w:t>
            </w:r>
          </w:p>
        </w:tc>
      </w:tr>
    </w:tbl>
    <w:p w14:paraId="2DE1E701" w14:textId="77777777" w:rsidR="00A75BD0" w:rsidRDefault="009D4DA5">
      <w:pPr>
        <w:rPr>
          <w:rFonts w:ascii="Arial" w:eastAsia="Arial" w:hAnsi="Arial" w:cs="Arial"/>
          <w:sz w:val="20"/>
          <w:szCs w:val="20"/>
        </w:rPr>
      </w:pPr>
      <w:r>
        <w:t xml:space="preserve">     </w:t>
      </w:r>
      <w:r>
        <w:br w:type="page"/>
      </w:r>
    </w:p>
    <w:p w14:paraId="4E67EF66" w14:textId="77777777" w:rsidR="00A75BD0" w:rsidRDefault="009D4DA5">
      <w:pPr>
        <w:pBdr>
          <w:top w:val="nil"/>
          <w:left w:val="nil"/>
          <w:bottom w:val="nil"/>
          <w:right w:val="nil"/>
          <w:between w:val="nil"/>
        </w:pBdr>
        <w:spacing w:line="240" w:lineRule="auto"/>
        <w:rPr>
          <w:rFonts w:ascii="Arial Narrow" w:eastAsia="Arial Narrow" w:hAnsi="Arial Narrow" w:cs="Arial Narrow"/>
          <w:color w:val="2E75B5"/>
          <w:sz w:val="28"/>
          <w:szCs w:val="28"/>
        </w:rPr>
      </w:pPr>
      <w:r>
        <w:rPr>
          <w:rFonts w:ascii="Arial Narrow" w:eastAsia="Arial Narrow" w:hAnsi="Arial Narrow" w:cs="Arial Narrow"/>
          <w:color w:val="2E75B5"/>
          <w:sz w:val="28"/>
          <w:szCs w:val="28"/>
        </w:rPr>
        <w:t xml:space="preserve">Annexe 4b. Note d’information à destination des professionnels de santé </w:t>
      </w:r>
    </w:p>
    <w:p w14:paraId="0457F453"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 xml:space="preserve">Ce document vous informe sur la collecte et le traitement (c’est-à-dire l’utilisation) de vos données à caractère personnel recueillies dans le cadre de prescription compassionnelle relatif à l’utilisation du bevacizumab, dans le traitement de la maladie de Rendu-Osler (ci-après le « CPC bevacizumab »). </w:t>
      </w:r>
    </w:p>
    <w:p w14:paraId="3D44C694"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highlight w:val="white"/>
          <w:lang w:val="fr-FR"/>
        </w:rPr>
        <w:t>Les responsables conjoints du traitement des données sont les laboratoires Roche SAS, Pfizer, Celltrion Healthcare, Amgen, Biocon, Organon France,</w:t>
      </w:r>
      <w:r w:rsidRPr="0BA40188">
        <w:rPr>
          <w:lang w:val="fr-FR"/>
        </w:rPr>
        <w:t xml:space="preserve">     </w:t>
      </w:r>
      <w:r w:rsidRPr="0BA40188">
        <w:rPr>
          <w:rFonts w:ascii="Arial" w:eastAsia="Arial" w:hAnsi="Arial" w:cs="Arial"/>
          <w:sz w:val="20"/>
          <w:szCs w:val="20"/>
          <w:highlight w:val="white"/>
          <w:lang w:val="fr-FR"/>
        </w:rPr>
        <w:t>ainsi que les Hospices Civils de Lyon. Il s’agit des laboratoires exploitant le médicament qui vous a été prescrit en cadre de prescription compassionnelle, et de l’hôpital organisant la collecte des données. Les coordonnées de</w:t>
      </w:r>
      <w:r w:rsidRPr="0BA40188">
        <w:rPr>
          <w:rFonts w:ascii="Arial" w:eastAsia="Arial" w:hAnsi="Arial" w:cs="Arial"/>
          <w:sz w:val="20"/>
          <w:szCs w:val="20"/>
          <w:lang w:val="fr-FR"/>
        </w:rPr>
        <w:t>s responsables conjoints de traitement sont indiquées en fin de notice.</w:t>
      </w:r>
    </w:p>
    <w:p w14:paraId="1282FEF9" w14:textId="77777777" w:rsidR="00A75BD0" w:rsidRDefault="009D4DA5">
      <w:pPr>
        <w:jc w:val="both"/>
        <w:rPr>
          <w:rFonts w:ascii="Arial" w:eastAsia="Arial" w:hAnsi="Arial" w:cs="Arial"/>
          <w:sz w:val="20"/>
          <w:szCs w:val="20"/>
        </w:rPr>
      </w:pPr>
      <w:r>
        <w:rPr>
          <w:rFonts w:ascii="Arial" w:eastAsia="Arial" w:hAnsi="Arial" w:cs="Arial"/>
          <w:sz w:val="20"/>
          <w:szCs w:val="20"/>
        </w:rPr>
        <w:t>Tous s’engagent à assurer la sécurité et la confidentialité de vos données à caractère personnel.</w:t>
      </w:r>
    </w:p>
    <w:p w14:paraId="467C5CD1"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Pour toute question ou demande concernant le traitement de vos données, vous pouvez contacter le délégué à la protection des données des Hospices Civils de Lyon : </w:t>
      </w:r>
    </w:p>
    <w:p w14:paraId="2C0186E8" w14:textId="77777777" w:rsidR="00A75BD0" w:rsidRDefault="009D4DA5" w:rsidP="0BA40188">
      <w:pPr>
        <w:numPr>
          <w:ilvl w:val="0"/>
          <w:numId w:val="7"/>
        </w:numPr>
        <w:spacing w:after="0"/>
        <w:jc w:val="both"/>
        <w:rPr>
          <w:rFonts w:ascii="Arial" w:eastAsia="Arial" w:hAnsi="Arial" w:cs="Arial"/>
          <w:sz w:val="20"/>
          <w:szCs w:val="20"/>
          <w:lang w:val="fr-FR"/>
        </w:rPr>
      </w:pPr>
      <w:r w:rsidRPr="0BA40188">
        <w:rPr>
          <w:rFonts w:ascii="Arial" w:eastAsia="Arial" w:hAnsi="Arial" w:cs="Arial"/>
          <w:sz w:val="20"/>
          <w:szCs w:val="20"/>
          <w:lang w:val="fr-FR"/>
        </w:rPr>
        <w:t>par courrier : Hospices Civils de Lyon - Délégué à la Protection des Données - Direction des affaires Juridiques - 3 quai des Célestins - BP 2251 69229 Lyon cedex 02</w:t>
      </w:r>
    </w:p>
    <w:p w14:paraId="51A148F9" w14:textId="77777777" w:rsidR="00A75BD0" w:rsidRDefault="009D4DA5" w:rsidP="0BA40188">
      <w:pPr>
        <w:numPr>
          <w:ilvl w:val="0"/>
          <w:numId w:val="7"/>
        </w:numPr>
        <w:jc w:val="both"/>
        <w:rPr>
          <w:rFonts w:ascii="Arial" w:eastAsia="Arial" w:hAnsi="Arial" w:cs="Arial"/>
          <w:sz w:val="20"/>
          <w:szCs w:val="20"/>
          <w:lang w:val="fr-FR"/>
        </w:rPr>
      </w:pPr>
      <w:r w:rsidRPr="0BA40188">
        <w:rPr>
          <w:rFonts w:ascii="Arial" w:eastAsia="Arial" w:hAnsi="Arial" w:cs="Arial"/>
          <w:sz w:val="20"/>
          <w:szCs w:val="20"/>
          <w:lang w:val="fr-FR"/>
        </w:rPr>
        <w:t xml:space="preserve">ou par par email : </w:t>
      </w:r>
      <w:hyperlink r:id="rId67">
        <w:r w:rsidRPr="0BA40188">
          <w:rPr>
            <w:rFonts w:ascii="Arial" w:eastAsia="Arial" w:hAnsi="Arial" w:cs="Arial"/>
            <w:color w:val="0563C1"/>
            <w:sz w:val="20"/>
            <w:szCs w:val="20"/>
            <w:u w:val="single"/>
            <w:lang w:val="fr-FR"/>
          </w:rPr>
          <w:t>dpo@chu-lyon.fr</w:t>
        </w:r>
      </w:hyperlink>
      <w:r w:rsidRPr="0BA40188">
        <w:rPr>
          <w:rFonts w:ascii="Arial" w:eastAsia="Arial" w:hAnsi="Arial" w:cs="Arial"/>
          <w:sz w:val="20"/>
          <w:szCs w:val="20"/>
          <w:lang w:val="fr-FR"/>
        </w:rPr>
        <w:t>.</w:t>
      </w:r>
    </w:p>
    <w:p w14:paraId="3379585E" w14:textId="77777777" w:rsidR="00A75BD0" w:rsidRDefault="00A75BD0">
      <w:pPr>
        <w:ind w:left="360"/>
        <w:jc w:val="both"/>
        <w:rPr>
          <w:rFonts w:ascii="Arial" w:eastAsia="Arial" w:hAnsi="Arial" w:cs="Arial"/>
          <w:sz w:val="20"/>
          <w:szCs w:val="20"/>
        </w:rPr>
      </w:pPr>
    </w:p>
    <w:p w14:paraId="513FD4CE"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À quoi vont servir vos données ?</w:t>
      </w:r>
    </w:p>
    <w:p w14:paraId="18D3C7B1"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Le traitement de vos données à caractère personnel vise à : </w:t>
      </w:r>
    </w:p>
    <w:p w14:paraId="0FA09783" w14:textId="77777777" w:rsidR="00A75BD0" w:rsidRDefault="009D4DA5" w:rsidP="0BA40188">
      <w:pPr>
        <w:numPr>
          <w:ilvl w:val="2"/>
          <w:numId w:val="31"/>
        </w:numPr>
        <w:pBdr>
          <w:top w:val="nil"/>
          <w:left w:val="nil"/>
          <w:bottom w:val="nil"/>
          <w:right w:val="nil"/>
          <w:between w:val="nil"/>
        </w:pBdr>
        <w:spacing w:before="40" w:after="20" w:line="288" w:lineRule="auto"/>
        <w:ind w:left="567"/>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assurer le suivi de la collecte des données à caractère personnel des patients dans le CPC bevacizumab ;</w:t>
      </w:r>
    </w:p>
    <w:p w14:paraId="1EE137A3" w14:textId="77777777" w:rsidR="00A75BD0" w:rsidRDefault="009D4DA5" w:rsidP="0BA40188">
      <w:pPr>
        <w:numPr>
          <w:ilvl w:val="2"/>
          <w:numId w:val="31"/>
        </w:numPr>
        <w:pBdr>
          <w:top w:val="nil"/>
          <w:left w:val="nil"/>
          <w:bottom w:val="nil"/>
          <w:right w:val="nil"/>
          <w:between w:val="nil"/>
        </w:pBdr>
        <w:spacing w:before="40" w:after="20" w:line="288" w:lineRule="auto"/>
        <w:ind w:left="567"/>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xml:space="preserve">recueillir des informations sur les conditions d’utilisation du médicament dans le CPC bevacizumab </w:t>
      </w:r>
      <w:r w:rsidRPr="0BA40188">
        <w:rPr>
          <w:rFonts w:ascii="Arial" w:eastAsia="Arial" w:hAnsi="Arial" w:cs="Arial"/>
          <w:color w:val="404040" w:themeColor="text1" w:themeTint="BF"/>
          <w:sz w:val="20"/>
          <w:szCs w:val="20"/>
          <w:lang w:val="fr-FR"/>
        </w:rPr>
        <w:t xml:space="preserve">; </w:t>
      </w:r>
    </w:p>
    <w:p w14:paraId="412020C9" w14:textId="77777777" w:rsidR="00A75BD0" w:rsidRDefault="009D4DA5" w:rsidP="0BA40188">
      <w:pPr>
        <w:numPr>
          <w:ilvl w:val="2"/>
          <w:numId w:val="31"/>
        </w:numPr>
        <w:pBdr>
          <w:top w:val="nil"/>
          <w:left w:val="nil"/>
          <w:bottom w:val="nil"/>
          <w:right w:val="nil"/>
          <w:between w:val="nil"/>
        </w:pBdr>
        <w:spacing w:before="40" w:after="20" w:line="288" w:lineRule="auto"/>
        <w:ind w:left="567"/>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assurer la gestion des contacts avec les professionnels de santé intervenant dans le cadre du suivi des patients bénéficiant des médicaments couvert par le CPC bevacizumab et les personnels agissant sous leur responsabilité ou autorité.</w:t>
      </w:r>
    </w:p>
    <w:p w14:paraId="08969E2F" w14:textId="77777777" w:rsidR="00A75BD0" w:rsidRDefault="009D4DA5">
      <w:pPr>
        <w:jc w:val="both"/>
        <w:rPr>
          <w:rFonts w:ascii="Arial" w:eastAsia="Arial" w:hAnsi="Arial" w:cs="Arial"/>
          <w:sz w:val="20"/>
          <w:szCs w:val="20"/>
        </w:rPr>
      </w:pPr>
      <w:r>
        <w:rPr>
          <w:rFonts w:ascii="Arial" w:eastAsia="Arial" w:hAnsi="Arial" w:cs="Arial"/>
          <w:color w:val="000000"/>
          <w:sz w:val="20"/>
          <w:szCs w:val="20"/>
        </w:rPr>
        <w:t>Ces informations seront traitées uniquement pour les finalités décrites ci-dessus.</w:t>
      </w:r>
    </w:p>
    <w:p w14:paraId="153F186A"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 xml:space="preserve">Sur quelle loi se fonde le traitement des données ? </w:t>
      </w:r>
    </w:p>
    <w:p w14:paraId="30985BD9"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Ce traitement de données est fondé sur une obligation légale à la charge de chaque laboratoire, responsable conjoint du traitement (article 6.1.c du </w:t>
      </w:r>
      <w:hyperlink r:id="rId68">
        <w:r>
          <w:rPr>
            <w:rFonts w:ascii="Arial" w:eastAsia="Arial" w:hAnsi="Arial" w:cs="Arial"/>
            <w:color w:val="004990"/>
            <w:sz w:val="20"/>
            <w:szCs w:val="20"/>
            <w:u w:val="single"/>
          </w:rPr>
          <w:t>RGPD</w:t>
        </w:r>
      </w:hyperlink>
      <w:r>
        <w:rPr>
          <w:rFonts w:ascii="Arial" w:eastAsia="Arial" w:hAnsi="Arial" w:cs="Arial"/>
          <w:sz w:val="20"/>
          <w:szCs w:val="20"/>
        </w:rPr>
        <w:t>), telle que prévue à l’</w:t>
      </w:r>
      <w:hyperlink r:id="rId69">
        <w:r>
          <w:rPr>
            <w:rFonts w:ascii="Arial" w:eastAsia="Arial" w:hAnsi="Arial" w:cs="Arial"/>
            <w:color w:val="004990"/>
            <w:sz w:val="20"/>
            <w:szCs w:val="20"/>
            <w:u w:val="single"/>
          </w:rPr>
          <w:t>article L. 5121-12-1 du code de la santé publique</w:t>
        </w:r>
      </w:hyperlink>
      <w:r>
        <w:rPr>
          <w:rFonts w:ascii="Arial" w:eastAsia="Arial" w:hAnsi="Arial" w:cs="Arial"/>
          <w:color w:val="004990"/>
          <w:sz w:val="20"/>
          <w:szCs w:val="20"/>
          <w:u w:val="single"/>
        </w:rPr>
        <w:t xml:space="preserve"> </w:t>
      </w:r>
      <w:r>
        <w:rPr>
          <w:rFonts w:ascii="Arial" w:eastAsia="Arial" w:hAnsi="Arial" w:cs="Arial"/>
          <w:sz w:val="20"/>
          <w:szCs w:val="20"/>
        </w:rPr>
        <w:t xml:space="preserve">relatif au dispositif d’accès compassionnel aux médicaments. </w:t>
      </w:r>
    </w:p>
    <w:p w14:paraId="6008564B" w14:textId="77777777" w:rsidR="00A75BD0" w:rsidRDefault="009D4DA5">
      <w:pPr>
        <w:jc w:val="both"/>
        <w:rPr>
          <w:rFonts w:ascii="Arial" w:eastAsia="Arial" w:hAnsi="Arial" w:cs="Arial"/>
          <w:sz w:val="20"/>
          <w:szCs w:val="20"/>
        </w:rPr>
      </w:pPr>
      <w:r>
        <w:rPr>
          <w:rFonts w:ascii="Arial" w:eastAsia="Arial" w:hAnsi="Arial" w:cs="Arial"/>
          <w:sz w:val="20"/>
          <w:szCs w:val="20"/>
        </w:rPr>
        <w:t>La collecte de données personnelles des patients est justifiée par un intérêt public dans le domaine de la santé (article 9.2.i) du RGPD.</w:t>
      </w:r>
    </w:p>
    <w:p w14:paraId="3AE35982" w14:textId="77777777" w:rsidR="00A75BD0" w:rsidRDefault="00A75BD0">
      <w:pPr>
        <w:jc w:val="both"/>
        <w:rPr>
          <w:rFonts w:ascii="Arial" w:eastAsia="Arial" w:hAnsi="Arial" w:cs="Arial"/>
          <w:sz w:val="20"/>
          <w:szCs w:val="20"/>
        </w:rPr>
      </w:pPr>
    </w:p>
    <w:p w14:paraId="3EED9709"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Quelles sont les données collectées ?</w:t>
      </w:r>
    </w:p>
    <w:p w14:paraId="3BC800B2" w14:textId="77777777" w:rsidR="00A75BD0" w:rsidRDefault="009D4DA5" w:rsidP="0BA40188">
      <w:pPr>
        <w:jc w:val="both"/>
        <w:rPr>
          <w:rFonts w:ascii="Arial" w:eastAsia="Arial" w:hAnsi="Arial" w:cs="Arial"/>
          <w:sz w:val="20"/>
          <w:szCs w:val="20"/>
          <w:lang w:val="fr-FR"/>
        </w:rPr>
      </w:pPr>
      <w:r w:rsidRPr="0BA40188">
        <w:rPr>
          <w:rFonts w:ascii="Arial" w:eastAsia="Arial" w:hAnsi="Arial" w:cs="Arial"/>
          <w:sz w:val="20"/>
          <w:szCs w:val="20"/>
          <w:lang w:val="fr-FR"/>
        </w:rPr>
        <w:t xml:space="preserve">Aux fins d’assurer le suivi de la collecte des données à caractère personnel des patients dans le cadre de prescription compassionnelle bevacizumab, les laboratoires collecteront des données permettant de vous identifier telles que votre nom, votre prénom, votre spécialité, votre numéro d’inscription au répertoire partagé des professionnels de santé (RPPS), votre numéro d’inscription au Fichier National des Établissements Sanitaires et Sociaux (FINESS) et vos coordonnées professionnelles (numéro de téléphone et email). </w:t>
      </w:r>
    </w:p>
    <w:p w14:paraId="02CF90FF" w14:textId="77777777" w:rsidR="00A75BD0" w:rsidRDefault="00A75BD0">
      <w:pPr>
        <w:jc w:val="both"/>
        <w:rPr>
          <w:rFonts w:ascii="Arial" w:eastAsia="Arial" w:hAnsi="Arial" w:cs="Arial"/>
          <w:sz w:val="20"/>
          <w:szCs w:val="20"/>
        </w:rPr>
      </w:pPr>
    </w:p>
    <w:p w14:paraId="6FFA426D"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Qui est destinataire des données ?</w:t>
      </w:r>
    </w:p>
    <w:p w14:paraId="6ED34DDA" w14:textId="77777777" w:rsidR="00A75BD0" w:rsidRDefault="009D4DA5">
      <w:pPr>
        <w:jc w:val="both"/>
        <w:rPr>
          <w:rFonts w:ascii="Arial" w:eastAsia="Arial" w:hAnsi="Arial" w:cs="Arial"/>
          <w:sz w:val="20"/>
          <w:szCs w:val="20"/>
        </w:rPr>
      </w:pPr>
      <w:r>
        <w:rPr>
          <w:rFonts w:ascii="Arial" w:eastAsia="Arial" w:hAnsi="Arial" w:cs="Arial"/>
          <w:sz w:val="20"/>
          <w:szCs w:val="20"/>
        </w:rPr>
        <w:t>Toutes ces informations confidentielles seront transmises aux personnels habilités des responsables de traitement</w:t>
      </w:r>
      <w:r>
        <w:rPr>
          <w:rFonts w:ascii="Arial" w:eastAsia="Arial" w:hAnsi="Arial" w:cs="Arial"/>
          <w:sz w:val="20"/>
          <w:szCs w:val="20"/>
          <w:vertAlign w:val="superscript"/>
        </w:rPr>
        <w:t xml:space="preserve"> </w:t>
      </w:r>
      <w:r>
        <w:rPr>
          <w:rFonts w:ascii="Arial" w:eastAsia="Arial" w:hAnsi="Arial" w:cs="Arial"/>
          <w:sz w:val="20"/>
          <w:szCs w:val="20"/>
        </w:rPr>
        <w:t>et leur</w:t>
      </w:r>
      <w:r>
        <w:t xml:space="preserve">     </w:t>
      </w:r>
      <w:r>
        <w:rPr>
          <w:rFonts w:ascii="Arial" w:eastAsia="Arial" w:hAnsi="Arial" w:cs="Arial"/>
          <w:sz w:val="20"/>
          <w:szCs w:val="20"/>
        </w:rPr>
        <w:t xml:space="preserve"> sous-traitant ICTA (société de recherche sous contrat). </w:t>
      </w:r>
      <w:r>
        <w:t xml:space="preserve">     </w:t>
      </w:r>
    </w:p>
    <w:p w14:paraId="3B5E9783"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Vos données pourront également être transmises : </w:t>
      </w:r>
    </w:p>
    <w:p w14:paraId="36E7450C" w14:textId="77777777" w:rsidR="00A75BD0" w:rsidRDefault="009D4DA5" w:rsidP="0BA40188">
      <w:pPr>
        <w:numPr>
          <w:ilvl w:val="0"/>
          <w:numId w:val="36"/>
        </w:numPr>
        <w:pBdr>
          <w:top w:val="nil"/>
          <w:left w:val="nil"/>
          <w:bottom w:val="nil"/>
          <w:right w:val="nil"/>
          <w:between w:val="nil"/>
        </w:pBdr>
        <w:spacing w:after="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au personnel habilité des autres sociétés du groupe Hoffman-La Roche</w:t>
      </w:r>
    </w:p>
    <w:p w14:paraId="6150A9A2" w14:textId="77777777" w:rsidR="00A75BD0" w:rsidRDefault="009D4DA5" w:rsidP="0BA40188">
      <w:pPr>
        <w:numPr>
          <w:ilvl w:val="0"/>
          <w:numId w:val="36"/>
        </w:numPr>
        <w:pBdr>
          <w:top w:val="nil"/>
          <w:left w:val="nil"/>
          <w:bottom w:val="nil"/>
          <w:right w:val="nil"/>
          <w:between w:val="nil"/>
        </w:pBdr>
        <w:spacing w:after="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au personnel habilité des autres sociétés du groupe Celltrion Healthcare France</w:t>
      </w:r>
      <w:r w:rsidRPr="0BA40188">
        <w:rPr>
          <w:color w:val="000000" w:themeColor="text1"/>
          <w:lang w:val="fr-FR"/>
        </w:rPr>
        <w:t xml:space="preserve"> </w:t>
      </w:r>
    </w:p>
    <w:p w14:paraId="6E88A89B" w14:textId="77777777" w:rsidR="00A75BD0" w:rsidRDefault="009D4DA5" w:rsidP="0BA40188">
      <w:pPr>
        <w:numPr>
          <w:ilvl w:val="0"/>
          <w:numId w:val="36"/>
        </w:numPr>
        <w:pBdr>
          <w:top w:val="nil"/>
          <w:left w:val="nil"/>
          <w:bottom w:val="nil"/>
          <w:right w:val="nil"/>
          <w:between w:val="nil"/>
        </w:pBdr>
        <w:spacing w:after="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au personnel habilité du laboratoire Organon &amp; co. ainsi qu’au laboratoire Samsung (titulaire de produit Aybintio)</w:t>
      </w:r>
    </w:p>
    <w:p w14:paraId="0BB92CB6" w14:textId="77777777" w:rsidR="00A75BD0" w:rsidRDefault="009D4DA5" w:rsidP="0BA40188">
      <w:pPr>
        <w:numPr>
          <w:ilvl w:val="0"/>
          <w:numId w:val="36"/>
        </w:numPr>
        <w:pBdr>
          <w:top w:val="nil"/>
          <w:left w:val="nil"/>
          <w:bottom w:val="nil"/>
          <w:right w:val="nil"/>
          <w:between w:val="nil"/>
        </w:pBdr>
        <w:spacing w:after="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au personnel habilité des autres sociétés du groupe Pfizer Inc auquel appartient Pfizer</w:t>
      </w:r>
    </w:p>
    <w:p w14:paraId="59F4F2E5" w14:textId="77777777" w:rsidR="00A75BD0" w:rsidRPr="001E1168" w:rsidRDefault="009D4DA5" w:rsidP="5CE7F154">
      <w:pPr>
        <w:keepLines/>
        <w:numPr>
          <w:ilvl w:val="0"/>
          <w:numId w:val="36"/>
        </w:numPr>
        <w:pBdr>
          <w:top w:val="nil"/>
          <w:left w:val="nil"/>
          <w:bottom w:val="nil"/>
          <w:right w:val="nil"/>
          <w:between w:val="nil"/>
        </w:pBdr>
        <w:spacing w:after="0" w:line="240" w:lineRule="auto"/>
        <w:rPr>
          <w:rFonts w:ascii="Arial" w:eastAsia="Arial" w:hAnsi="Arial" w:cs="Arial"/>
          <w:sz w:val="20"/>
          <w:szCs w:val="20"/>
          <w:lang w:val="fr-FR"/>
        </w:rPr>
      </w:pPr>
      <w:r w:rsidRPr="5CE7F154">
        <w:rPr>
          <w:lang w:val="fr-FR"/>
        </w:rPr>
        <w:t xml:space="preserve">     </w:t>
      </w:r>
      <w:r w:rsidRPr="001E1168">
        <w:rPr>
          <w:rFonts w:ascii="Arial" w:eastAsia="Arial" w:hAnsi="Arial" w:cs="Arial"/>
          <w:sz w:val="20"/>
          <w:szCs w:val="20"/>
          <w:lang w:val="fr-FR"/>
        </w:rPr>
        <w:t xml:space="preserve">au personnel habilité de Biocon Biologics France SAS et sociétés affiliées </w:t>
      </w:r>
    </w:p>
    <w:p w14:paraId="70A0F089" w14:textId="77777777" w:rsidR="00344813" w:rsidRDefault="78EB90E0" w:rsidP="5CE7F154">
      <w:pPr>
        <w:numPr>
          <w:ilvl w:val="0"/>
          <w:numId w:val="36"/>
        </w:numPr>
        <w:spacing w:after="0"/>
        <w:jc w:val="both"/>
        <w:rPr>
          <w:rFonts w:ascii="Arial" w:eastAsia="Arial" w:hAnsi="Arial" w:cs="Arial"/>
          <w:sz w:val="20"/>
          <w:szCs w:val="20"/>
        </w:rPr>
      </w:pPr>
      <w:r w:rsidRPr="5CE7F154">
        <w:rPr>
          <w:rFonts w:ascii="Arial" w:eastAsia="Arial" w:hAnsi="Arial" w:cs="Arial"/>
          <w:sz w:val="20"/>
          <w:szCs w:val="20"/>
        </w:rPr>
        <w:t>Au personnel habilité des autres sociétés du groupe Amgen auquel appartient Amgen SAS</w:t>
      </w:r>
    </w:p>
    <w:p w14:paraId="10BE44F0" w14:textId="77777777" w:rsidR="00344813" w:rsidRDefault="00344813" w:rsidP="004F45FC">
      <w:pPr>
        <w:keepLines/>
        <w:pBdr>
          <w:top w:val="nil"/>
          <w:left w:val="nil"/>
          <w:bottom w:val="nil"/>
          <w:right w:val="nil"/>
          <w:between w:val="nil"/>
        </w:pBdr>
        <w:spacing w:after="0" w:line="240" w:lineRule="auto"/>
        <w:ind w:left="720"/>
        <w:rPr>
          <w:rFonts w:ascii="Arial" w:eastAsia="Arial" w:hAnsi="Arial" w:cs="Arial"/>
          <w:color w:val="000000"/>
          <w:sz w:val="20"/>
          <w:szCs w:val="20"/>
        </w:rPr>
      </w:pPr>
    </w:p>
    <w:p w14:paraId="25171E8C" w14:textId="77777777" w:rsidR="00A75BD0" w:rsidRDefault="009D4DA5">
      <w:pPr>
        <w:spacing w:before="240" w:after="240"/>
        <w:jc w:val="both"/>
        <w:rPr>
          <w:rFonts w:ascii="Arial" w:eastAsia="Arial" w:hAnsi="Arial" w:cs="Arial"/>
          <w:sz w:val="20"/>
          <w:szCs w:val="20"/>
        </w:rPr>
      </w:pPr>
      <w:r>
        <w:rPr>
          <w:rFonts w:ascii="Arial" w:eastAsia="Arial" w:hAnsi="Arial" w:cs="Arial"/>
          <w:sz w:val="20"/>
          <w:szCs w:val="20"/>
        </w:rPr>
        <w:t>Les données du CPC sont susceptibles d'être analysées et de faire l'objet de publications scientifiques. Toutefois, ces publications ne comportent en aucun cas des données identifiantes.</w:t>
      </w:r>
    </w:p>
    <w:p w14:paraId="02FBB528" w14:textId="77777777" w:rsidR="00A75BD0" w:rsidRDefault="009D4DA5">
      <w:pPr>
        <w:spacing w:before="240" w:after="240"/>
        <w:jc w:val="both"/>
        <w:rPr>
          <w:rFonts w:ascii="Arial" w:eastAsia="Arial" w:hAnsi="Arial" w:cs="Arial"/>
          <w:sz w:val="20"/>
          <w:szCs w:val="20"/>
        </w:rPr>
      </w:pPr>
      <w:r>
        <w:rPr>
          <w:rFonts w:ascii="Arial" w:eastAsia="Arial" w:hAnsi="Arial" w:cs="Arial"/>
          <w:sz w:val="20"/>
          <w:szCs w:val="20"/>
        </w:rPr>
        <w:t xml:space="preserve">Peuvent également être destinataires des données les organismes publics communautaires, nationaux ou locaux en charge de la surveillance des médicaments sous CPC, dans le cadre de l'exercice de leurs missions telles que définies par les textes, notamment l'ANSM, les centres régionaux de pharmacovigilance et les centres antipoison. </w:t>
      </w:r>
    </w:p>
    <w:p w14:paraId="0D618046" w14:textId="77777777" w:rsidR="00A75BD0" w:rsidRDefault="00A75BD0">
      <w:pPr>
        <w:spacing w:before="240" w:after="240"/>
        <w:jc w:val="both"/>
        <w:rPr>
          <w:rFonts w:ascii="Arial" w:eastAsia="Arial" w:hAnsi="Arial" w:cs="Arial"/>
          <w:sz w:val="20"/>
          <w:szCs w:val="20"/>
        </w:rPr>
      </w:pPr>
    </w:p>
    <w:p w14:paraId="7082AE82" w14:textId="77777777" w:rsidR="00A75BD0" w:rsidRDefault="009D4DA5">
      <w:pPr>
        <w:jc w:val="both"/>
        <w:rPr>
          <w:rFonts w:ascii="Arial" w:eastAsia="Arial" w:hAnsi="Arial" w:cs="Arial"/>
          <w:sz w:val="20"/>
          <w:szCs w:val="20"/>
        </w:rPr>
      </w:pPr>
      <w:r>
        <w:rPr>
          <w:rFonts w:ascii="Arial" w:eastAsia="Arial" w:hAnsi="Arial" w:cs="Arial"/>
          <w:sz w:val="20"/>
          <w:szCs w:val="20"/>
        </w:rPr>
        <w:t>Un rapport de ces informations appelé rapport de synthèse ainsi qu’un résumé de ce rapport sont transmis par les laboratoires à l’ANSM ainsi qu’au centre régional de pharmacovigilance désigné pour assurer au niveau national le suivi du cadre de prescription compassionnelle.</w:t>
      </w:r>
    </w:p>
    <w:p w14:paraId="606DA118" w14:textId="77777777" w:rsidR="00A75BD0" w:rsidRDefault="009D4DA5">
      <w:pPr>
        <w:jc w:val="both"/>
      </w:pPr>
      <w:r>
        <w:rPr>
          <w:rFonts w:ascii="Arial" w:eastAsia="Arial" w:hAnsi="Arial" w:cs="Arial"/>
          <w:sz w:val="20"/>
          <w:szCs w:val="20"/>
        </w:rPr>
        <w:t>Ce rapport de synthèse et ce résumé ne comprendront aucune information permettant de vous identifie</w:t>
      </w:r>
      <w:r>
        <w:t>r.</w:t>
      </w:r>
    </w:p>
    <w:p w14:paraId="68C9F6E6" w14:textId="77777777" w:rsidR="00A75BD0" w:rsidRDefault="00A75BD0">
      <w:pPr>
        <w:spacing w:before="240" w:after="240"/>
        <w:jc w:val="both"/>
        <w:rPr>
          <w:rFonts w:ascii="Arial" w:eastAsia="Arial" w:hAnsi="Arial" w:cs="Arial"/>
          <w:color w:val="2E75B5"/>
          <w:sz w:val="20"/>
          <w:szCs w:val="20"/>
        </w:rPr>
      </w:pPr>
    </w:p>
    <w:p w14:paraId="2711C5F3" w14:textId="77777777" w:rsidR="00A75BD0" w:rsidRDefault="009D4DA5">
      <w:pPr>
        <w:spacing w:before="240" w:after="240"/>
        <w:jc w:val="both"/>
        <w:rPr>
          <w:rFonts w:ascii="Arial" w:eastAsia="Arial" w:hAnsi="Arial" w:cs="Arial"/>
          <w:color w:val="2E75B5"/>
          <w:sz w:val="20"/>
          <w:szCs w:val="20"/>
        </w:rPr>
      </w:pPr>
      <w:r>
        <w:rPr>
          <w:rFonts w:ascii="Arial" w:eastAsia="Arial" w:hAnsi="Arial" w:cs="Arial"/>
          <w:color w:val="2E75B5"/>
          <w:sz w:val="20"/>
          <w:szCs w:val="20"/>
        </w:rPr>
        <w:t>Vos données sont-elles transférées en dehors de l’Union européenne ?</w:t>
      </w:r>
    </w:p>
    <w:p w14:paraId="6FE3C06F" w14:textId="77777777" w:rsidR="00A75BD0" w:rsidRDefault="009D4DA5">
      <w:pPr>
        <w:spacing w:before="240" w:after="240"/>
        <w:jc w:val="both"/>
        <w:rPr>
          <w:rFonts w:ascii="Arial" w:eastAsia="Arial" w:hAnsi="Arial" w:cs="Arial"/>
          <w:sz w:val="20"/>
          <w:szCs w:val="20"/>
        </w:rPr>
      </w:pPr>
      <w:r>
        <w:rPr>
          <w:rFonts w:ascii="Arial" w:eastAsia="Arial" w:hAnsi="Arial" w:cs="Arial"/>
          <w:sz w:val="20"/>
          <w:szCs w:val="20"/>
        </w:rPr>
        <w:t>Vos données sont traitées au sein de l’Union européenne.</w:t>
      </w:r>
    </w:p>
    <w:p w14:paraId="0F5A5544"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A titre exceptionnel, vos données pourront faire l’objet d’un transfert vers des organismes établis en dehors de l’Union européenne lorsque le transfert est strictement nécessaire à la mise en œuvre du traitement de ces données. </w:t>
      </w:r>
    </w:p>
    <w:p w14:paraId="1785DDC2" w14:textId="77777777" w:rsidR="00A75BD0" w:rsidRDefault="009D4DA5">
      <w:pPr>
        <w:jc w:val="both"/>
        <w:rPr>
          <w:rFonts w:ascii="Arial" w:eastAsia="Arial" w:hAnsi="Arial" w:cs="Arial"/>
          <w:sz w:val="20"/>
          <w:szCs w:val="20"/>
        </w:rPr>
      </w:pPr>
      <w:r>
        <w:rPr>
          <w:rFonts w:ascii="Arial" w:eastAsia="Arial" w:hAnsi="Arial" w:cs="Arial"/>
          <w:sz w:val="20"/>
          <w:szCs w:val="20"/>
        </w:rPr>
        <w:t>À cette fin, les laboratoires concernés mettent en place les garanties nécessaires pour assurer la protection de vos droits en matière de protection des données personnelles, quel que soit le pays où vos données personnelles sont transférées.</w:t>
      </w:r>
    </w:p>
    <w:p w14:paraId="05991CF8"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Ainsi, vos données pourront être transférées hors de l’Union Européenne : </w:t>
      </w:r>
    </w:p>
    <w:p w14:paraId="5DF90021" w14:textId="77777777" w:rsidR="00A75BD0" w:rsidRDefault="009D4DA5">
      <w:pPr>
        <w:numPr>
          <w:ilvl w:val="0"/>
          <w:numId w:val="38"/>
        </w:numPr>
        <w:jc w:val="both"/>
        <w:rPr>
          <w:rFonts w:ascii="Arial" w:eastAsia="Arial" w:hAnsi="Arial" w:cs="Arial"/>
          <w:sz w:val="20"/>
          <w:szCs w:val="20"/>
        </w:rPr>
      </w:pPr>
      <w:r>
        <w:rPr>
          <w:rFonts w:ascii="Arial" w:eastAsia="Arial" w:hAnsi="Arial" w:cs="Arial"/>
          <w:sz w:val="20"/>
          <w:szCs w:val="20"/>
        </w:rPr>
        <w:t>En Suisse par Roche, reconnu par la Commission européen comme un pays assurant un niveau adéquat de protection des données,</w:t>
      </w:r>
    </w:p>
    <w:p w14:paraId="3486C802" w14:textId="77777777" w:rsidR="00A75BD0" w:rsidRDefault="009D4DA5" w:rsidP="0BA40188">
      <w:pPr>
        <w:numPr>
          <w:ilvl w:val="0"/>
          <w:numId w:val="38"/>
        </w:numPr>
        <w:jc w:val="both"/>
        <w:rPr>
          <w:rFonts w:ascii="Arial" w:eastAsia="Arial" w:hAnsi="Arial" w:cs="Arial"/>
          <w:sz w:val="20"/>
          <w:szCs w:val="20"/>
          <w:lang w:val="fr-FR"/>
        </w:rPr>
      </w:pPr>
      <w:r w:rsidRPr="0BA40188">
        <w:rPr>
          <w:rFonts w:ascii="Arial" w:eastAsia="Arial" w:hAnsi="Arial" w:cs="Arial"/>
          <w:sz w:val="20"/>
          <w:szCs w:val="20"/>
          <w:lang w:val="fr-FR"/>
        </w:rPr>
        <w:t>En Corée du Sud par Celltrion Healthcare France, reconnu par la Commission européen comme un pays assurant un niveau adéquat de protection des données,</w:t>
      </w:r>
    </w:p>
    <w:p w14:paraId="31B3BC49" w14:textId="77777777" w:rsidR="00A75BD0" w:rsidRDefault="009D4DA5">
      <w:pPr>
        <w:numPr>
          <w:ilvl w:val="0"/>
          <w:numId w:val="38"/>
        </w:numPr>
        <w:jc w:val="both"/>
        <w:rPr>
          <w:rFonts w:ascii="Arial" w:eastAsia="Arial" w:hAnsi="Arial" w:cs="Arial"/>
          <w:sz w:val="20"/>
          <w:szCs w:val="20"/>
        </w:rPr>
      </w:pPr>
      <w:r>
        <w:rPr>
          <w:rFonts w:ascii="Arial" w:eastAsia="Arial" w:hAnsi="Arial" w:cs="Arial"/>
          <w:sz w:val="20"/>
          <w:szCs w:val="20"/>
        </w:rPr>
        <w:t xml:space="preserve">En Corée du Sud par Organon France, pays pour lequel la Commission Européenne a rendu une décision d’adéquation, ce qui autorise le transfert, </w:t>
      </w:r>
    </w:p>
    <w:p w14:paraId="574B01E7" w14:textId="19CDC026" w:rsidR="00A75BD0" w:rsidRDefault="009D4DA5" w:rsidP="5C887A23">
      <w:pPr>
        <w:numPr>
          <w:ilvl w:val="0"/>
          <w:numId w:val="38"/>
        </w:numPr>
        <w:jc w:val="both"/>
        <w:rPr>
          <w:rFonts w:ascii="Arial" w:eastAsia="Arial" w:hAnsi="Arial" w:cs="Arial"/>
          <w:sz w:val="20"/>
          <w:szCs w:val="20"/>
          <w:lang w:val="fr-FR"/>
        </w:rPr>
      </w:pPr>
      <w:r w:rsidRPr="5C887A23">
        <w:rPr>
          <w:rFonts w:ascii="Arial" w:eastAsia="Arial" w:hAnsi="Arial" w:cs="Arial"/>
          <w:sz w:val="20"/>
          <w:szCs w:val="20"/>
          <w:lang w:val="fr-FR"/>
        </w:rPr>
        <w:t>Au sein du groupe Amgen, en conformité avec les règles d’entreprise contraignantes d’Amgen, qui peuvent être consultées sur http://www.amgen.com/bcr/.</w:t>
      </w:r>
    </w:p>
    <w:p w14:paraId="7394DC66" w14:textId="77777777" w:rsidR="00A75BD0" w:rsidRDefault="009D4DA5" w:rsidP="0BA40188">
      <w:pPr>
        <w:numPr>
          <w:ilvl w:val="0"/>
          <w:numId w:val="38"/>
        </w:numPr>
        <w:jc w:val="both"/>
        <w:rPr>
          <w:rFonts w:ascii="Arial" w:eastAsia="Arial" w:hAnsi="Arial" w:cs="Arial"/>
          <w:sz w:val="20"/>
          <w:szCs w:val="20"/>
          <w:lang w:val="fr-FR"/>
        </w:rPr>
      </w:pPr>
      <w:r w:rsidRPr="0BA40188">
        <w:rPr>
          <w:rFonts w:ascii="Arial" w:eastAsia="Arial" w:hAnsi="Arial" w:cs="Arial"/>
          <w:sz w:val="20"/>
          <w:szCs w:val="20"/>
          <w:lang w:val="fr-FR"/>
        </w:rPr>
        <w:t xml:space="preserve">Au sein du Groupe Pfizer Inc, étant précisé que Pfizer a conclu avec les sociétés du groupe Pfizer situées dans un pays tiers et le cas échéant, avec ses sous-traitants concernés, des clauses contractuelles types approuvées par la Commission Européenne conformément aux exigences des lois de protection des données. </w:t>
      </w:r>
    </w:p>
    <w:p w14:paraId="30D81AF5" w14:textId="77777777" w:rsidR="00A75BD0" w:rsidRDefault="009D4DA5" w:rsidP="0BA40188">
      <w:pPr>
        <w:numPr>
          <w:ilvl w:val="0"/>
          <w:numId w:val="38"/>
        </w:numPr>
        <w:jc w:val="both"/>
        <w:rPr>
          <w:rFonts w:ascii="Arial" w:eastAsia="Arial" w:hAnsi="Arial" w:cs="Arial"/>
          <w:sz w:val="20"/>
          <w:szCs w:val="20"/>
          <w:lang w:val="fr-FR"/>
        </w:rPr>
      </w:pPr>
      <w:r w:rsidRPr="0BA40188">
        <w:rPr>
          <w:lang w:val="fr-FR"/>
        </w:rPr>
        <w:t xml:space="preserve">     </w:t>
      </w:r>
      <w:r w:rsidRPr="0BA40188">
        <w:rPr>
          <w:rFonts w:ascii="Arial" w:eastAsia="Arial" w:hAnsi="Arial" w:cs="Arial"/>
          <w:sz w:val="20"/>
          <w:szCs w:val="20"/>
          <w:lang w:val="fr-FR"/>
        </w:rPr>
        <w:t xml:space="preserve">Au sein du groupe de sociétés Biocon Biologics dans les conditions décrites par sa politique de données personnelles telle qu’accessible sur le site internet suivant : https:// www.bioconbiologics.com/privacy-policy-bbl , notamment en matière de transferts de données personnelles vers l’Inde. </w:t>
      </w:r>
    </w:p>
    <w:p w14:paraId="6D8F040A" w14:textId="77777777" w:rsidR="00A75BD0" w:rsidRDefault="00A75BD0">
      <w:pPr>
        <w:jc w:val="both"/>
        <w:rPr>
          <w:rFonts w:ascii="Arial" w:eastAsia="Arial" w:hAnsi="Arial" w:cs="Arial"/>
          <w:sz w:val="20"/>
          <w:szCs w:val="20"/>
        </w:rPr>
      </w:pPr>
    </w:p>
    <w:p w14:paraId="229AE813" w14:textId="77777777" w:rsidR="00A75BD0" w:rsidRDefault="00A75BD0">
      <w:pPr>
        <w:jc w:val="both"/>
        <w:rPr>
          <w:rFonts w:ascii="Arial" w:eastAsia="Arial" w:hAnsi="Arial" w:cs="Arial"/>
          <w:sz w:val="20"/>
          <w:szCs w:val="20"/>
        </w:rPr>
      </w:pPr>
    </w:p>
    <w:p w14:paraId="2BC5DEDF" w14:textId="77777777" w:rsidR="00A75BD0" w:rsidRDefault="009D4DA5">
      <w:pPr>
        <w:jc w:val="both"/>
        <w:rPr>
          <w:rFonts w:ascii="Arial" w:eastAsia="Arial" w:hAnsi="Arial" w:cs="Arial"/>
          <w:sz w:val="20"/>
          <w:szCs w:val="20"/>
        </w:rPr>
      </w:pPr>
      <w:r>
        <w:rPr>
          <w:rFonts w:ascii="Arial" w:eastAsia="Arial" w:hAnsi="Arial" w:cs="Arial"/>
          <w:sz w:val="20"/>
          <w:szCs w:val="20"/>
        </w:rPr>
        <w:t>En outre, les laboratoires peuvent être amenés à transférer vos données à des autorités publiques sanitaires situées hors de l’Union européenne seulement si ce transfert est justifié par un motif important d’intérêt public reconnu par le droit de l’Union.</w:t>
      </w:r>
    </w:p>
    <w:p w14:paraId="6103CCCE" w14:textId="77777777" w:rsidR="00A75BD0" w:rsidRDefault="009D4DA5">
      <w:pPr>
        <w:rPr>
          <w:rFonts w:ascii="Arial" w:eastAsia="Arial" w:hAnsi="Arial" w:cs="Arial"/>
          <w:color w:val="2E75B5"/>
          <w:sz w:val="20"/>
          <w:szCs w:val="20"/>
        </w:rPr>
      </w:pPr>
      <w:r>
        <w:rPr>
          <w:rFonts w:ascii="Arial" w:eastAsia="Arial" w:hAnsi="Arial" w:cs="Arial"/>
          <w:sz w:val="20"/>
          <w:szCs w:val="20"/>
        </w:rPr>
        <w:t>Vous avez le droit de demander une copie de ces garanties aux laboratoires pharmaceutiques concernés. Pour obtenir une copie de ces garanties et de manière générale pour toute question concernant ces transferts, n’hésitez pas à contacter le délégué à la protection des données des laboratoires pharmaceutiques concernés et/ou des Hospices civils de Lyon dont les coordonnées sont indiquées dans la présente notice.</w:t>
      </w:r>
    </w:p>
    <w:p w14:paraId="69D4D2B9"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Combien de temps sont conservées vos données ?</w:t>
      </w:r>
    </w:p>
    <w:p w14:paraId="24A505E2" w14:textId="77777777" w:rsidR="00A75BD0" w:rsidRDefault="009D4DA5">
      <w:pPr>
        <w:spacing w:before="240" w:after="240"/>
        <w:jc w:val="both"/>
        <w:rPr>
          <w:rFonts w:ascii="Arial" w:eastAsia="Arial" w:hAnsi="Arial" w:cs="Arial"/>
          <w:sz w:val="20"/>
          <w:szCs w:val="20"/>
        </w:rPr>
      </w:pPr>
      <w:r>
        <w:rPr>
          <w:rFonts w:ascii="Arial" w:eastAsia="Arial" w:hAnsi="Arial" w:cs="Arial"/>
          <w:sz w:val="20"/>
          <w:szCs w:val="20"/>
        </w:rPr>
        <w:t>Les données vous concernant sont conservées dans la limite de dix ans suivant la fin du CPC ou, le cas échéant, dix ans suivant la fin de l’autorisation de mise sur le marché du médicament dans cette indication.</w:t>
      </w:r>
    </w:p>
    <w:p w14:paraId="69DF808C" w14:textId="77777777" w:rsidR="00A75BD0" w:rsidRDefault="009D4DA5">
      <w:pPr>
        <w:spacing w:before="240" w:after="240"/>
        <w:jc w:val="both"/>
        <w:rPr>
          <w:rFonts w:ascii="Arial" w:eastAsia="Arial" w:hAnsi="Arial" w:cs="Arial"/>
          <w:sz w:val="20"/>
          <w:szCs w:val="20"/>
        </w:rPr>
      </w:pPr>
      <w:r>
        <w:rPr>
          <w:rFonts w:ascii="Arial" w:eastAsia="Arial" w:hAnsi="Arial" w:cs="Arial"/>
          <w:sz w:val="20"/>
          <w:szCs w:val="20"/>
        </w:rPr>
        <w:t>A l’issue de ce délai, elles seront supprimées ou anonymisées.</w:t>
      </w:r>
    </w:p>
    <w:p w14:paraId="3E5365B5" w14:textId="77777777" w:rsidR="00A75BD0" w:rsidRDefault="00A75BD0">
      <w:pPr>
        <w:rPr>
          <w:rFonts w:ascii="Arial" w:eastAsia="Arial" w:hAnsi="Arial" w:cs="Arial"/>
          <w:color w:val="2E75B5"/>
          <w:sz w:val="20"/>
          <w:szCs w:val="20"/>
        </w:rPr>
      </w:pPr>
    </w:p>
    <w:p w14:paraId="2071AB58"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Quels sont vos droits et vos recours possibles ?</w:t>
      </w:r>
    </w:p>
    <w:p w14:paraId="43C71999" w14:textId="77777777" w:rsidR="00A75BD0" w:rsidRDefault="009D4DA5">
      <w:pPr>
        <w:jc w:val="both"/>
        <w:rPr>
          <w:rFonts w:ascii="Arial" w:eastAsia="Arial" w:hAnsi="Arial" w:cs="Arial"/>
          <w:sz w:val="20"/>
          <w:szCs w:val="20"/>
        </w:rPr>
      </w:pPr>
      <w:r>
        <w:rPr>
          <w:rFonts w:ascii="Arial" w:eastAsia="Arial" w:hAnsi="Arial" w:cs="Arial"/>
          <w:sz w:val="20"/>
          <w:szCs w:val="20"/>
        </w:rPr>
        <w:t>Conformément à la réglementation applicable (dont le RGPD et la Loi informatique et libertés), vous disposez, dans les cas prévus par celle-ci, d’un droit d’accès à vos données à caractère personnel, d’un droit de rectification de ces données et d’un droit visant à limiter le traitement de ces données.</w:t>
      </w:r>
    </w:p>
    <w:p w14:paraId="482DD920" w14:textId="77777777" w:rsidR="00A75BD0" w:rsidRDefault="009D4DA5">
      <w:pPr>
        <w:jc w:val="both"/>
        <w:rPr>
          <w:rFonts w:ascii="Arial" w:eastAsia="Arial" w:hAnsi="Arial" w:cs="Arial"/>
          <w:sz w:val="20"/>
          <w:szCs w:val="20"/>
        </w:rPr>
      </w:pPr>
      <w:r>
        <w:rPr>
          <w:rFonts w:ascii="Arial" w:eastAsia="Arial" w:hAnsi="Arial" w:cs="Arial"/>
          <w:sz w:val="20"/>
          <w:szCs w:val="20"/>
        </w:rPr>
        <w:t>Vous ne pouvez pas vous opposer au traitement de vos données personnelles ou demander leur suppression, dans la mesure où le traitement de vos données à caractère personnel est fondé sur le respect d’une obligation légale et poursuit un objectif d’intérêt public dans le domaine de la santé publique. Le droit à la portabilité n’est également pas applicable à ce traitement.</w:t>
      </w:r>
    </w:p>
    <w:p w14:paraId="21EF7299" w14:textId="77777777" w:rsidR="00A75BD0" w:rsidRDefault="009D4DA5">
      <w:pPr>
        <w:jc w:val="both"/>
        <w:rPr>
          <w:rFonts w:ascii="Arial" w:eastAsia="Arial" w:hAnsi="Arial" w:cs="Arial"/>
          <w:sz w:val="20"/>
          <w:szCs w:val="20"/>
        </w:rPr>
      </w:pPr>
      <w:r>
        <w:rPr>
          <w:rFonts w:ascii="Arial" w:eastAsia="Arial" w:hAnsi="Arial" w:cs="Arial"/>
          <w:sz w:val="20"/>
          <w:szCs w:val="20"/>
        </w:rPr>
        <w:t xml:space="preserve">Pour exercer vos droits, vous pouvez vous adresser au délégué à la protection des données des Hospices civils de Lyon </w:t>
      </w:r>
    </w:p>
    <w:p w14:paraId="7A0C267A" w14:textId="77777777" w:rsidR="00A75BD0" w:rsidRDefault="009D4DA5" w:rsidP="0BA40188">
      <w:pPr>
        <w:numPr>
          <w:ilvl w:val="0"/>
          <w:numId w:val="20"/>
        </w:numPr>
        <w:spacing w:after="0"/>
        <w:jc w:val="both"/>
        <w:rPr>
          <w:rFonts w:ascii="Arial" w:eastAsia="Arial" w:hAnsi="Arial" w:cs="Arial"/>
          <w:sz w:val="20"/>
          <w:szCs w:val="20"/>
          <w:lang w:val="fr-FR"/>
        </w:rPr>
      </w:pPr>
      <w:r w:rsidRPr="0BA40188">
        <w:rPr>
          <w:rFonts w:ascii="Arial" w:eastAsia="Arial" w:hAnsi="Arial" w:cs="Arial"/>
          <w:sz w:val="20"/>
          <w:szCs w:val="20"/>
          <w:lang w:val="fr-FR"/>
        </w:rPr>
        <w:t xml:space="preserve">par courrier : Hospices Civils de Lyon - Délégué à la protection des données, Direction des Affaires Juridiques - BP 2251, 3, quai des Célestin, 69229 LYON Cedex 02 </w:t>
      </w:r>
    </w:p>
    <w:p w14:paraId="3F2D20CA" w14:textId="77777777" w:rsidR="00A75BD0" w:rsidRDefault="009D4DA5" w:rsidP="0BA40188">
      <w:pPr>
        <w:numPr>
          <w:ilvl w:val="0"/>
          <w:numId w:val="20"/>
        </w:numPr>
        <w:jc w:val="both"/>
        <w:rPr>
          <w:rFonts w:ascii="Arial" w:eastAsia="Arial" w:hAnsi="Arial" w:cs="Arial"/>
          <w:sz w:val="20"/>
          <w:szCs w:val="20"/>
          <w:lang w:val="fr-FR"/>
        </w:rPr>
      </w:pPr>
      <w:r w:rsidRPr="0BA40188">
        <w:rPr>
          <w:rFonts w:ascii="Arial" w:eastAsia="Arial" w:hAnsi="Arial" w:cs="Arial"/>
          <w:sz w:val="20"/>
          <w:szCs w:val="20"/>
          <w:lang w:val="fr-FR"/>
        </w:rPr>
        <w:t>ou par email  : dpo@chu-lyon.fr</w:t>
      </w:r>
    </w:p>
    <w:p w14:paraId="414FB2A2" w14:textId="77777777" w:rsidR="00A75BD0" w:rsidRDefault="009D4DA5">
      <w:pPr>
        <w:jc w:val="both"/>
      </w:pPr>
      <w:r>
        <w:rPr>
          <w:rFonts w:ascii="Arial" w:eastAsia="Arial" w:hAnsi="Arial" w:cs="Arial"/>
          <w:sz w:val="20"/>
          <w:szCs w:val="20"/>
        </w:rPr>
        <w:t xml:space="preserve">Vous pouvez également introduire une réclamation auprès de la Commission nationale de l’informatique et des libertés (CNIL) notamment sur son site internet </w:t>
      </w:r>
      <w:hyperlink r:id="rId70">
        <w:r>
          <w:rPr>
            <w:rFonts w:ascii="Arial" w:eastAsia="Arial" w:hAnsi="Arial" w:cs="Arial"/>
            <w:sz w:val="20"/>
            <w:szCs w:val="20"/>
          </w:rPr>
          <w:t>www.cnil.fr</w:t>
        </w:r>
      </w:hyperlink>
      <w:r>
        <w:rPr>
          <w:rFonts w:ascii="Arial" w:eastAsia="Arial" w:hAnsi="Arial" w:cs="Arial"/>
          <w:sz w:val="20"/>
          <w:szCs w:val="20"/>
        </w:rPr>
        <w:t xml:space="preserve"> ou par courrier postal au 3 Place de Fontenoy - TSA 80715 - 75334 PARIS CEDEX 07.</w:t>
      </w:r>
    </w:p>
    <w:p w14:paraId="2984D51B" w14:textId="77777777" w:rsidR="00A75BD0" w:rsidRDefault="009D4DA5">
      <w:pPr>
        <w:rPr>
          <w:rFonts w:ascii="Arial" w:eastAsia="Arial" w:hAnsi="Arial" w:cs="Arial"/>
          <w:sz w:val="20"/>
          <w:szCs w:val="20"/>
        </w:rPr>
      </w:pPr>
      <w:r>
        <w:rPr>
          <w:rFonts w:ascii="Arial" w:eastAsia="Arial" w:hAnsi="Arial" w:cs="Arial"/>
          <w:sz w:val="20"/>
          <w:szCs w:val="20"/>
        </w:rPr>
        <w:t>Si vous le préférez, vous pouvez également exercer vos droits auprès de chacun des responsables de traitement conjoints aux coordonnées suivantes</w:t>
      </w:r>
    </w:p>
    <w:tbl>
      <w:tblPr>
        <w:tblStyle w:val="af8"/>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6945"/>
      </w:tblGrid>
      <w:tr w:rsidR="00A75BD0" w14:paraId="0A72053F" w14:textId="77777777" w:rsidTr="0BA40188">
        <w:tc>
          <w:tcPr>
            <w:tcW w:w="3495" w:type="dxa"/>
            <w:shd w:val="clear" w:color="auto" w:fill="auto"/>
            <w:tcMar>
              <w:top w:w="100" w:type="dxa"/>
              <w:left w:w="100" w:type="dxa"/>
              <w:bottom w:w="100" w:type="dxa"/>
              <w:right w:w="100" w:type="dxa"/>
            </w:tcMar>
          </w:tcPr>
          <w:p w14:paraId="67F047FF" w14:textId="77777777" w:rsidR="00A75BD0" w:rsidRDefault="009D4DA5">
            <w:pPr>
              <w:widowControl w:val="0"/>
              <w:jc w:val="center"/>
            </w:pPr>
            <w:r>
              <w:t>Identité</w:t>
            </w:r>
          </w:p>
        </w:tc>
        <w:tc>
          <w:tcPr>
            <w:tcW w:w="6945" w:type="dxa"/>
            <w:shd w:val="clear" w:color="auto" w:fill="auto"/>
            <w:tcMar>
              <w:top w:w="100" w:type="dxa"/>
              <w:left w:w="100" w:type="dxa"/>
              <w:bottom w:w="100" w:type="dxa"/>
              <w:right w:w="100" w:type="dxa"/>
            </w:tcMar>
          </w:tcPr>
          <w:p w14:paraId="0806DDA7" w14:textId="77777777" w:rsidR="00A75BD0" w:rsidRDefault="009D4DA5">
            <w:pPr>
              <w:widowControl w:val="0"/>
              <w:jc w:val="center"/>
            </w:pPr>
            <w:r>
              <w:t xml:space="preserve">Coordonnées </w:t>
            </w:r>
          </w:p>
        </w:tc>
      </w:tr>
      <w:tr w:rsidR="00A75BD0" w14:paraId="2F64513D" w14:textId="77777777" w:rsidTr="0BA40188">
        <w:tc>
          <w:tcPr>
            <w:tcW w:w="3495" w:type="dxa"/>
            <w:shd w:val="clear" w:color="auto" w:fill="auto"/>
            <w:tcMar>
              <w:top w:w="100" w:type="dxa"/>
              <w:left w:w="100" w:type="dxa"/>
              <w:bottom w:w="100" w:type="dxa"/>
              <w:right w:w="100" w:type="dxa"/>
            </w:tcMar>
          </w:tcPr>
          <w:p w14:paraId="533FF07E" w14:textId="77777777" w:rsidR="00A75BD0" w:rsidRDefault="009D4DA5">
            <w:pPr>
              <w:widowControl w:val="0"/>
            </w:pPr>
            <w:r>
              <w:t>ROCHE SAS</w:t>
            </w:r>
          </w:p>
        </w:tc>
        <w:tc>
          <w:tcPr>
            <w:tcW w:w="6945" w:type="dxa"/>
            <w:shd w:val="clear" w:color="auto" w:fill="auto"/>
            <w:tcMar>
              <w:top w:w="100" w:type="dxa"/>
              <w:left w:w="100" w:type="dxa"/>
              <w:bottom w:w="100" w:type="dxa"/>
              <w:right w:w="100" w:type="dxa"/>
            </w:tcMar>
          </w:tcPr>
          <w:p w14:paraId="56F9EADD" w14:textId="77777777" w:rsidR="00A75BD0" w:rsidRDefault="009D4DA5">
            <w:pPr>
              <w:widowControl w:val="0"/>
              <w:pBdr>
                <w:top w:val="nil"/>
                <w:left w:val="nil"/>
                <w:bottom w:val="nil"/>
                <w:right w:val="nil"/>
                <w:between w:val="nil"/>
              </w:pBdr>
            </w:pPr>
            <w:r>
              <w:t>Adresse : 4 Cr de l'Île Seguin, 92100 Boulogne-Billancourt</w:t>
            </w:r>
          </w:p>
          <w:p w14:paraId="4CB3F900" w14:textId="77777777" w:rsidR="00A75BD0" w:rsidRDefault="009D4DA5">
            <w:pPr>
              <w:widowControl w:val="0"/>
              <w:pBdr>
                <w:top w:val="nil"/>
                <w:left w:val="nil"/>
                <w:bottom w:val="nil"/>
                <w:right w:val="nil"/>
                <w:between w:val="nil"/>
              </w:pBdr>
            </w:pPr>
            <w:r>
              <w:t>Contact électronique :  france.donneespersonnelles-pharma@roche.com</w:t>
            </w:r>
          </w:p>
        </w:tc>
      </w:tr>
      <w:tr w:rsidR="00A75BD0" w14:paraId="6F6C1908" w14:textId="77777777" w:rsidTr="0BA40188">
        <w:tc>
          <w:tcPr>
            <w:tcW w:w="3495" w:type="dxa"/>
            <w:shd w:val="clear" w:color="auto" w:fill="auto"/>
            <w:tcMar>
              <w:top w:w="100" w:type="dxa"/>
              <w:left w:w="100" w:type="dxa"/>
              <w:bottom w:w="100" w:type="dxa"/>
              <w:right w:w="100" w:type="dxa"/>
            </w:tcMar>
          </w:tcPr>
          <w:p w14:paraId="368D5BA4" w14:textId="77777777" w:rsidR="00A75BD0" w:rsidRDefault="009D4DA5">
            <w:pPr>
              <w:widowControl w:val="0"/>
            </w:pPr>
            <w:r>
              <w:t xml:space="preserve">PFIZER </w:t>
            </w:r>
          </w:p>
        </w:tc>
        <w:tc>
          <w:tcPr>
            <w:tcW w:w="6945" w:type="dxa"/>
            <w:shd w:val="clear" w:color="auto" w:fill="auto"/>
            <w:tcMar>
              <w:top w:w="100" w:type="dxa"/>
              <w:left w:w="100" w:type="dxa"/>
              <w:bottom w:w="100" w:type="dxa"/>
              <w:right w:w="100" w:type="dxa"/>
            </w:tcMar>
          </w:tcPr>
          <w:p w14:paraId="68016B2E" w14:textId="77777777" w:rsidR="00A75BD0" w:rsidRDefault="009D4DA5">
            <w:pPr>
              <w:widowControl w:val="0"/>
              <w:pBdr>
                <w:top w:val="nil"/>
                <w:left w:val="nil"/>
                <w:bottom w:val="nil"/>
                <w:right w:val="nil"/>
                <w:between w:val="nil"/>
              </w:pBdr>
            </w:pPr>
            <w:r>
              <w:t>Adresse : 23 Av. du Dr Lannelongue, 75014 Paris</w:t>
            </w:r>
          </w:p>
          <w:p w14:paraId="1979C44A" w14:textId="77777777" w:rsidR="00A75BD0" w:rsidRDefault="009D4DA5">
            <w:pPr>
              <w:widowControl w:val="0"/>
            </w:pPr>
            <w:r>
              <w:t>Contact électronique :  privacy.officer@pfizer.com</w:t>
            </w:r>
          </w:p>
        </w:tc>
      </w:tr>
      <w:tr w:rsidR="00A75BD0" w14:paraId="388E4F1A" w14:textId="77777777" w:rsidTr="0BA40188">
        <w:tc>
          <w:tcPr>
            <w:tcW w:w="3495" w:type="dxa"/>
            <w:shd w:val="clear" w:color="auto" w:fill="auto"/>
            <w:tcMar>
              <w:top w:w="100" w:type="dxa"/>
              <w:left w:w="100" w:type="dxa"/>
              <w:bottom w:w="100" w:type="dxa"/>
              <w:right w:w="100" w:type="dxa"/>
            </w:tcMar>
          </w:tcPr>
          <w:p w14:paraId="2109330E" w14:textId="77777777" w:rsidR="00A75BD0" w:rsidRDefault="009D4DA5">
            <w:pPr>
              <w:widowControl w:val="0"/>
            </w:pPr>
            <w:r>
              <w:t>CELLTRION HEALTHCARE FRANCE SAS</w:t>
            </w:r>
          </w:p>
        </w:tc>
        <w:tc>
          <w:tcPr>
            <w:tcW w:w="6945" w:type="dxa"/>
            <w:shd w:val="clear" w:color="auto" w:fill="auto"/>
            <w:tcMar>
              <w:top w:w="100" w:type="dxa"/>
              <w:left w:w="100" w:type="dxa"/>
              <w:bottom w:w="100" w:type="dxa"/>
              <w:right w:w="100" w:type="dxa"/>
            </w:tcMar>
          </w:tcPr>
          <w:p w14:paraId="78F87055" w14:textId="77777777" w:rsidR="00A75BD0" w:rsidRDefault="009D4DA5" w:rsidP="0BA40188">
            <w:pPr>
              <w:widowControl w:val="0"/>
              <w:pBdr>
                <w:top w:val="nil"/>
                <w:left w:val="nil"/>
                <w:bottom w:val="nil"/>
                <w:right w:val="nil"/>
                <w:between w:val="nil"/>
              </w:pBdr>
            </w:pPr>
            <w:r w:rsidRPr="0BA40188">
              <w:rPr>
                <w:lang w:val="fr-FR"/>
              </w:rPr>
              <w:t>Adresse : 9-15 Rue Rouget de Lisle, 92130 Issy-les-Moulineaux</w:t>
            </w:r>
          </w:p>
          <w:p w14:paraId="6DFA5B52" w14:textId="77777777" w:rsidR="00A75BD0" w:rsidRDefault="009D4DA5">
            <w:pPr>
              <w:widowControl w:val="0"/>
            </w:pPr>
            <w:r>
              <w:t>Contact électronique :  dpo.cthc.fr@celltrionhc.com</w:t>
            </w:r>
          </w:p>
        </w:tc>
      </w:tr>
      <w:tr w:rsidR="00A75BD0" w14:paraId="19766B90" w14:textId="77777777" w:rsidTr="0BA40188">
        <w:tc>
          <w:tcPr>
            <w:tcW w:w="3495" w:type="dxa"/>
            <w:shd w:val="clear" w:color="auto" w:fill="auto"/>
            <w:tcMar>
              <w:top w:w="100" w:type="dxa"/>
              <w:left w:w="100" w:type="dxa"/>
              <w:bottom w:w="100" w:type="dxa"/>
              <w:right w:w="100" w:type="dxa"/>
            </w:tcMar>
          </w:tcPr>
          <w:p w14:paraId="467D6B17" w14:textId="77777777" w:rsidR="00A75BD0" w:rsidRDefault="009D4DA5">
            <w:pPr>
              <w:widowControl w:val="0"/>
            </w:pPr>
            <w:r>
              <w:t>AMGEN</w:t>
            </w:r>
          </w:p>
        </w:tc>
        <w:tc>
          <w:tcPr>
            <w:tcW w:w="6945" w:type="dxa"/>
            <w:shd w:val="clear" w:color="auto" w:fill="auto"/>
            <w:tcMar>
              <w:top w:w="100" w:type="dxa"/>
              <w:left w:w="100" w:type="dxa"/>
              <w:bottom w:w="100" w:type="dxa"/>
              <w:right w:w="100" w:type="dxa"/>
            </w:tcMar>
          </w:tcPr>
          <w:p w14:paraId="5482389B" w14:textId="77777777" w:rsidR="00A75BD0" w:rsidRDefault="009D4DA5">
            <w:pPr>
              <w:widowControl w:val="0"/>
              <w:pBdr>
                <w:top w:val="nil"/>
                <w:left w:val="nil"/>
                <w:bottom w:val="nil"/>
                <w:right w:val="nil"/>
                <w:between w:val="nil"/>
              </w:pBdr>
            </w:pPr>
            <w:r>
              <w:t>Adresse : 25 Quai du Président Paul Doumer, 92400 Courbevoie</w:t>
            </w:r>
          </w:p>
          <w:p w14:paraId="22C277B0" w14:textId="77777777" w:rsidR="00A75BD0" w:rsidRDefault="009D4DA5">
            <w:pPr>
              <w:widowControl w:val="0"/>
            </w:pPr>
            <w:r>
              <w:t>Contact électronique :  privacy@amgen.com</w:t>
            </w:r>
          </w:p>
        </w:tc>
      </w:tr>
      <w:tr w:rsidR="00A75BD0" w14:paraId="0823FB85" w14:textId="77777777" w:rsidTr="0BA40188">
        <w:tc>
          <w:tcPr>
            <w:tcW w:w="3495" w:type="dxa"/>
            <w:shd w:val="clear" w:color="auto" w:fill="auto"/>
            <w:tcMar>
              <w:top w:w="100" w:type="dxa"/>
              <w:left w:w="100" w:type="dxa"/>
              <w:bottom w:w="100" w:type="dxa"/>
              <w:right w:w="100" w:type="dxa"/>
            </w:tcMar>
          </w:tcPr>
          <w:p w14:paraId="6F0937DF" w14:textId="77777777" w:rsidR="00A75BD0" w:rsidRDefault="009D4DA5">
            <w:pPr>
              <w:widowControl w:val="0"/>
            </w:pPr>
            <w:r>
              <w:t>BIOCON</w:t>
            </w:r>
          </w:p>
        </w:tc>
        <w:tc>
          <w:tcPr>
            <w:tcW w:w="6945" w:type="dxa"/>
            <w:shd w:val="clear" w:color="auto" w:fill="auto"/>
            <w:tcMar>
              <w:top w:w="100" w:type="dxa"/>
              <w:left w:w="100" w:type="dxa"/>
              <w:bottom w:w="100" w:type="dxa"/>
              <w:right w:w="100" w:type="dxa"/>
            </w:tcMar>
          </w:tcPr>
          <w:p w14:paraId="4FB14791" w14:textId="77777777" w:rsidR="00A75BD0" w:rsidRDefault="009D4DA5">
            <w:pPr>
              <w:widowControl w:val="0"/>
              <w:pBdr>
                <w:top w:val="nil"/>
                <w:left w:val="nil"/>
                <w:bottom w:val="nil"/>
                <w:right w:val="nil"/>
                <w:between w:val="nil"/>
              </w:pBdr>
            </w:pPr>
            <w:r>
              <w:t>Adresse : 4 RUE DE MARIVAUX - 75002 PARIS</w:t>
            </w:r>
          </w:p>
          <w:p w14:paraId="5F1372B2" w14:textId="77777777" w:rsidR="00A75BD0" w:rsidRDefault="009D4DA5">
            <w:pPr>
              <w:widowControl w:val="0"/>
            </w:pPr>
            <w:r>
              <w:t>Contact électronique :  privacy@bioconbiologics.com</w:t>
            </w:r>
          </w:p>
        </w:tc>
      </w:tr>
      <w:tr w:rsidR="00A75BD0" w14:paraId="726B3A41" w14:textId="77777777" w:rsidTr="0BA40188">
        <w:tc>
          <w:tcPr>
            <w:tcW w:w="3495" w:type="dxa"/>
            <w:shd w:val="clear" w:color="auto" w:fill="auto"/>
            <w:tcMar>
              <w:top w:w="100" w:type="dxa"/>
              <w:left w:w="100" w:type="dxa"/>
              <w:bottom w:w="100" w:type="dxa"/>
              <w:right w:w="100" w:type="dxa"/>
            </w:tcMar>
          </w:tcPr>
          <w:p w14:paraId="6774E386" w14:textId="77777777" w:rsidR="00A75BD0" w:rsidRDefault="009D4DA5">
            <w:pPr>
              <w:widowControl w:val="0"/>
            </w:pPr>
            <w:r>
              <w:t>ORGANON FRANCE</w:t>
            </w:r>
          </w:p>
        </w:tc>
        <w:tc>
          <w:tcPr>
            <w:tcW w:w="6945" w:type="dxa"/>
            <w:shd w:val="clear" w:color="auto" w:fill="auto"/>
            <w:tcMar>
              <w:top w:w="100" w:type="dxa"/>
              <w:left w:w="100" w:type="dxa"/>
              <w:bottom w:w="100" w:type="dxa"/>
              <w:right w:w="100" w:type="dxa"/>
            </w:tcMar>
          </w:tcPr>
          <w:p w14:paraId="0A496D17" w14:textId="77777777" w:rsidR="00A75BD0" w:rsidRDefault="009D4DA5">
            <w:pPr>
              <w:widowControl w:val="0"/>
              <w:pBdr>
                <w:top w:val="nil"/>
                <w:left w:val="nil"/>
                <w:bottom w:val="nil"/>
                <w:right w:val="nil"/>
                <w:between w:val="nil"/>
              </w:pBdr>
            </w:pPr>
            <w:r>
              <w:t>Adresse : 176 Rue Montmartre, 75002 Paris</w:t>
            </w:r>
          </w:p>
          <w:p w14:paraId="3DEAC3ED" w14:textId="77777777" w:rsidR="00A75BD0" w:rsidRDefault="009D4DA5">
            <w:pPr>
              <w:widowControl w:val="0"/>
            </w:pPr>
            <w:r>
              <w:t>Contact électronique :  dpofrance@organon.com</w:t>
            </w:r>
          </w:p>
        </w:tc>
      </w:tr>
      <w:tr w:rsidR="00A75BD0" w14:paraId="07093BBA" w14:textId="77777777" w:rsidTr="0BA40188">
        <w:tc>
          <w:tcPr>
            <w:tcW w:w="3495" w:type="dxa"/>
            <w:shd w:val="clear" w:color="auto" w:fill="auto"/>
            <w:tcMar>
              <w:top w:w="100" w:type="dxa"/>
              <w:left w:w="100" w:type="dxa"/>
              <w:bottom w:w="100" w:type="dxa"/>
              <w:right w:w="100" w:type="dxa"/>
            </w:tcMar>
          </w:tcPr>
          <w:p w14:paraId="16A6C3AE" w14:textId="77777777" w:rsidR="00A75BD0" w:rsidRDefault="009D4DA5">
            <w:pPr>
              <w:widowControl w:val="0"/>
            </w:pPr>
            <w:r>
              <w:t>HOSPICES CIVILS DE LYON</w:t>
            </w:r>
          </w:p>
        </w:tc>
        <w:tc>
          <w:tcPr>
            <w:tcW w:w="6945" w:type="dxa"/>
            <w:shd w:val="clear" w:color="auto" w:fill="auto"/>
            <w:tcMar>
              <w:top w:w="100" w:type="dxa"/>
              <w:left w:w="100" w:type="dxa"/>
              <w:bottom w:w="100" w:type="dxa"/>
              <w:right w:w="100" w:type="dxa"/>
            </w:tcMar>
          </w:tcPr>
          <w:p w14:paraId="16ADABA0" w14:textId="77777777" w:rsidR="00A75BD0" w:rsidRDefault="009D4DA5">
            <w:pPr>
              <w:widowControl w:val="0"/>
            </w:pPr>
            <w:r>
              <w:t>Adresse : 3 Quai des Célestins, 69002 Lyon</w:t>
            </w:r>
          </w:p>
          <w:p w14:paraId="1F9DE28F" w14:textId="77777777" w:rsidR="00A75BD0" w:rsidRDefault="009D4DA5">
            <w:pPr>
              <w:widowControl w:val="0"/>
            </w:pPr>
            <w:r>
              <w:t xml:space="preserve">Contact électronique :  dpo@chu-lyon.fr </w:t>
            </w:r>
          </w:p>
        </w:tc>
      </w:tr>
    </w:tbl>
    <w:p w14:paraId="084515C2" w14:textId="77777777" w:rsidR="00A75BD0" w:rsidRDefault="00A75BD0">
      <w:pPr>
        <w:jc w:val="both"/>
      </w:pPr>
      <w:bookmarkStart w:id="13" w:name="_heading=h.3znysh7" w:colFirst="0" w:colLast="0"/>
      <w:bookmarkEnd w:id="13"/>
    </w:p>
    <w:p w14:paraId="5D605604" w14:textId="77777777" w:rsidR="00A75BD0" w:rsidRDefault="009D4DA5">
      <w:pPr>
        <w:jc w:val="both"/>
        <w:rPr>
          <w:rFonts w:ascii="Arial" w:eastAsia="Arial" w:hAnsi="Arial" w:cs="Arial"/>
          <w:b/>
          <w:sz w:val="20"/>
          <w:szCs w:val="20"/>
        </w:rPr>
      </w:pPr>
      <w:r>
        <w:br w:type="page"/>
      </w:r>
    </w:p>
    <w:p w14:paraId="53D0CD8A" w14:textId="77777777" w:rsidR="00A75BD0" w:rsidRDefault="009D4DA5">
      <w:pPr>
        <w:pStyle w:val="Titre2"/>
        <w:rPr>
          <w:rFonts w:ascii="Arial Narrow" w:eastAsia="Arial Narrow" w:hAnsi="Arial Narrow" w:cs="Arial Narrow"/>
          <w:b/>
          <w:sz w:val="28"/>
          <w:szCs w:val="28"/>
        </w:rPr>
      </w:pPr>
      <w:bookmarkStart w:id="14" w:name="_heading=h.lnxbz9" w:colFirst="0" w:colLast="0"/>
      <w:bookmarkEnd w:id="14"/>
      <w:r>
        <w:rPr>
          <w:rFonts w:ascii="Arial Narrow" w:eastAsia="Arial Narrow" w:hAnsi="Arial Narrow" w:cs="Arial Narrow"/>
          <w:b/>
          <w:sz w:val="28"/>
          <w:szCs w:val="28"/>
        </w:rPr>
        <w:t>ANNEXE 5 : Rappel des modalités de déclaration des effets indésirables</w:t>
      </w:r>
    </w:p>
    <w:p w14:paraId="0C6A0B2A" w14:textId="77777777" w:rsidR="00A75BD0" w:rsidRDefault="00A75BD0">
      <w:pPr>
        <w:ind w:right="260"/>
        <w:jc w:val="center"/>
        <w:rPr>
          <w:rFonts w:ascii="Arial" w:eastAsia="Arial" w:hAnsi="Arial" w:cs="Arial"/>
          <w:sz w:val="20"/>
          <w:szCs w:val="20"/>
        </w:rPr>
      </w:pPr>
    </w:p>
    <w:p w14:paraId="5B3B108A"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Qui déclare ?</w:t>
      </w:r>
    </w:p>
    <w:p w14:paraId="03F66683" w14:textId="77777777" w:rsidR="00A75BD0" w:rsidRDefault="009D4DA5">
      <w:pPr>
        <w:spacing w:line="240" w:lineRule="auto"/>
        <w:ind w:right="21"/>
        <w:jc w:val="both"/>
        <w:rPr>
          <w:rFonts w:ascii="Arial" w:eastAsia="Arial" w:hAnsi="Arial" w:cs="Arial"/>
          <w:sz w:val="20"/>
          <w:szCs w:val="20"/>
        </w:rPr>
      </w:pPr>
      <w:r>
        <w:rPr>
          <w:rFonts w:ascii="Arial" w:eastAsia="Arial" w:hAnsi="Arial" w:cs="Arial"/>
          <w:sz w:val="20"/>
          <w:szCs w:val="20"/>
        </w:rPr>
        <w:t xml:space="preserve">Tout médecin, chirurgien-dentiste, sage-femme, infirmier ou pharmacien ayant eu connaissance d’un effet indésirable susceptible d’être dû au médicament, doit en faire la déclaration. </w:t>
      </w:r>
    </w:p>
    <w:p w14:paraId="1EC7640B" w14:textId="77777777" w:rsidR="00A75BD0" w:rsidRDefault="009D4DA5">
      <w:pPr>
        <w:spacing w:line="240" w:lineRule="auto"/>
        <w:ind w:right="21"/>
        <w:jc w:val="both"/>
        <w:rPr>
          <w:rFonts w:ascii="Arial" w:eastAsia="Arial" w:hAnsi="Arial" w:cs="Arial"/>
          <w:sz w:val="20"/>
          <w:szCs w:val="20"/>
        </w:rPr>
      </w:pPr>
      <w:r>
        <w:rPr>
          <w:rFonts w:ascii="Arial" w:eastAsia="Arial" w:hAnsi="Arial" w:cs="Arial"/>
          <w:sz w:val="20"/>
          <w:szCs w:val="20"/>
        </w:rPr>
        <w:t>Les autres professionnels de santé, peuvent également déclarer tout effet indésirable suspecté d'être dû au médicament, dont ils ont connaissance.</w:t>
      </w:r>
    </w:p>
    <w:p w14:paraId="6255B32A" w14:textId="77777777" w:rsidR="00A75BD0" w:rsidRDefault="009D4DA5">
      <w:pPr>
        <w:ind w:right="21"/>
        <w:jc w:val="both"/>
        <w:rPr>
          <w:rFonts w:ascii="Arial" w:eastAsia="Arial" w:hAnsi="Arial" w:cs="Arial"/>
          <w:sz w:val="20"/>
          <w:szCs w:val="20"/>
        </w:rPr>
      </w:pPr>
      <w:r>
        <w:rPr>
          <w:rFonts w:ascii="Arial" w:eastAsia="Arial" w:hAnsi="Arial" w:cs="Arial"/>
          <w:sz w:val="20"/>
          <w:szCs w:val="20"/>
        </w:rPr>
        <w:t>En outre, les professionnels de santé sont encouragés à déclarer toute situation particulière (cf. paragraphe ci-dessous « Que déclarer ? »).</w:t>
      </w:r>
    </w:p>
    <w:p w14:paraId="0CC742CE" w14:textId="77777777" w:rsidR="00A75BD0" w:rsidRDefault="009D4DA5">
      <w:pPr>
        <w:ind w:right="21"/>
        <w:jc w:val="both"/>
        <w:rPr>
          <w:rFonts w:ascii="Arial" w:eastAsia="Arial" w:hAnsi="Arial" w:cs="Arial"/>
          <w:sz w:val="20"/>
          <w:szCs w:val="20"/>
        </w:rPr>
      </w:pPr>
      <w:r>
        <w:rPr>
          <w:rFonts w:ascii="Arial" w:eastAsia="Arial" w:hAnsi="Arial" w:cs="Arial"/>
          <w:sz w:val="20"/>
          <w:szCs w:val="20"/>
        </w:rPr>
        <w:t>Le patient ou son représentant légal ou la personne de confiance qu’il a désignée ou les associations agréées que pourrait solliciter le patient peut déclarer les effets indésirables/ situations particulières (cf. paragraphe ci-dessous « Que déclarer ? ») qu’il, ou son entourage, suspecte d’être liés à l’utilisation du médicament.</w:t>
      </w:r>
    </w:p>
    <w:p w14:paraId="535A8591" w14:textId="77777777" w:rsidR="00A75BD0" w:rsidRDefault="00A75BD0">
      <w:pPr>
        <w:ind w:right="260"/>
        <w:jc w:val="both"/>
        <w:rPr>
          <w:rFonts w:ascii="Arial" w:eastAsia="Arial" w:hAnsi="Arial" w:cs="Arial"/>
          <w:sz w:val="20"/>
          <w:szCs w:val="20"/>
        </w:rPr>
      </w:pPr>
    </w:p>
    <w:p w14:paraId="52C2F65F"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Que déclarer ? </w:t>
      </w:r>
    </w:p>
    <w:p w14:paraId="1C728D87" w14:textId="77777777" w:rsidR="00A75BD0" w:rsidRDefault="009D4DA5">
      <w:pPr>
        <w:jc w:val="both"/>
        <w:rPr>
          <w:rFonts w:ascii="Arial" w:eastAsia="Arial" w:hAnsi="Arial" w:cs="Arial"/>
          <w:sz w:val="20"/>
          <w:szCs w:val="20"/>
        </w:rPr>
      </w:pPr>
      <w:r>
        <w:rPr>
          <w:rFonts w:ascii="Arial" w:eastAsia="Arial" w:hAnsi="Arial" w:cs="Arial"/>
          <w:sz w:val="20"/>
          <w:szCs w:val="20"/>
        </w:rPr>
        <w:t>Tous les effets indésirables, graves et non graves, survenant dans des conditions d’utilisation conformes ou non conformes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1AC46E9" w14:textId="77777777" w:rsidR="00A75BD0" w:rsidRDefault="009D4DA5">
      <w:pPr>
        <w:jc w:val="both"/>
        <w:rPr>
          <w:rFonts w:ascii="Arial" w:eastAsia="Arial" w:hAnsi="Arial" w:cs="Arial"/>
          <w:sz w:val="20"/>
          <w:szCs w:val="20"/>
        </w:rPr>
      </w:pPr>
      <w:r>
        <w:rPr>
          <w:rFonts w:ascii="Arial" w:eastAsia="Arial" w:hAnsi="Arial" w:cs="Arial"/>
          <w:sz w:val="20"/>
          <w:szCs w:val="20"/>
        </w:rPr>
        <w:t>En outre, il convient également de déclarer toute situation particulière :</w:t>
      </w:r>
    </w:p>
    <w:p w14:paraId="792954CC" w14:textId="77777777" w:rsidR="00A75BD0" w:rsidRDefault="009D4DA5" w:rsidP="0BA40188">
      <w:pPr>
        <w:numPr>
          <w:ilvl w:val="0"/>
          <w:numId w:val="25"/>
        </w:numPr>
        <w:pBdr>
          <w:top w:val="nil"/>
          <w:left w:val="nil"/>
          <w:bottom w:val="nil"/>
          <w:right w:val="nil"/>
          <w:between w:val="nil"/>
        </w:pBdr>
        <w:spacing w:before="40" w:after="2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xml:space="preserve">toute erreur médicamenteuse sans effet indésirable, qu’elle soit avérée, potentielle ou latente, </w:t>
      </w:r>
    </w:p>
    <w:p w14:paraId="41A71590" w14:textId="77777777" w:rsidR="00A75BD0" w:rsidRDefault="009D4DA5" w:rsidP="0BA40188">
      <w:pPr>
        <w:numPr>
          <w:ilvl w:val="0"/>
          <w:numId w:val="25"/>
        </w:numPr>
        <w:pBdr>
          <w:top w:val="nil"/>
          <w:left w:val="nil"/>
          <w:bottom w:val="nil"/>
          <w:right w:val="nil"/>
          <w:between w:val="nil"/>
        </w:pBdr>
        <w:spacing w:before="40" w:after="2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41F30E1A" w14:textId="77777777" w:rsidR="00A75BD0" w:rsidRDefault="009D4DA5" w:rsidP="0BA40188">
      <w:pPr>
        <w:numPr>
          <w:ilvl w:val="0"/>
          <w:numId w:val="25"/>
        </w:numPr>
        <w:pBdr>
          <w:top w:val="nil"/>
          <w:left w:val="nil"/>
          <w:bottom w:val="nil"/>
          <w:right w:val="nil"/>
          <w:between w:val="nil"/>
        </w:pBdr>
        <w:spacing w:before="40" w:after="2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xml:space="preserve">toute suspicion de transmission d’agents infectieux liée à un médicament ou à un produit, </w:t>
      </w:r>
    </w:p>
    <w:p w14:paraId="2470DEA7" w14:textId="77777777" w:rsidR="00A75BD0" w:rsidRDefault="009D4DA5" w:rsidP="0BA40188">
      <w:pPr>
        <w:numPr>
          <w:ilvl w:val="0"/>
          <w:numId w:val="25"/>
        </w:numPr>
        <w:pBdr>
          <w:top w:val="nil"/>
          <w:left w:val="nil"/>
          <w:bottom w:val="nil"/>
          <w:right w:val="nil"/>
          <w:between w:val="nil"/>
        </w:pBdr>
        <w:spacing w:before="40" w:after="2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toute exposition à un médicament au cours de la grossesse ou de l’allaitement sans survenue d’effet indésirable,</w:t>
      </w:r>
    </w:p>
    <w:p w14:paraId="191A7307" w14:textId="77777777" w:rsidR="00A75BD0" w:rsidRDefault="009D4DA5" w:rsidP="0BA40188">
      <w:pPr>
        <w:numPr>
          <w:ilvl w:val="0"/>
          <w:numId w:val="25"/>
        </w:numPr>
        <w:pBdr>
          <w:top w:val="nil"/>
          <w:left w:val="nil"/>
          <w:bottom w:val="nil"/>
          <w:right w:val="nil"/>
          <w:between w:val="nil"/>
        </w:pBdr>
        <w:spacing w:before="40" w:after="20" w:line="288" w:lineRule="auto"/>
        <w:jc w:val="both"/>
        <w:rPr>
          <w:rFonts w:ascii="Arial" w:eastAsia="Arial" w:hAnsi="Arial" w:cs="Arial"/>
          <w:b/>
          <w:bCs/>
          <w:color w:val="000000"/>
          <w:sz w:val="20"/>
          <w:szCs w:val="20"/>
          <w:lang w:val="fr-FR"/>
        </w:rPr>
      </w:pPr>
      <w:r w:rsidRPr="0BA40188">
        <w:rPr>
          <w:rFonts w:ascii="Arial" w:eastAsia="Arial" w:hAnsi="Arial" w:cs="Arial"/>
          <w:color w:val="000000" w:themeColor="text1"/>
          <w:sz w:val="20"/>
          <w:szCs w:val="20"/>
          <w:lang w:val="fr-FR"/>
        </w:rPr>
        <w:t>toute situation jugée pertinente de déclarer</w:t>
      </w:r>
      <w:r w:rsidRPr="0BA40188">
        <w:rPr>
          <w:rFonts w:ascii="Arial" w:eastAsia="Arial" w:hAnsi="Arial" w:cs="Arial"/>
          <w:b/>
          <w:bCs/>
          <w:color w:val="000000" w:themeColor="text1"/>
          <w:sz w:val="20"/>
          <w:szCs w:val="20"/>
          <w:lang w:val="fr-FR"/>
        </w:rPr>
        <w:t>.</w:t>
      </w:r>
    </w:p>
    <w:p w14:paraId="26BB9C86" w14:textId="77777777" w:rsidR="00A75BD0" w:rsidRDefault="00A75BD0">
      <w:pPr>
        <w:ind w:right="260"/>
        <w:jc w:val="both"/>
        <w:rPr>
          <w:rFonts w:ascii="Arial" w:eastAsia="Arial" w:hAnsi="Arial" w:cs="Arial"/>
          <w:sz w:val="20"/>
          <w:szCs w:val="20"/>
        </w:rPr>
      </w:pPr>
    </w:p>
    <w:p w14:paraId="06709760"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Quand déclarer ?</w:t>
      </w:r>
    </w:p>
    <w:p w14:paraId="286BF76C" w14:textId="77777777" w:rsidR="00A75BD0" w:rsidRDefault="009D4DA5">
      <w:pPr>
        <w:spacing w:before="120" w:after="200" w:line="276" w:lineRule="auto"/>
        <w:ind w:right="21"/>
        <w:jc w:val="both"/>
        <w:rPr>
          <w:rFonts w:ascii="Arial" w:eastAsia="Arial" w:hAnsi="Arial" w:cs="Arial"/>
          <w:sz w:val="20"/>
          <w:szCs w:val="20"/>
        </w:rPr>
      </w:pPr>
      <w:r>
        <w:rPr>
          <w:rFonts w:ascii="Arial" w:eastAsia="Arial" w:hAnsi="Arial" w:cs="Arial"/>
          <w:sz w:val="20"/>
          <w:szCs w:val="20"/>
        </w:rPr>
        <w:t>Tous les effets indésirables/ situations particulières doivent être déclarés dès que le professionnel de santé ou le patient en a connaissance.</w:t>
      </w:r>
    </w:p>
    <w:p w14:paraId="50FFB0E4" w14:textId="77777777" w:rsidR="00A75BD0" w:rsidRDefault="00A75BD0">
      <w:pPr>
        <w:ind w:right="260"/>
        <w:jc w:val="both"/>
        <w:rPr>
          <w:rFonts w:ascii="Arial" w:eastAsia="Arial" w:hAnsi="Arial" w:cs="Arial"/>
          <w:sz w:val="20"/>
          <w:szCs w:val="20"/>
          <w:u w:val="single"/>
        </w:rPr>
      </w:pPr>
    </w:p>
    <w:p w14:paraId="7C31FFAE" w14:textId="77777777" w:rsidR="00A75BD0" w:rsidRDefault="009D4DA5">
      <w:pPr>
        <w:rPr>
          <w:rFonts w:ascii="Arial" w:eastAsia="Arial" w:hAnsi="Arial" w:cs="Arial"/>
          <w:color w:val="2E75B5"/>
          <w:sz w:val="20"/>
          <w:szCs w:val="20"/>
        </w:rPr>
      </w:pPr>
      <w:r>
        <w:rPr>
          <w:rFonts w:ascii="Arial" w:eastAsia="Arial" w:hAnsi="Arial" w:cs="Arial"/>
          <w:color w:val="2E75B5"/>
          <w:sz w:val="20"/>
          <w:szCs w:val="20"/>
        </w:rPr>
        <w:t>Comment et à qui déclarer ?</w:t>
      </w:r>
    </w:p>
    <w:p w14:paraId="252AA2C9" w14:textId="77777777" w:rsidR="00A75BD0" w:rsidRDefault="009D4DA5">
      <w:pPr>
        <w:tabs>
          <w:tab w:val="left" w:pos="-1238"/>
          <w:tab w:val="left" w:pos="-720"/>
          <w:tab w:val="left" w:pos="0"/>
          <w:tab w:val="left" w:pos="142"/>
          <w:tab w:val="left" w:pos="826"/>
          <w:tab w:val="left" w:pos="940"/>
          <w:tab w:val="left" w:pos="2160"/>
          <w:tab w:val="left" w:pos="2880"/>
          <w:tab w:val="left" w:pos="3600"/>
          <w:tab w:val="left" w:pos="4320"/>
          <w:tab w:val="left" w:pos="5040"/>
          <w:tab w:val="left" w:pos="5760"/>
          <w:tab w:val="left" w:pos="6480"/>
          <w:tab w:val="left" w:pos="7200"/>
          <w:tab w:val="left" w:pos="7920"/>
          <w:tab w:val="left" w:pos="8640"/>
        </w:tabs>
        <w:spacing w:before="120" w:after="200" w:line="276" w:lineRule="auto"/>
        <w:ind w:left="720" w:right="-546"/>
        <w:jc w:val="both"/>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Pour les professionnels de santé :</w:t>
      </w:r>
    </w:p>
    <w:p w14:paraId="6FB3B423" w14:textId="77777777" w:rsidR="00A75BD0" w:rsidRDefault="009D4DA5">
      <w:pPr>
        <w:ind w:right="70"/>
        <w:jc w:val="both"/>
        <w:rPr>
          <w:rFonts w:ascii="Arial" w:eastAsia="Arial" w:hAnsi="Arial" w:cs="Arial"/>
          <w:sz w:val="20"/>
          <w:szCs w:val="20"/>
        </w:rPr>
      </w:pPr>
      <w:r>
        <w:rPr>
          <w:rFonts w:ascii="Arial" w:eastAsia="Arial" w:hAnsi="Arial" w:cs="Arial"/>
          <w:sz w:val="20"/>
          <w:szCs w:val="20"/>
        </w:rPr>
        <w:t xml:space="preserve">La déclaration se fait préférentiellement directement sur le portail de signalement : </w:t>
      </w:r>
      <w:r>
        <w:rPr>
          <w:rFonts w:ascii="Arial" w:eastAsia="Arial" w:hAnsi="Arial" w:cs="Arial"/>
          <w:color w:val="0000FF"/>
          <w:sz w:val="20"/>
          <w:szCs w:val="20"/>
          <w:u w:val="single"/>
        </w:rPr>
        <w:t>signalement.social-sante.gouv.fr/</w:t>
      </w:r>
      <w:r>
        <w:rPr>
          <w:rFonts w:ascii="Arial" w:eastAsia="Arial" w:hAnsi="Arial" w:cs="Arial"/>
          <w:sz w:val="20"/>
          <w:szCs w:val="20"/>
        </w:rPr>
        <w:t>. La déclaration doit clairement indiquer que la prescription a été faite dans le contexte d’un cadre de prescription compassionnelle (CPC).</w:t>
      </w:r>
    </w:p>
    <w:p w14:paraId="5C12889E" w14:textId="77777777" w:rsidR="00A75BD0" w:rsidRDefault="009D4DA5">
      <w:pPr>
        <w:ind w:right="70"/>
        <w:jc w:val="both"/>
        <w:rPr>
          <w:rFonts w:ascii="Arial" w:eastAsia="Arial" w:hAnsi="Arial" w:cs="Arial"/>
          <w:sz w:val="20"/>
          <w:szCs w:val="20"/>
        </w:rPr>
      </w:pPr>
      <w:r>
        <w:rPr>
          <w:rFonts w:ascii="Arial" w:eastAsia="Arial" w:hAnsi="Arial" w:cs="Arial"/>
          <w:sz w:val="20"/>
          <w:szCs w:val="20"/>
        </w:rPr>
        <w:t>D’autres supports de déclaration peuvent être utilisés, tels qu’un courrier, un compte rendu d’hospitalisation, un fax, un courriel ou un appel téléphonique, adressés directement au CRPV du territoire duquel dépend le professionnel de santé. La liste indiquant l’adresse et les départements couverts par chaque CRPV est disponible sur le site Internet de l’ANSM. </w:t>
      </w:r>
    </w:p>
    <w:p w14:paraId="4E0FF070" w14:textId="77777777" w:rsidR="00A75BD0" w:rsidRDefault="009D4DA5">
      <w:pPr>
        <w:ind w:right="70"/>
        <w:jc w:val="both"/>
        <w:rPr>
          <w:rFonts w:ascii="Arial" w:eastAsia="Arial" w:hAnsi="Arial" w:cs="Arial"/>
          <w:sz w:val="20"/>
          <w:szCs w:val="20"/>
          <w:u w:val="single"/>
        </w:rPr>
      </w:pPr>
      <w:r>
        <w:rPr>
          <w:rFonts w:ascii="Noto Sans Symbols" w:eastAsia="Noto Sans Symbols" w:hAnsi="Noto Sans Symbols" w:cs="Noto Sans Symbols"/>
          <w:sz w:val="20"/>
          <w:szCs w:val="20"/>
        </w:rPr>
        <w:t>⮲</w:t>
      </w:r>
      <w:r>
        <w:rPr>
          <w:rFonts w:ascii="Arial" w:eastAsia="Arial" w:hAnsi="Arial" w:cs="Arial"/>
          <w:sz w:val="20"/>
          <w:szCs w:val="20"/>
        </w:rPr>
        <w:t xml:space="preserve"> Pour les patients et/ou les associations de patients </w:t>
      </w:r>
    </w:p>
    <w:p w14:paraId="5487C6C3" w14:textId="77777777" w:rsidR="00A75BD0" w:rsidRDefault="009D4DA5">
      <w:pPr>
        <w:ind w:right="70"/>
        <w:jc w:val="both"/>
        <w:rPr>
          <w:rFonts w:ascii="Arial" w:eastAsia="Arial" w:hAnsi="Arial" w:cs="Arial"/>
          <w:sz w:val="20"/>
          <w:szCs w:val="20"/>
        </w:rPr>
      </w:pPr>
      <w:r>
        <w:rPr>
          <w:rFonts w:ascii="Arial" w:eastAsia="Arial" w:hAnsi="Arial" w:cs="Arial"/>
          <w:sz w:val="20"/>
          <w:szCs w:val="20"/>
        </w:rPr>
        <w:t>Le plus tôt possible, après la survenue du ou des effets indésirables / situations particulières auprès du médecin, du pharmacien ou de l’infirmier/ère. Il est également possible de déclarer les effets</w:t>
      </w:r>
      <w:r>
        <w:t xml:space="preserve"> </w:t>
      </w:r>
      <w:r>
        <w:rPr>
          <w:rFonts w:ascii="Arial" w:eastAsia="Arial" w:hAnsi="Arial" w:cs="Arial"/>
          <w:sz w:val="20"/>
          <w:szCs w:val="20"/>
        </w:rPr>
        <w:t>indésirables/situations particulières directement via le portail de signalement</w:t>
      </w:r>
      <w:r>
        <w:t xml:space="preserve"> : </w:t>
      </w:r>
      <w:r>
        <w:rPr>
          <w:rFonts w:ascii="Arial" w:eastAsia="Arial" w:hAnsi="Arial" w:cs="Arial"/>
          <w:color w:val="0000FF"/>
          <w:sz w:val="20"/>
          <w:szCs w:val="20"/>
          <w:u w:val="single"/>
        </w:rPr>
        <w:t>signalement.social-sante.gouv.fr</w:t>
      </w:r>
      <w:r>
        <w:t xml:space="preserve"> </w:t>
      </w:r>
      <w:r>
        <w:rPr>
          <w:rFonts w:ascii="Arial" w:eastAsia="Arial" w:hAnsi="Arial" w:cs="Arial"/>
          <w:sz w:val="20"/>
          <w:szCs w:val="20"/>
        </w:rPr>
        <w:t xml:space="preserve">en précisant que le traitement est administré dans le contexte d’un cadre de prescription compassionnelle (CPC). </w:t>
      </w:r>
    </w:p>
    <w:p w14:paraId="77E10B04" w14:textId="77777777" w:rsidR="00A75BD0" w:rsidRDefault="009D4DA5">
      <w:pPr>
        <w:jc w:val="both"/>
        <w:rPr>
          <w:rFonts w:ascii="Arial" w:eastAsia="Arial" w:hAnsi="Arial" w:cs="Arial"/>
          <w:color w:val="000000"/>
          <w:sz w:val="20"/>
          <w:szCs w:val="20"/>
        </w:rPr>
      </w:pPr>
      <w:r>
        <w:rPr>
          <w:rFonts w:ascii="Arial" w:eastAsia="Arial" w:hAnsi="Arial" w:cs="Arial"/>
          <w:color w:val="000000"/>
          <w:sz w:val="20"/>
          <w:szCs w:val="20"/>
        </w:rPr>
        <w:t>D’autres supports de déclaration peuvent être utilisés, tels qu’un courrier, un courriel, ou un appel téléphonique, adressés directement au CRPV dont la personne ayant présenté l’effet indésirable dépend géographiquement. La liste indiquant l’adresse et les départements couverts par chaque CRPV est disponible sur le site Internet de l’ANSM.</w:t>
      </w:r>
    </w:p>
    <w:p w14:paraId="0F70930A" w14:textId="77777777" w:rsidR="00A75BD0" w:rsidRDefault="00A75BD0">
      <w:pPr>
        <w:jc w:val="both"/>
        <w:rPr>
          <w:rFonts w:ascii="Arial" w:eastAsia="Arial" w:hAnsi="Arial" w:cs="Arial"/>
          <w:color w:val="000000"/>
          <w:sz w:val="20"/>
          <w:szCs w:val="20"/>
        </w:rPr>
      </w:pPr>
    </w:p>
    <w:p w14:paraId="6CC5A066" w14:textId="77777777" w:rsidR="00A75BD0" w:rsidRDefault="009D4DA5">
      <w:pPr>
        <w:jc w:val="both"/>
        <w:rPr>
          <w:rFonts w:ascii="Arial" w:eastAsia="Arial" w:hAnsi="Arial" w:cs="Arial"/>
          <w:color w:val="000000"/>
          <w:sz w:val="20"/>
          <w:szCs w:val="20"/>
        </w:rPr>
      </w:pPr>
      <w:r>
        <w:br w:type="page"/>
      </w:r>
    </w:p>
    <w:p w14:paraId="74A76AFA" w14:textId="77777777" w:rsidR="00A75BD0" w:rsidRDefault="009D4DA5">
      <w:pPr>
        <w:pStyle w:val="Titre2"/>
        <w:rPr>
          <w:rFonts w:ascii="Arial Narrow" w:eastAsia="Arial Narrow" w:hAnsi="Arial Narrow" w:cs="Arial Narrow"/>
          <w:b/>
          <w:sz w:val="28"/>
          <w:szCs w:val="28"/>
        </w:rPr>
      </w:pPr>
      <w:bookmarkStart w:id="15" w:name="_heading=h.35nkun2" w:colFirst="0" w:colLast="0"/>
      <w:bookmarkEnd w:id="15"/>
      <w:r>
        <w:rPr>
          <w:rFonts w:ascii="Arial Narrow" w:eastAsia="Arial Narrow" w:hAnsi="Arial Narrow" w:cs="Arial Narrow"/>
          <w:b/>
          <w:sz w:val="28"/>
          <w:szCs w:val="28"/>
        </w:rPr>
        <w:t>ANNEXE 6 : Disposition législatives et réglementaires relatives au CPC</w:t>
      </w:r>
    </w:p>
    <w:p w14:paraId="55BFF7D3" w14:textId="77777777" w:rsidR="00A75BD0" w:rsidRDefault="00A75BD0">
      <w:pPr>
        <w:ind w:right="260"/>
        <w:jc w:val="center"/>
        <w:rPr>
          <w:rFonts w:ascii="Arial" w:eastAsia="Arial" w:hAnsi="Arial" w:cs="Arial"/>
          <w:sz w:val="21"/>
          <w:szCs w:val="21"/>
        </w:rPr>
      </w:pPr>
    </w:p>
    <w:p w14:paraId="40932EFF" w14:textId="77777777" w:rsidR="00A75BD0" w:rsidRDefault="009D4DA5">
      <w:pPr>
        <w:rPr>
          <w:rFonts w:ascii="Arial" w:eastAsia="Arial" w:hAnsi="Arial" w:cs="Arial"/>
          <w:b/>
          <w:color w:val="2E75B5"/>
          <w:sz w:val="20"/>
          <w:szCs w:val="20"/>
        </w:rPr>
      </w:pPr>
      <w:r>
        <w:rPr>
          <w:rFonts w:ascii="Arial" w:eastAsia="Arial" w:hAnsi="Arial" w:cs="Arial"/>
          <w:b/>
          <w:color w:val="2E75B5"/>
          <w:sz w:val="20"/>
          <w:szCs w:val="20"/>
        </w:rPr>
        <w:t>Généralités</w:t>
      </w:r>
    </w:p>
    <w:p w14:paraId="697EC234" w14:textId="77777777" w:rsidR="00A75BD0" w:rsidRDefault="009D4DA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L’article L.5121-12-1 III du code de la santé publique permet à l’Agence nationale de sécurité du médicament et des produits de santé (ANSM) d’élaborer un</w:t>
      </w:r>
      <w:r>
        <w:rPr>
          <w:color w:val="000000"/>
          <w:sz w:val="20"/>
          <w:szCs w:val="20"/>
        </w:rPr>
        <w:t xml:space="preserve"> </w:t>
      </w:r>
      <w:r>
        <w:rPr>
          <w:rFonts w:ascii="Arial" w:eastAsia="Arial" w:hAnsi="Arial" w:cs="Arial"/>
          <w:color w:val="000000"/>
          <w:sz w:val="20"/>
          <w:szCs w:val="20"/>
        </w:rPr>
        <w:t>cadre de prescription compassionnelle (CPC) afin de sécuriser la prescription d’une spécialité pharmaceutique disposant d’une autorisation de mise sur le marché (AMM) en France, dans une indication non conforme à son AMM.</w:t>
      </w:r>
    </w:p>
    <w:p w14:paraId="3EED2F5D" w14:textId="77777777" w:rsidR="00A75BD0" w:rsidRDefault="00A75BD0">
      <w:pPr>
        <w:pBdr>
          <w:top w:val="nil"/>
          <w:left w:val="nil"/>
          <w:bottom w:val="nil"/>
          <w:right w:val="nil"/>
          <w:between w:val="nil"/>
        </w:pBdr>
        <w:spacing w:line="240" w:lineRule="auto"/>
        <w:jc w:val="both"/>
        <w:rPr>
          <w:rFonts w:ascii="Arial" w:eastAsia="Arial" w:hAnsi="Arial" w:cs="Arial"/>
          <w:color w:val="000000"/>
          <w:sz w:val="20"/>
          <w:szCs w:val="20"/>
        </w:rPr>
      </w:pPr>
    </w:p>
    <w:p w14:paraId="2C3EE0E6" w14:textId="77777777" w:rsidR="00A75BD0" w:rsidRDefault="009D4DA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Il s’agit d’une procédure dérogatoire exceptionnelle, d’une durée limitée à 3 ans, renouvelable.</w:t>
      </w:r>
    </w:p>
    <w:p w14:paraId="0346906E" w14:textId="77777777" w:rsidR="00A75BD0" w:rsidRDefault="00A75BD0">
      <w:pPr>
        <w:pBdr>
          <w:top w:val="nil"/>
          <w:left w:val="nil"/>
          <w:bottom w:val="nil"/>
          <w:right w:val="nil"/>
          <w:between w:val="nil"/>
        </w:pBdr>
        <w:spacing w:line="240" w:lineRule="auto"/>
        <w:jc w:val="both"/>
        <w:rPr>
          <w:rFonts w:ascii="Arial" w:eastAsia="Arial" w:hAnsi="Arial" w:cs="Arial"/>
          <w:color w:val="000000"/>
          <w:sz w:val="20"/>
          <w:szCs w:val="20"/>
        </w:rPr>
      </w:pPr>
    </w:p>
    <w:p w14:paraId="451F7A44" w14:textId="77777777" w:rsidR="00A75BD0" w:rsidRDefault="009D4DA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Le CPC permet de répondre à un besoin thérapeutique dès lors que le rapport bénéfice/risque du médicament est présumé favorable. Précisément, une spécialité pharmaceutique peut faire l'objet d'une prescription au titre d’un CPC en l'absence de spécialité de même principe actif, de même dosage et de même forme pharmaceutique disposant d'une AMM ou d'une autorisation d’accès précoce (AAP) dans l'indication ou les conditions d'utilisation considérées. Le prescripteur peut ainsi recourir au médicament dans le CPC pour répondre aux besoins spéciaux de son patient, appréciés à l'issue d'un examen effectif de ce dernier, et en se fondant sur les considérations thérapeutiques qui lui sont propres.</w:t>
      </w:r>
    </w:p>
    <w:p w14:paraId="63A26649" w14:textId="77777777" w:rsidR="00A75BD0" w:rsidRDefault="00A75BD0">
      <w:pPr>
        <w:pBdr>
          <w:top w:val="nil"/>
          <w:left w:val="nil"/>
          <w:bottom w:val="nil"/>
          <w:right w:val="nil"/>
          <w:between w:val="nil"/>
        </w:pBdr>
        <w:spacing w:line="240" w:lineRule="auto"/>
        <w:jc w:val="both"/>
        <w:rPr>
          <w:rFonts w:ascii="Arial" w:eastAsia="Arial" w:hAnsi="Arial" w:cs="Arial"/>
          <w:color w:val="000000"/>
          <w:sz w:val="20"/>
          <w:szCs w:val="20"/>
        </w:rPr>
      </w:pPr>
    </w:p>
    <w:p w14:paraId="683AD85B" w14:textId="77777777" w:rsidR="00A75BD0" w:rsidRDefault="009D4DA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Il peut s’accompagner le cas échéant d’un suivi des patients traités dans l’indication considérée, permettant de recueillir davantage d’informations sur l’efficacité, les effets indésirables, les conditions réelles d’utilisation ou les caractéristiques de la population de patients concernée.</w:t>
      </w:r>
    </w:p>
    <w:p w14:paraId="348B1318" w14:textId="77777777" w:rsidR="00A75BD0" w:rsidRDefault="00A75BD0">
      <w:pPr>
        <w:pBdr>
          <w:top w:val="nil"/>
          <w:left w:val="nil"/>
          <w:bottom w:val="nil"/>
          <w:right w:val="nil"/>
          <w:between w:val="nil"/>
        </w:pBdr>
        <w:jc w:val="both"/>
        <w:rPr>
          <w:rFonts w:ascii="Arial" w:eastAsia="Arial" w:hAnsi="Arial" w:cs="Arial"/>
          <w:color w:val="000000"/>
          <w:sz w:val="20"/>
          <w:szCs w:val="20"/>
        </w:rPr>
      </w:pPr>
    </w:p>
    <w:p w14:paraId="5668591B" w14:textId="77777777" w:rsidR="00A75BD0" w:rsidRDefault="009D4DA5">
      <w:pPr>
        <w:rPr>
          <w:rFonts w:ascii="Arial" w:eastAsia="Arial" w:hAnsi="Arial" w:cs="Arial"/>
          <w:b/>
          <w:color w:val="2E75B5"/>
          <w:sz w:val="20"/>
          <w:szCs w:val="20"/>
        </w:rPr>
      </w:pPr>
      <w:r>
        <w:rPr>
          <w:rFonts w:ascii="Arial" w:eastAsia="Arial" w:hAnsi="Arial" w:cs="Arial"/>
          <w:b/>
          <w:color w:val="2E75B5"/>
          <w:sz w:val="20"/>
          <w:szCs w:val="20"/>
        </w:rPr>
        <w:t>Engagement des professionnels de santé</w:t>
      </w:r>
    </w:p>
    <w:p w14:paraId="7C2F5565" w14:textId="77777777" w:rsidR="00A75BD0" w:rsidRDefault="009D4DA5">
      <w:pPr>
        <w:jc w:val="both"/>
        <w:rPr>
          <w:rFonts w:ascii="Arial" w:eastAsia="Arial" w:hAnsi="Arial" w:cs="Arial"/>
          <w:sz w:val="20"/>
          <w:szCs w:val="20"/>
        </w:rPr>
      </w:pPr>
      <w:r>
        <w:rPr>
          <w:rFonts w:ascii="Arial" w:eastAsia="Arial" w:hAnsi="Arial" w:cs="Arial"/>
          <w:sz w:val="20"/>
          <w:szCs w:val="20"/>
        </w:rPr>
        <w:t>Les professionnels de santé en charge de la prescription et de la délivrance d’une spécialité dans l’indication faisant l’objet d’un CPC s’engagent à respecter le protocole d’utilisation thérapeutique et de suivi des patients joint au CPC (cf. Chapitre 2 « Note d’information destinée aux professionnels de santé intervenant dans le CPC ») et le cas échéant à participer à la collecte de données.</w:t>
      </w:r>
    </w:p>
    <w:p w14:paraId="3EEBF5CF" w14:textId="77777777" w:rsidR="00A75BD0" w:rsidRDefault="00A75BD0">
      <w:pPr>
        <w:pBdr>
          <w:top w:val="nil"/>
          <w:left w:val="nil"/>
          <w:bottom w:val="nil"/>
          <w:right w:val="nil"/>
          <w:between w:val="nil"/>
        </w:pBdr>
        <w:spacing w:before="2" w:line="240" w:lineRule="auto"/>
        <w:rPr>
          <w:rFonts w:ascii="Arial" w:eastAsia="Arial" w:hAnsi="Arial" w:cs="Arial"/>
          <w:color w:val="000000"/>
          <w:sz w:val="20"/>
          <w:szCs w:val="20"/>
          <w:highlight w:val="green"/>
        </w:rPr>
      </w:pPr>
    </w:p>
    <w:p w14:paraId="7D41D23F" w14:textId="77777777" w:rsidR="00A75BD0" w:rsidRDefault="009D4DA5">
      <w:pPr>
        <w:rPr>
          <w:rFonts w:ascii="Arial" w:eastAsia="Arial" w:hAnsi="Arial" w:cs="Arial"/>
          <w:b/>
          <w:color w:val="2E75B5"/>
          <w:sz w:val="20"/>
          <w:szCs w:val="20"/>
        </w:rPr>
      </w:pPr>
      <w:r>
        <w:rPr>
          <w:rFonts w:ascii="Arial" w:eastAsia="Arial" w:hAnsi="Arial" w:cs="Arial"/>
          <w:b/>
          <w:color w:val="2E75B5"/>
          <w:sz w:val="20"/>
          <w:szCs w:val="20"/>
        </w:rPr>
        <w:t xml:space="preserve">Protocole d’utilisation thérapeutique et de suivi des patients </w:t>
      </w:r>
    </w:p>
    <w:p w14:paraId="612BC919" w14:textId="77777777" w:rsidR="00A75BD0" w:rsidRDefault="009D4DA5">
      <w:pPr>
        <w:pBdr>
          <w:top w:val="nil"/>
          <w:left w:val="nil"/>
          <w:bottom w:val="nil"/>
          <w:right w:val="nil"/>
          <w:between w:val="nil"/>
        </w:pBdr>
        <w:spacing w:before="1"/>
        <w:ind w:right="70"/>
        <w:jc w:val="both"/>
        <w:rPr>
          <w:rFonts w:ascii="Arial" w:eastAsia="Arial" w:hAnsi="Arial" w:cs="Arial"/>
          <w:color w:val="000000"/>
          <w:sz w:val="20"/>
          <w:szCs w:val="20"/>
        </w:rPr>
      </w:pPr>
      <w:r>
        <w:rPr>
          <w:rFonts w:ascii="Arial" w:eastAsia="Arial" w:hAnsi="Arial" w:cs="Arial"/>
          <w:color w:val="000000"/>
          <w:sz w:val="20"/>
          <w:szCs w:val="20"/>
        </w:rPr>
        <w:t>Le protocole d’utilisation thérapeutique et de suivi des patients définit les critères de prescription, de dispensation et d’administration du médicament ainsi que les modalités de surveillance des patients traités.</w:t>
      </w:r>
    </w:p>
    <w:p w14:paraId="67CEBAFE" w14:textId="77777777" w:rsidR="00A75BD0" w:rsidRDefault="009D4DA5">
      <w:pPr>
        <w:pBdr>
          <w:top w:val="nil"/>
          <w:left w:val="nil"/>
          <w:bottom w:val="nil"/>
          <w:right w:val="nil"/>
          <w:between w:val="nil"/>
        </w:pBdr>
        <w:ind w:right="70"/>
        <w:jc w:val="both"/>
        <w:rPr>
          <w:rFonts w:ascii="Arial" w:eastAsia="Arial" w:hAnsi="Arial" w:cs="Arial"/>
          <w:color w:val="000000"/>
          <w:sz w:val="20"/>
          <w:szCs w:val="20"/>
        </w:rPr>
      </w:pPr>
      <w:r>
        <w:rPr>
          <w:rFonts w:ascii="Arial" w:eastAsia="Arial" w:hAnsi="Arial" w:cs="Arial"/>
          <w:color w:val="000000"/>
          <w:sz w:val="20"/>
          <w:szCs w:val="20"/>
        </w:rPr>
        <w:t>Il décrit également les modalités de collecte des données issues de ce suivi et les conditions réelles d’utilisation du médicament.</w:t>
      </w:r>
    </w:p>
    <w:p w14:paraId="00E8863B" w14:textId="77777777" w:rsidR="00A75BD0" w:rsidRDefault="009D4DA5">
      <w:pPr>
        <w:pBdr>
          <w:top w:val="nil"/>
          <w:left w:val="nil"/>
          <w:bottom w:val="nil"/>
          <w:right w:val="nil"/>
          <w:between w:val="nil"/>
        </w:pBdr>
        <w:ind w:right="70"/>
        <w:jc w:val="both"/>
        <w:rPr>
          <w:rFonts w:ascii="Arial" w:eastAsia="Arial" w:hAnsi="Arial" w:cs="Arial"/>
          <w:color w:val="000000"/>
          <w:sz w:val="20"/>
          <w:szCs w:val="20"/>
        </w:rPr>
      </w:pPr>
      <w:r>
        <w:rPr>
          <w:rFonts w:ascii="Arial" w:eastAsia="Arial" w:hAnsi="Arial" w:cs="Arial"/>
          <w:color w:val="000000"/>
          <w:sz w:val="20"/>
          <w:szCs w:val="20"/>
        </w:rPr>
        <w:t>Le protocole d’utilisation thérapeutique et de suivi des patients comporte les documents suivants :</w:t>
      </w:r>
    </w:p>
    <w:p w14:paraId="737244BF" w14:textId="77777777" w:rsidR="00A75BD0" w:rsidRDefault="009D4DA5">
      <w:pPr>
        <w:pBdr>
          <w:top w:val="nil"/>
          <w:left w:val="nil"/>
          <w:bottom w:val="nil"/>
          <w:right w:val="nil"/>
          <w:between w:val="nil"/>
        </w:pBdr>
        <w:spacing w:before="90"/>
        <w:ind w:right="70"/>
        <w:jc w:val="both"/>
        <w:rPr>
          <w:rFonts w:ascii="Arial" w:eastAsia="Arial" w:hAnsi="Arial" w:cs="Arial"/>
          <w:color w:val="000000"/>
          <w:sz w:val="20"/>
          <w:szCs w:val="20"/>
        </w:rPr>
      </w:pPr>
      <w:r>
        <w:rPr>
          <w:rFonts w:ascii="Arial" w:eastAsia="Arial" w:hAnsi="Arial" w:cs="Arial"/>
          <w:color w:val="000000"/>
          <w:sz w:val="20"/>
          <w:szCs w:val="20"/>
        </w:rPr>
        <w:t>- Des fiches de suivi (d’initiation, de suivi et d’arrêt de traitement) permettant le recueil des données des patients traités dans le CPC) (cf. annexe 1).</w:t>
      </w:r>
    </w:p>
    <w:p w14:paraId="01C43FE3" w14:textId="77777777" w:rsidR="00A75BD0" w:rsidRDefault="009D4DA5" w:rsidP="0BA40188">
      <w:pPr>
        <w:pBdr>
          <w:top w:val="nil"/>
          <w:left w:val="nil"/>
          <w:bottom w:val="nil"/>
          <w:right w:val="nil"/>
          <w:between w:val="nil"/>
        </w:pBdr>
        <w:ind w:right="7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Un argumentaire sur les données relatives à l’efficacité et à la sécurité du bevacizumab dans le CPC (cf. annexe 2).</w:t>
      </w:r>
    </w:p>
    <w:p w14:paraId="60D3A714" w14:textId="77777777" w:rsidR="00A75BD0" w:rsidRDefault="009D4DA5">
      <w:pPr>
        <w:pBdr>
          <w:top w:val="nil"/>
          <w:left w:val="nil"/>
          <w:bottom w:val="nil"/>
          <w:right w:val="nil"/>
          <w:between w:val="nil"/>
        </w:pBdr>
        <w:ind w:right="70"/>
        <w:jc w:val="both"/>
        <w:rPr>
          <w:rFonts w:ascii="Arial" w:eastAsia="Arial" w:hAnsi="Arial" w:cs="Arial"/>
          <w:color w:val="0562C1"/>
          <w:sz w:val="20"/>
          <w:szCs w:val="20"/>
          <w:u w:val="single"/>
        </w:rPr>
      </w:pPr>
      <w:r>
        <w:rPr>
          <w:rFonts w:ascii="Arial" w:eastAsia="Arial" w:hAnsi="Arial" w:cs="Arial"/>
          <w:color w:val="000000"/>
          <w:sz w:val="20"/>
          <w:szCs w:val="20"/>
        </w:rPr>
        <w:t xml:space="preserve">- Une note d’information à destination des patients sur les conditions d’utilisation du médicament dans le CPC (cf. annexe 3). Le patient peut également consulter la notice annexée à l’AMM, présente dans les boites et également consultable sur le site internet suivant : </w:t>
      </w:r>
      <w:hyperlink r:id="rId71">
        <w:r>
          <w:rPr>
            <w:rFonts w:ascii="Arial" w:eastAsia="Arial" w:hAnsi="Arial" w:cs="Arial"/>
            <w:color w:val="0562C1"/>
            <w:sz w:val="20"/>
            <w:szCs w:val="20"/>
            <w:u w:val="single"/>
          </w:rPr>
          <w:t>https://base-donnees-publique.medicaments.gouv.fr/</w:t>
        </w:r>
      </w:hyperlink>
    </w:p>
    <w:p w14:paraId="32BD8C46" w14:textId="77777777" w:rsidR="00A75BD0" w:rsidRDefault="009D4DA5" w:rsidP="0BA40188">
      <w:pPr>
        <w:pBdr>
          <w:top w:val="nil"/>
          <w:left w:val="nil"/>
          <w:bottom w:val="nil"/>
          <w:right w:val="nil"/>
          <w:between w:val="nil"/>
        </w:pBdr>
        <w:ind w:right="70"/>
        <w:jc w:val="both"/>
        <w:rPr>
          <w:rFonts w:ascii="Arial" w:eastAsia="Arial" w:hAnsi="Arial" w:cs="Arial"/>
          <w:color w:val="0562C1"/>
          <w:sz w:val="20"/>
          <w:szCs w:val="20"/>
          <w:u w:val="single"/>
          <w:lang w:val="fr-FR"/>
        </w:rPr>
      </w:pPr>
      <w:r w:rsidRPr="0BA40188">
        <w:rPr>
          <w:rFonts w:ascii="Arial" w:eastAsia="Arial" w:hAnsi="Arial" w:cs="Arial"/>
          <w:color w:val="000000" w:themeColor="text1"/>
          <w:sz w:val="20"/>
          <w:szCs w:val="20"/>
          <w:lang w:val="fr-FR"/>
        </w:rPr>
        <w:t>- Une information à destination des professionnels de santé sur les conditions d’utilisation du médicament dans le CPC. Les prescripteurs sont par ailleurs invités à consulter le Résumé des Caractéristiques du Produit (RCP</w:t>
      </w:r>
      <w:r w:rsidRPr="0BA40188">
        <w:rPr>
          <w:sz w:val="20"/>
          <w:szCs w:val="20"/>
          <w:lang w:val="fr-FR"/>
        </w:rPr>
        <w:t>(1)</w:t>
      </w:r>
      <w:r w:rsidRPr="0BA40188">
        <w:rPr>
          <w:rFonts w:ascii="Arial" w:eastAsia="Arial" w:hAnsi="Arial" w:cs="Arial"/>
          <w:color w:val="000000" w:themeColor="text1"/>
          <w:sz w:val="20"/>
          <w:szCs w:val="20"/>
          <w:lang w:val="fr-FR"/>
        </w:rPr>
        <w:t xml:space="preserve">) annexé à l’AMM, consultable sur le site internet suivant : </w:t>
      </w:r>
      <w:hyperlink r:id="rId72">
        <w:r w:rsidRPr="0BA40188">
          <w:rPr>
            <w:rFonts w:ascii="Arial" w:eastAsia="Arial" w:hAnsi="Arial" w:cs="Arial"/>
            <w:color w:val="0562C1"/>
            <w:sz w:val="20"/>
            <w:szCs w:val="20"/>
            <w:u w:val="single"/>
            <w:lang w:val="fr-FR"/>
          </w:rPr>
          <w:t>https://base-donnees-publique.medicaments.gouv.fr/</w:t>
        </w:r>
      </w:hyperlink>
    </w:p>
    <w:p w14:paraId="2CBB3A63" w14:textId="77777777" w:rsidR="00A75BD0" w:rsidRDefault="009D4DA5">
      <w:pPr>
        <w:pBdr>
          <w:top w:val="nil"/>
          <w:left w:val="nil"/>
          <w:bottom w:val="nil"/>
          <w:right w:val="nil"/>
          <w:between w:val="nil"/>
        </w:pBdr>
        <w:ind w:right="70"/>
        <w:jc w:val="both"/>
        <w:rPr>
          <w:rFonts w:ascii="Arial" w:eastAsia="Arial" w:hAnsi="Arial" w:cs="Arial"/>
          <w:color w:val="000000"/>
          <w:sz w:val="20"/>
          <w:szCs w:val="20"/>
        </w:rPr>
      </w:pPr>
      <w:r>
        <w:rPr>
          <w:rFonts w:ascii="Arial" w:eastAsia="Arial" w:hAnsi="Arial" w:cs="Arial"/>
          <w:color w:val="000000"/>
          <w:sz w:val="20"/>
          <w:szCs w:val="20"/>
        </w:rPr>
        <w:t>- Un rappel des modalités de déclaration des effets indésirables (cf. annexe 5).</w:t>
      </w:r>
    </w:p>
    <w:p w14:paraId="25BBC374" w14:textId="77777777" w:rsidR="00A75BD0" w:rsidRDefault="00A75BD0">
      <w:pPr>
        <w:pBdr>
          <w:top w:val="nil"/>
          <w:left w:val="nil"/>
          <w:bottom w:val="nil"/>
          <w:right w:val="nil"/>
          <w:between w:val="nil"/>
        </w:pBdr>
        <w:spacing w:line="240" w:lineRule="auto"/>
        <w:ind w:right="70"/>
        <w:rPr>
          <w:rFonts w:ascii="Arial" w:eastAsia="Arial" w:hAnsi="Arial" w:cs="Arial"/>
          <w:color w:val="000000"/>
          <w:sz w:val="20"/>
          <w:szCs w:val="20"/>
        </w:rPr>
      </w:pPr>
    </w:p>
    <w:p w14:paraId="2F460AAA" w14:textId="77777777" w:rsidR="00A75BD0" w:rsidRDefault="009D4DA5">
      <w:pPr>
        <w:pBdr>
          <w:top w:val="nil"/>
          <w:left w:val="nil"/>
          <w:bottom w:val="nil"/>
          <w:right w:val="nil"/>
          <w:between w:val="nil"/>
        </w:pBdr>
        <w:ind w:right="70"/>
        <w:jc w:val="both"/>
        <w:rPr>
          <w:rFonts w:ascii="Arial" w:eastAsia="Arial" w:hAnsi="Arial" w:cs="Arial"/>
          <w:color w:val="000000"/>
          <w:sz w:val="20"/>
          <w:szCs w:val="20"/>
        </w:rPr>
      </w:pPr>
      <w:r>
        <w:rPr>
          <w:rFonts w:ascii="Arial" w:eastAsia="Arial" w:hAnsi="Arial" w:cs="Arial"/>
          <w:color w:val="000000"/>
          <w:sz w:val="20"/>
          <w:szCs w:val="20"/>
        </w:rPr>
        <w:t>Le PUT-SP et ses annexes sont disponibles sur le site Internet de l’ANSM (</w:t>
      </w:r>
      <w:hyperlink r:id="rId73">
        <w:r>
          <w:rPr>
            <w:rFonts w:ascii="Arial" w:eastAsia="Arial" w:hAnsi="Arial" w:cs="Arial"/>
            <w:color w:val="0562C1"/>
            <w:sz w:val="20"/>
            <w:szCs w:val="20"/>
            <w:u w:val="single"/>
          </w:rPr>
          <w:t>documents de référence – accès compassionnel/accès précoce – Référentiel des spécialités en accès dérogatoire - CPC en cours</w:t>
        </w:r>
      </w:hyperlink>
      <w:r>
        <w:rPr>
          <w:rFonts w:ascii="Arial" w:eastAsia="Arial" w:hAnsi="Arial" w:cs="Arial"/>
          <w:color w:val="000000"/>
          <w:sz w:val="20"/>
          <w:szCs w:val="20"/>
        </w:rPr>
        <w:t>). Il est également mis à la disposition des professionnels de santé concernés, par le laboratoire.</w:t>
      </w:r>
    </w:p>
    <w:p w14:paraId="2D13E736" w14:textId="77777777" w:rsidR="00A75BD0" w:rsidRDefault="00A75BD0">
      <w:pPr>
        <w:pBdr>
          <w:top w:val="nil"/>
          <w:left w:val="nil"/>
          <w:bottom w:val="nil"/>
          <w:right w:val="nil"/>
          <w:between w:val="nil"/>
        </w:pBdr>
        <w:spacing w:before="5" w:line="240" w:lineRule="auto"/>
        <w:rPr>
          <w:rFonts w:ascii="Arial" w:eastAsia="Arial" w:hAnsi="Arial" w:cs="Arial"/>
          <w:color w:val="000000"/>
          <w:sz w:val="20"/>
          <w:szCs w:val="20"/>
        </w:rPr>
      </w:pPr>
    </w:p>
    <w:p w14:paraId="6F99D915" w14:textId="77777777" w:rsidR="00A75BD0" w:rsidRDefault="009D4DA5">
      <w:pPr>
        <w:rPr>
          <w:rFonts w:ascii="Arial" w:eastAsia="Arial" w:hAnsi="Arial" w:cs="Arial"/>
          <w:b/>
          <w:color w:val="2E75B5"/>
          <w:sz w:val="20"/>
          <w:szCs w:val="20"/>
        </w:rPr>
      </w:pPr>
      <w:r>
        <w:rPr>
          <w:rFonts w:ascii="Arial" w:eastAsia="Arial" w:hAnsi="Arial" w:cs="Arial"/>
          <w:b/>
          <w:color w:val="2E75B5"/>
          <w:sz w:val="20"/>
          <w:szCs w:val="20"/>
        </w:rPr>
        <w:t xml:space="preserve">Rôle du laboratoire </w:t>
      </w:r>
    </w:p>
    <w:p w14:paraId="7C29EBFE" w14:textId="77777777" w:rsidR="00A75BD0" w:rsidRDefault="009D4DA5">
      <w:pPr>
        <w:pBdr>
          <w:top w:val="nil"/>
          <w:left w:val="nil"/>
          <w:bottom w:val="nil"/>
          <w:right w:val="nil"/>
          <w:between w:val="nil"/>
        </w:pBdr>
        <w:spacing w:before="5" w:line="240" w:lineRule="auto"/>
        <w:jc w:val="both"/>
        <w:rPr>
          <w:rFonts w:ascii="Arial" w:eastAsia="Arial" w:hAnsi="Arial" w:cs="Arial"/>
          <w:color w:val="000000"/>
          <w:sz w:val="20"/>
          <w:szCs w:val="20"/>
        </w:rPr>
      </w:pPr>
      <w:r>
        <w:rPr>
          <w:rFonts w:ascii="Arial" w:eastAsia="Arial" w:hAnsi="Arial" w:cs="Arial"/>
          <w:color w:val="000000"/>
          <w:sz w:val="20"/>
          <w:szCs w:val="20"/>
        </w:rPr>
        <w:t>Le titulaire de l’AMM du médicament ou l’entreprise en charge de son exploitation :</w:t>
      </w:r>
    </w:p>
    <w:p w14:paraId="6F4F68BB" w14:textId="77777777" w:rsidR="00A75BD0" w:rsidRDefault="009D4DA5" w:rsidP="0BA40188">
      <w:pPr>
        <w:numPr>
          <w:ilvl w:val="2"/>
          <w:numId w:val="25"/>
        </w:numPr>
        <w:pBdr>
          <w:top w:val="nil"/>
          <w:left w:val="nil"/>
          <w:bottom w:val="nil"/>
          <w:right w:val="nil"/>
          <w:between w:val="nil"/>
        </w:pBdr>
        <w:spacing w:before="5" w:line="240" w:lineRule="auto"/>
        <w:ind w:left="567"/>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prend en charge le coût du suivi du médicament et organise la collecte de données, le cas échéant.</w:t>
      </w:r>
    </w:p>
    <w:p w14:paraId="5471B8B5" w14:textId="77777777" w:rsidR="00A75BD0" w:rsidRDefault="009D4DA5" w:rsidP="0BA40188">
      <w:pPr>
        <w:numPr>
          <w:ilvl w:val="2"/>
          <w:numId w:val="25"/>
        </w:numPr>
        <w:pBdr>
          <w:top w:val="nil"/>
          <w:left w:val="nil"/>
          <w:bottom w:val="nil"/>
          <w:right w:val="nil"/>
          <w:between w:val="nil"/>
        </w:pBdr>
        <w:spacing w:before="5" w:line="240" w:lineRule="auto"/>
        <w:ind w:left="567"/>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xml:space="preserve">collecte les fiches, d’initiation, de suivi, de fin de traitement </w:t>
      </w:r>
    </w:p>
    <w:p w14:paraId="29C7CB73" w14:textId="77777777" w:rsidR="00A75BD0" w:rsidRDefault="009D4DA5" w:rsidP="0BA40188">
      <w:pPr>
        <w:numPr>
          <w:ilvl w:val="2"/>
          <w:numId w:val="25"/>
        </w:numPr>
        <w:pBdr>
          <w:top w:val="nil"/>
          <w:left w:val="nil"/>
          <w:bottom w:val="nil"/>
          <w:right w:val="nil"/>
          <w:between w:val="nil"/>
        </w:pBdr>
        <w:spacing w:before="5"/>
        <w:ind w:left="568" w:hanging="284"/>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est responsable de traitement au sens du règlement général sur la protection des données (RGPD) ;</w:t>
      </w:r>
    </w:p>
    <w:p w14:paraId="70D4D07E" w14:textId="77777777" w:rsidR="00A75BD0" w:rsidRDefault="009D4DA5" w:rsidP="0BA40188">
      <w:pPr>
        <w:numPr>
          <w:ilvl w:val="2"/>
          <w:numId w:val="25"/>
        </w:numPr>
        <w:pBdr>
          <w:top w:val="nil"/>
          <w:left w:val="nil"/>
          <w:bottom w:val="nil"/>
          <w:right w:val="nil"/>
          <w:between w:val="nil"/>
        </w:pBdr>
        <w:spacing w:before="5" w:line="240" w:lineRule="auto"/>
        <w:ind w:left="567"/>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 xml:space="preserve">collecte et analyse toutes les informations recueillies dans le cadre du PUT-SP. </w:t>
      </w:r>
    </w:p>
    <w:p w14:paraId="2F4F6A2F" w14:textId="77777777" w:rsidR="00A75BD0" w:rsidRDefault="009D4DA5">
      <w:pPr>
        <w:pBdr>
          <w:top w:val="nil"/>
          <w:left w:val="nil"/>
          <w:bottom w:val="nil"/>
          <w:right w:val="nil"/>
          <w:between w:val="nil"/>
        </w:pBdr>
        <w:spacing w:line="240" w:lineRule="auto"/>
        <w:ind w:firstLine="586"/>
        <w:jc w:val="both"/>
        <w:rPr>
          <w:rFonts w:ascii="Arial" w:eastAsia="Arial" w:hAnsi="Arial" w:cs="Arial"/>
          <w:color w:val="000000"/>
          <w:sz w:val="20"/>
          <w:szCs w:val="20"/>
        </w:rPr>
      </w:pPr>
      <w:r>
        <w:rPr>
          <w:rFonts w:ascii="Arial" w:eastAsia="Arial" w:hAnsi="Arial" w:cs="Arial"/>
          <w:color w:val="000000"/>
          <w:sz w:val="20"/>
          <w:szCs w:val="20"/>
        </w:rPr>
        <w:t>Les données collectées par le laboratoire concernent notamment :</w:t>
      </w:r>
    </w:p>
    <w:p w14:paraId="14A96305" w14:textId="77777777" w:rsidR="00A75BD0" w:rsidRDefault="009D4DA5" w:rsidP="0BA40188">
      <w:pPr>
        <w:widowControl w:val="0"/>
        <w:numPr>
          <w:ilvl w:val="1"/>
          <w:numId w:val="6"/>
        </w:numPr>
        <w:pBdr>
          <w:top w:val="nil"/>
          <w:left w:val="nil"/>
          <w:bottom w:val="nil"/>
          <w:right w:val="nil"/>
          <w:between w:val="nil"/>
        </w:pBdr>
        <w:spacing w:after="0" w:line="291"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les caractéristiques des patients traités ;</w:t>
      </w:r>
    </w:p>
    <w:p w14:paraId="41487768" w14:textId="77777777" w:rsidR="00A75BD0" w:rsidRDefault="009D4DA5" w:rsidP="0BA40188">
      <w:pPr>
        <w:widowControl w:val="0"/>
        <w:numPr>
          <w:ilvl w:val="1"/>
          <w:numId w:val="6"/>
        </w:numPr>
        <w:pBdr>
          <w:top w:val="nil"/>
          <w:left w:val="nil"/>
          <w:bottom w:val="nil"/>
          <w:right w:val="nil"/>
          <w:between w:val="nil"/>
        </w:pBdr>
        <w:tabs>
          <w:tab w:val="left" w:pos="709"/>
        </w:tabs>
        <w:spacing w:after="0" w:line="288"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les modalités effectives d’utilisation du médicament ;</w:t>
      </w:r>
    </w:p>
    <w:p w14:paraId="14199A4A" w14:textId="77777777" w:rsidR="00A75BD0" w:rsidRDefault="009D4DA5" w:rsidP="0BA40188">
      <w:pPr>
        <w:widowControl w:val="0"/>
        <w:numPr>
          <w:ilvl w:val="1"/>
          <w:numId w:val="6"/>
        </w:numPr>
        <w:pBdr>
          <w:top w:val="nil"/>
          <w:left w:val="nil"/>
          <w:bottom w:val="nil"/>
          <w:right w:val="nil"/>
          <w:between w:val="nil"/>
        </w:pBdr>
        <w:spacing w:line="240" w:lineRule="auto"/>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les données d’efficacité et de sécurité (données de pharmacovigilance) ; ainsi que toute information utile à l’évaluation du rapport bénéfice/risque lié à l’emploi du médicament dans l’indication du CPC en France et à l’étranger pendant cette période, y compris les données de la littérature.</w:t>
      </w:r>
    </w:p>
    <w:p w14:paraId="3540C3A1" w14:textId="77777777" w:rsidR="00A75BD0" w:rsidRDefault="009D4DA5" w:rsidP="0BA40188">
      <w:pPr>
        <w:numPr>
          <w:ilvl w:val="2"/>
          <w:numId w:val="25"/>
        </w:numPr>
        <w:pBdr>
          <w:top w:val="nil"/>
          <w:left w:val="nil"/>
          <w:bottom w:val="nil"/>
          <w:right w:val="nil"/>
          <w:between w:val="nil"/>
        </w:pBdr>
        <w:spacing w:before="5"/>
        <w:ind w:left="568" w:hanging="284"/>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établit un rapport de synthèse portant sur les informations relatives à l'efficacité, à la sécurité et aux conditions réelles d'utilisation de bevacizumab ainsi qu’un projet de résumé qu’il transmet à l'ANSM selon la périodicité définie en page 1 du présent PUT-SP.</w:t>
      </w:r>
    </w:p>
    <w:p w14:paraId="109DBA8D" w14:textId="77777777" w:rsidR="00A75BD0" w:rsidRDefault="009D4DA5">
      <w:pPr>
        <w:pBdr>
          <w:top w:val="nil"/>
          <w:left w:val="nil"/>
          <w:bottom w:val="nil"/>
          <w:right w:val="nil"/>
          <w:between w:val="nil"/>
        </w:pBdr>
        <w:ind w:right="70"/>
        <w:jc w:val="both"/>
        <w:rPr>
          <w:rFonts w:ascii="Arial" w:eastAsia="Arial" w:hAnsi="Arial" w:cs="Arial"/>
          <w:color w:val="000000"/>
          <w:sz w:val="20"/>
          <w:szCs w:val="20"/>
        </w:rPr>
      </w:pPr>
      <w:r>
        <w:rPr>
          <w:rFonts w:ascii="Arial" w:eastAsia="Arial" w:hAnsi="Arial" w:cs="Arial"/>
          <w:color w:val="000000"/>
          <w:sz w:val="20"/>
          <w:szCs w:val="20"/>
        </w:rPr>
        <w:t xml:space="preserve">La période de suivi couvre la période comprise entre la date de début du CPC et la date d’anniversaire correspondante. Le délai de transmission du rapport par les laboratoires exploitants ne doit pas excéder deux mois. </w:t>
      </w:r>
    </w:p>
    <w:p w14:paraId="0E0A7C82" w14:textId="77777777" w:rsidR="00A75BD0" w:rsidRDefault="00A75BD0">
      <w:pPr>
        <w:pBdr>
          <w:top w:val="nil"/>
          <w:left w:val="nil"/>
          <w:bottom w:val="nil"/>
          <w:right w:val="nil"/>
          <w:between w:val="nil"/>
        </w:pBdr>
        <w:spacing w:before="5" w:line="240" w:lineRule="auto"/>
        <w:rPr>
          <w:rFonts w:ascii="Arial" w:eastAsia="Arial" w:hAnsi="Arial" w:cs="Arial"/>
          <w:color w:val="000000"/>
          <w:sz w:val="20"/>
          <w:szCs w:val="20"/>
        </w:rPr>
      </w:pPr>
    </w:p>
    <w:p w14:paraId="43572D11" w14:textId="77777777" w:rsidR="00A75BD0" w:rsidRDefault="009D4DA5">
      <w:pPr>
        <w:ind w:right="260"/>
        <w:jc w:val="both"/>
        <w:rPr>
          <w:rFonts w:ascii="Arial" w:eastAsia="Arial" w:hAnsi="Arial" w:cs="Arial"/>
          <w:i/>
          <w:color w:val="9933FF"/>
          <w:sz w:val="20"/>
          <w:szCs w:val="20"/>
        </w:rPr>
      </w:pPr>
      <w:r>
        <w:rPr>
          <w:rFonts w:ascii="Arial" w:eastAsia="Arial" w:hAnsi="Arial" w:cs="Arial"/>
          <w:b/>
          <w:color w:val="2E75B5"/>
          <w:sz w:val="20"/>
          <w:szCs w:val="20"/>
        </w:rPr>
        <w:t>Exploitation des données</w:t>
      </w:r>
      <w:r>
        <w:rPr>
          <w:rFonts w:ascii="Arial" w:eastAsia="Arial" w:hAnsi="Arial" w:cs="Arial"/>
          <w:sz w:val="20"/>
          <w:szCs w:val="20"/>
        </w:rPr>
        <w:t xml:space="preserve"> </w:t>
      </w:r>
    </w:p>
    <w:p w14:paraId="0268B49B" w14:textId="77777777" w:rsidR="00A75BD0" w:rsidRDefault="009D4DA5">
      <w:pPr>
        <w:pBdr>
          <w:top w:val="nil"/>
          <w:left w:val="nil"/>
          <w:bottom w:val="nil"/>
          <w:right w:val="nil"/>
          <w:between w:val="nil"/>
        </w:pBdr>
        <w:ind w:right="70"/>
        <w:jc w:val="both"/>
        <w:rPr>
          <w:rFonts w:ascii="Arial" w:eastAsia="Arial" w:hAnsi="Arial" w:cs="Arial"/>
          <w:color w:val="000000"/>
          <w:sz w:val="20"/>
          <w:szCs w:val="20"/>
        </w:rPr>
      </w:pPr>
      <w:r>
        <w:rPr>
          <w:rFonts w:ascii="Arial" w:eastAsia="Arial" w:hAnsi="Arial" w:cs="Arial"/>
          <w:color w:val="000000"/>
          <w:sz w:val="20"/>
          <w:szCs w:val="20"/>
        </w:rPr>
        <w:t xml:space="preserve">L’ensemble des données collectées par les prescripteurs/professionnels de santé dans le contexte du CPC seront recueillies et analysées par le(s) laboratoire(s) concerné(s) et des rapports de synthèse sont transmis à l’ANSM annuellement. </w:t>
      </w:r>
    </w:p>
    <w:p w14:paraId="05E5401B" w14:textId="77777777" w:rsidR="00A75BD0" w:rsidRDefault="00A75BD0">
      <w:pPr>
        <w:pBdr>
          <w:top w:val="nil"/>
          <w:left w:val="nil"/>
          <w:bottom w:val="nil"/>
          <w:right w:val="nil"/>
          <w:between w:val="nil"/>
        </w:pBdr>
        <w:spacing w:line="240" w:lineRule="auto"/>
        <w:ind w:right="70"/>
        <w:jc w:val="both"/>
        <w:rPr>
          <w:rFonts w:ascii="Arial" w:eastAsia="Arial" w:hAnsi="Arial" w:cs="Arial"/>
          <w:color w:val="000000"/>
          <w:sz w:val="20"/>
          <w:szCs w:val="20"/>
        </w:rPr>
      </w:pPr>
    </w:p>
    <w:p w14:paraId="46D8FC37" w14:textId="77777777" w:rsidR="00A75BD0" w:rsidRDefault="009D4DA5" w:rsidP="0BA40188">
      <w:pPr>
        <w:pBdr>
          <w:top w:val="nil"/>
          <w:left w:val="nil"/>
          <w:bottom w:val="nil"/>
          <w:right w:val="nil"/>
          <w:between w:val="nil"/>
        </w:pBdr>
        <w:ind w:right="70"/>
        <w:jc w:val="both"/>
        <w:rPr>
          <w:rFonts w:ascii="Arial" w:eastAsia="Arial" w:hAnsi="Arial" w:cs="Arial"/>
          <w:color w:val="000000"/>
          <w:sz w:val="20"/>
          <w:szCs w:val="20"/>
          <w:lang w:val="fr-FR"/>
        </w:rPr>
      </w:pPr>
      <w:r w:rsidRPr="0BA40188">
        <w:rPr>
          <w:rFonts w:ascii="Arial" w:eastAsia="Arial" w:hAnsi="Arial" w:cs="Arial"/>
          <w:color w:val="000000" w:themeColor="text1"/>
          <w:sz w:val="20"/>
          <w:szCs w:val="20"/>
          <w:lang w:val="fr-FR"/>
        </w:rPr>
        <w:t>L’ANSM assure une surveillance nationale de l’utilisation de bevacizumab en collaboration, le cas échéant avec le Centre Régional de Pharmacovigilance (CRPV) en charge du suivi des patients inclus dans ce protocole. Les données seront collectées et envoyées jusqu’à la fin de traitement du dernier patient inclus dans le CPC.</w:t>
      </w:r>
    </w:p>
    <w:p w14:paraId="0D50A17E" w14:textId="77777777" w:rsidR="00A75BD0" w:rsidRDefault="00A75BD0">
      <w:pPr>
        <w:pBdr>
          <w:top w:val="nil"/>
          <w:left w:val="nil"/>
          <w:bottom w:val="nil"/>
          <w:right w:val="nil"/>
          <w:between w:val="nil"/>
        </w:pBdr>
        <w:spacing w:line="240" w:lineRule="auto"/>
        <w:rPr>
          <w:rFonts w:ascii="Arial" w:eastAsia="Arial" w:hAnsi="Arial" w:cs="Arial"/>
          <w:color w:val="000000"/>
          <w:sz w:val="20"/>
          <w:szCs w:val="20"/>
        </w:rPr>
      </w:pPr>
    </w:p>
    <w:p w14:paraId="695008F5" w14:textId="77777777" w:rsidR="00A75BD0" w:rsidRDefault="009D4DA5">
      <w:pPr>
        <w:spacing w:after="120" w:line="240" w:lineRule="auto"/>
        <w:rPr>
          <w:rFonts w:ascii="Arial" w:eastAsia="Arial" w:hAnsi="Arial" w:cs="Arial"/>
          <w:sz w:val="20"/>
          <w:szCs w:val="20"/>
        </w:rPr>
      </w:pPr>
      <w:r>
        <w:rPr>
          <w:rFonts w:ascii="Arial" w:eastAsia="Arial" w:hAnsi="Arial" w:cs="Arial"/>
          <w:sz w:val="20"/>
          <w:szCs w:val="20"/>
        </w:rPr>
        <w:t xml:space="preserve">Les résumés de ces rapports validés par l’ANSM sont publiés sur son site Internet : </w:t>
      </w:r>
      <w:hyperlink r:id="rId74">
        <w:r>
          <w:rPr>
            <w:rFonts w:ascii="Arial" w:eastAsia="Arial" w:hAnsi="Arial" w:cs="Arial"/>
            <w:sz w:val="20"/>
            <w:szCs w:val="20"/>
          </w:rPr>
          <w:t>www.ansm.sante.fr.</w:t>
        </w:r>
      </w:hyperlink>
      <w:bookmarkStart w:id="16" w:name="bookmark=id.1ksv4uv" w:colFirst="0" w:colLast="0"/>
      <w:bookmarkEnd w:id="16"/>
    </w:p>
    <w:p w14:paraId="3E7482F5" w14:textId="77777777" w:rsidR="00A75BD0" w:rsidRDefault="009D4DA5">
      <w:pPr>
        <w:tabs>
          <w:tab w:val="left" w:pos="1134"/>
          <w:tab w:val="left" w:pos="4678"/>
        </w:tabs>
        <w:spacing w:after="60" w:line="276" w:lineRule="auto"/>
        <w:ind w:right="-567"/>
        <w:rPr>
          <w:rFonts w:ascii="Arial Narrow" w:eastAsia="Arial Narrow" w:hAnsi="Arial Narrow" w:cs="Arial Narrow"/>
          <w:b/>
          <w:sz w:val="28"/>
          <w:szCs w:val="28"/>
        </w:rPr>
        <w:sectPr w:rsidR="00A75BD0">
          <w:pgSz w:w="11920" w:h="16840"/>
          <w:pgMar w:top="720" w:right="720" w:bottom="720" w:left="720" w:header="720" w:footer="720" w:gutter="0"/>
          <w:cols w:space="720"/>
        </w:sectPr>
      </w:pPr>
      <w:r>
        <w:rPr>
          <w:sz w:val="20"/>
          <w:szCs w:val="20"/>
        </w:rPr>
        <w:t xml:space="preserve"> </w:t>
      </w:r>
    </w:p>
    <w:p w14:paraId="16D0D6AF" w14:textId="77777777" w:rsidR="00A75BD0" w:rsidRDefault="009D4DA5" w:rsidP="0BA40188">
      <w:pPr>
        <w:pStyle w:val="Titre2"/>
        <w:ind w:left="1560"/>
        <w:rPr>
          <w:rFonts w:ascii="Arial Narrow" w:eastAsia="Arial Narrow" w:hAnsi="Arial Narrow" w:cs="Arial Narrow"/>
          <w:b/>
          <w:bCs/>
          <w:sz w:val="28"/>
          <w:szCs w:val="28"/>
          <w:lang w:val="fr-FR"/>
        </w:rPr>
      </w:pPr>
      <w:r w:rsidRPr="0BA40188">
        <w:rPr>
          <w:rFonts w:ascii="Arial Narrow" w:eastAsia="Arial Narrow" w:hAnsi="Arial Narrow" w:cs="Arial Narrow"/>
          <w:b/>
          <w:bCs/>
          <w:sz w:val="28"/>
          <w:szCs w:val="28"/>
          <w:lang w:val="fr-FR"/>
        </w:rPr>
        <w:t>ANNEXE 7 : fiche de surveillance des epistaxis dans la maladie de Rendu Osler</w:t>
      </w:r>
    </w:p>
    <w:p w14:paraId="64C8BDB5" w14:textId="77777777" w:rsidR="00A75BD0" w:rsidRDefault="009D4DA5">
      <w:pPr>
        <w:ind w:right="306"/>
        <w:jc w:val="center"/>
        <w:rPr>
          <w:rFonts w:ascii="Arial" w:eastAsia="Arial" w:hAnsi="Arial" w:cs="Arial"/>
          <w:b/>
          <w:sz w:val="20"/>
          <w:szCs w:val="20"/>
        </w:rPr>
      </w:pPr>
      <w:r>
        <w:rPr>
          <w:rFonts w:ascii="Arial" w:eastAsia="Arial" w:hAnsi="Arial" w:cs="Arial"/>
          <w:b/>
          <w:sz w:val="20"/>
          <w:szCs w:val="20"/>
        </w:rPr>
        <w:t xml:space="preserve"> FICHE DE SURVEILLANCE DES EPISTAXIS DANS LA MALADIE DE RENDU-OSLER</w:t>
      </w:r>
    </w:p>
    <w:p w14:paraId="0422A332" w14:textId="77777777" w:rsidR="00A75BD0" w:rsidRDefault="009D4DA5" w:rsidP="0BA40188">
      <w:pPr>
        <w:jc w:val="center"/>
        <w:rPr>
          <w:rFonts w:ascii="Arial" w:eastAsia="Arial" w:hAnsi="Arial" w:cs="Arial"/>
          <w:lang w:val="fr-FR"/>
        </w:rPr>
      </w:pPr>
      <w:r>
        <w:rPr>
          <w:rFonts w:ascii="Arial" w:eastAsia="Arial" w:hAnsi="Arial" w:cs="Arial"/>
        </w:rPr>
        <w:tab/>
      </w:r>
      <w:r w:rsidRPr="0BA40188">
        <w:rPr>
          <w:rFonts w:ascii="Arial" w:eastAsia="Arial" w:hAnsi="Arial" w:cs="Arial"/>
          <w:lang w:val="fr-FR"/>
        </w:rPr>
        <w:t>Nom :</w:t>
      </w:r>
      <w:r>
        <w:rPr>
          <w:rFonts w:ascii="Arial" w:eastAsia="Arial" w:hAnsi="Arial" w:cs="Arial"/>
        </w:rPr>
        <w:tab/>
      </w:r>
      <w:r>
        <w:rPr>
          <w:rFonts w:ascii="Arial" w:eastAsia="Arial" w:hAnsi="Arial" w:cs="Arial"/>
        </w:rPr>
        <w:tab/>
      </w:r>
      <w:r>
        <w:rPr>
          <w:rFonts w:ascii="Arial" w:eastAsia="Arial" w:hAnsi="Arial" w:cs="Arial"/>
        </w:rPr>
        <w:tab/>
      </w:r>
      <w:r w:rsidRPr="0BA40188">
        <w:rPr>
          <w:rFonts w:ascii="Arial" w:eastAsia="Arial" w:hAnsi="Arial" w:cs="Arial"/>
          <w:lang w:val="fr-FR"/>
        </w:rPr>
        <w:t>Prénom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Pr="0BA40188">
        <w:rPr>
          <w:rFonts w:ascii="Arial" w:eastAsia="Arial" w:hAnsi="Arial" w:cs="Arial"/>
          <w:lang w:val="fr-FR"/>
        </w:rPr>
        <w:t>Date de naissance :</w:t>
      </w:r>
    </w:p>
    <w:p w14:paraId="3FDB71DB" w14:textId="77777777" w:rsidR="00A75BD0" w:rsidRDefault="009D4DA5">
      <w:pPr>
        <w:jc w:val="center"/>
        <w:rPr>
          <w:rFonts w:ascii="Arial" w:eastAsia="Arial" w:hAnsi="Arial" w:cs="Arial"/>
        </w:rPr>
      </w:pPr>
      <w:r>
        <w:rPr>
          <w:rFonts w:ascii="Arial" w:eastAsia="Arial" w:hAnsi="Arial" w:cs="Arial"/>
        </w:rPr>
        <w:t xml:space="preserve">Année : 20 </w:t>
      </w:r>
      <w:r>
        <w:rPr>
          <w:rFonts w:ascii="Arial" w:eastAsia="Arial" w:hAnsi="Arial" w:cs="Arial"/>
        </w:rPr>
        <w:tab/>
      </w:r>
      <w:r>
        <w:rPr>
          <w:rFonts w:ascii="Arial" w:eastAsia="Arial" w:hAnsi="Arial" w:cs="Arial"/>
        </w:rPr>
        <w:tab/>
        <w:t>Mois :</w:t>
      </w:r>
    </w:p>
    <w:p w14:paraId="60ABBD57" w14:textId="77777777" w:rsidR="00A75BD0" w:rsidRDefault="009D4DA5">
      <w:pPr>
        <w:jc w:val="center"/>
        <w:rPr>
          <w:rFonts w:ascii="Arial" w:eastAsia="Arial" w:hAnsi="Arial" w:cs="Arial"/>
        </w:rPr>
      </w:pPr>
      <w:r>
        <w:rPr>
          <w:rFonts w:ascii="Arial" w:eastAsia="Arial" w:hAnsi="Arial" w:cs="Arial"/>
        </w:rPr>
        <w:t xml:space="preserve">Inscrire dans la colonne correspondant au jour du mois, </w:t>
      </w:r>
      <w:r>
        <w:rPr>
          <w:rFonts w:ascii="Arial" w:eastAsia="Arial" w:hAnsi="Arial" w:cs="Arial"/>
          <w:b/>
        </w:rPr>
        <w:t>la durée en minutes</w:t>
      </w:r>
      <w:r>
        <w:rPr>
          <w:rFonts w:ascii="Arial" w:eastAsia="Arial" w:hAnsi="Arial" w:cs="Arial"/>
        </w:rPr>
        <w:t xml:space="preserve"> de chaque épistaxis.</w:t>
      </w:r>
    </w:p>
    <w:tbl>
      <w:tblPr>
        <w:tblStyle w:val="af9"/>
        <w:tblpPr w:leftFromText="141" w:rightFromText="141" w:vertAnchor="text" w:tblpX="989" w:tblpY="148"/>
        <w:tblW w:w="15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6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A75BD0" w14:paraId="7718491B" w14:textId="77777777">
        <w:tc>
          <w:tcPr>
            <w:tcW w:w="1267" w:type="dxa"/>
            <w:tcBorders>
              <w:top w:val="single" w:sz="18" w:space="0" w:color="000000"/>
              <w:left w:val="single" w:sz="18" w:space="0" w:color="000000"/>
              <w:bottom w:val="single" w:sz="18" w:space="0" w:color="000000"/>
              <w:right w:val="single" w:sz="18" w:space="0" w:color="000000"/>
            </w:tcBorders>
          </w:tcPr>
          <w:p w14:paraId="378BAA31" w14:textId="77777777" w:rsidR="00A75BD0" w:rsidRDefault="009D4DA5">
            <w:pPr>
              <w:jc w:val="center"/>
              <w:rPr>
                <w:b/>
                <w:sz w:val="18"/>
                <w:szCs w:val="18"/>
              </w:rPr>
            </w:pPr>
            <w:r>
              <w:rPr>
                <w:b/>
                <w:sz w:val="18"/>
                <w:szCs w:val="18"/>
              </w:rPr>
              <w:t>Jour</w:t>
            </w:r>
          </w:p>
        </w:tc>
        <w:tc>
          <w:tcPr>
            <w:tcW w:w="456" w:type="dxa"/>
            <w:tcBorders>
              <w:top w:val="single" w:sz="18" w:space="0" w:color="000000"/>
              <w:left w:val="single" w:sz="18" w:space="0" w:color="000000"/>
              <w:bottom w:val="single" w:sz="18" w:space="0" w:color="000000"/>
              <w:right w:val="single" w:sz="18" w:space="0" w:color="000000"/>
            </w:tcBorders>
          </w:tcPr>
          <w:p w14:paraId="040CEFBF" w14:textId="77777777" w:rsidR="00A75BD0" w:rsidRDefault="009D4DA5">
            <w:pPr>
              <w:jc w:val="center"/>
              <w:rPr>
                <w:b/>
                <w:sz w:val="18"/>
                <w:szCs w:val="18"/>
              </w:rPr>
            </w:pPr>
            <w:r>
              <w:rPr>
                <w:b/>
                <w:sz w:val="18"/>
                <w:szCs w:val="18"/>
              </w:rPr>
              <w:t>1</w:t>
            </w:r>
          </w:p>
        </w:tc>
        <w:tc>
          <w:tcPr>
            <w:tcW w:w="456" w:type="dxa"/>
            <w:tcBorders>
              <w:top w:val="single" w:sz="18" w:space="0" w:color="000000"/>
              <w:left w:val="single" w:sz="18" w:space="0" w:color="000000"/>
              <w:bottom w:val="single" w:sz="18" w:space="0" w:color="000000"/>
              <w:right w:val="single" w:sz="18" w:space="0" w:color="000000"/>
            </w:tcBorders>
          </w:tcPr>
          <w:p w14:paraId="7F5632F9" w14:textId="77777777" w:rsidR="00A75BD0" w:rsidRDefault="009D4DA5">
            <w:pPr>
              <w:jc w:val="center"/>
              <w:rPr>
                <w:b/>
                <w:sz w:val="18"/>
                <w:szCs w:val="18"/>
              </w:rPr>
            </w:pPr>
            <w:r>
              <w:rPr>
                <w:b/>
                <w:sz w:val="18"/>
                <w:szCs w:val="18"/>
              </w:rPr>
              <w:t>2</w:t>
            </w:r>
          </w:p>
        </w:tc>
        <w:tc>
          <w:tcPr>
            <w:tcW w:w="456" w:type="dxa"/>
            <w:tcBorders>
              <w:top w:val="single" w:sz="18" w:space="0" w:color="000000"/>
              <w:left w:val="single" w:sz="18" w:space="0" w:color="000000"/>
              <w:bottom w:val="single" w:sz="18" w:space="0" w:color="000000"/>
              <w:right w:val="single" w:sz="18" w:space="0" w:color="000000"/>
            </w:tcBorders>
          </w:tcPr>
          <w:p w14:paraId="28EE6A54" w14:textId="77777777" w:rsidR="00A75BD0" w:rsidRDefault="009D4DA5">
            <w:pPr>
              <w:jc w:val="center"/>
              <w:rPr>
                <w:b/>
                <w:sz w:val="18"/>
                <w:szCs w:val="18"/>
              </w:rPr>
            </w:pPr>
            <w:r>
              <w:rPr>
                <w:b/>
                <w:sz w:val="18"/>
                <w:szCs w:val="18"/>
              </w:rPr>
              <w:t>3</w:t>
            </w:r>
          </w:p>
        </w:tc>
        <w:tc>
          <w:tcPr>
            <w:tcW w:w="456" w:type="dxa"/>
            <w:tcBorders>
              <w:top w:val="single" w:sz="18" w:space="0" w:color="000000"/>
              <w:left w:val="single" w:sz="18" w:space="0" w:color="000000"/>
              <w:bottom w:val="single" w:sz="18" w:space="0" w:color="000000"/>
              <w:right w:val="single" w:sz="18" w:space="0" w:color="000000"/>
            </w:tcBorders>
          </w:tcPr>
          <w:p w14:paraId="5D71D355" w14:textId="77777777" w:rsidR="00A75BD0" w:rsidRDefault="009D4DA5">
            <w:pPr>
              <w:jc w:val="center"/>
              <w:rPr>
                <w:b/>
                <w:sz w:val="18"/>
                <w:szCs w:val="18"/>
              </w:rPr>
            </w:pPr>
            <w:r>
              <w:rPr>
                <w:b/>
                <w:sz w:val="18"/>
                <w:szCs w:val="18"/>
              </w:rPr>
              <w:t>4</w:t>
            </w:r>
          </w:p>
        </w:tc>
        <w:tc>
          <w:tcPr>
            <w:tcW w:w="456" w:type="dxa"/>
            <w:tcBorders>
              <w:top w:val="single" w:sz="18" w:space="0" w:color="000000"/>
              <w:left w:val="single" w:sz="18" w:space="0" w:color="000000"/>
              <w:bottom w:val="single" w:sz="18" w:space="0" w:color="000000"/>
              <w:right w:val="single" w:sz="18" w:space="0" w:color="000000"/>
            </w:tcBorders>
          </w:tcPr>
          <w:p w14:paraId="72C55445" w14:textId="77777777" w:rsidR="00A75BD0" w:rsidRDefault="009D4DA5">
            <w:pPr>
              <w:jc w:val="center"/>
              <w:rPr>
                <w:b/>
                <w:sz w:val="18"/>
                <w:szCs w:val="18"/>
              </w:rPr>
            </w:pPr>
            <w:r>
              <w:rPr>
                <w:b/>
                <w:sz w:val="18"/>
                <w:szCs w:val="18"/>
              </w:rPr>
              <w:t>5</w:t>
            </w:r>
          </w:p>
        </w:tc>
        <w:tc>
          <w:tcPr>
            <w:tcW w:w="456" w:type="dxa"/>
            <w:tcBorders>
              <w:top w:val="single" w:sz="18" w:space="0" w:color="000000"/>
              <w:left w:val="single" w:sz="18" w:space="0" w:color="000000"/>
              <w:bottom w:val="single" w:sz="18" w:space="0" w:color="000000"/>
              <w:right w:val="single" w:sz="18" w:space="0" w:color="000000"/>
            </w:tcBorders>
          </w:tcPr>
          <w:p w14:paraId="173EC697" w14:textId="77777777" w:rsidR="00A75BD0" w:rsidRDefault="009D4DA5">
            <w:pPr>
              <w:jc w:val="center"/>
              <w:rPr>
                <w:b/>
                <w:sz w:val="18"/>
                <w:szCs w:val="18"/>
              </w:rPr>
            </w:pPr>
            <w:r>
              <w:rPr>
                <w:b/>
                <w:sz w:val="18"/>
                <w:szCs w:val="18"/>
              </w:rPr>
              <w:t>6</w:t>
            </w:r>
          </w:p>
        </w:tc>
        <w:tc>
          <w:tcPr>
            <w:tcW w:w="456" w:type="dxa"/>
            <w:tcBorders>
              <w:top w:val="single" w:sz="18" w:space="0" w:color="000000"/>
              <w:left w:val="single" w:sz="18" w:space="0" w:color="000000"/>
              <w:bottom w:val="single" w:sz="18" w:space="0" w:color="000000"/>
              <w:right w:val="single" w:sz="18" w:space="0" w:color="000000"/>
            </w:tcBorders>
          </w:tcPr>
          <w:p w14:paraId="5E555B81" w14:textId="77777777" w:rsidR="00A75BD0" w:rsidRDefault="009D4DA5">
            <w:pPr>
              <w:jc w:val="center"/>
              <w:rPr>
                <w:b/>
                <w:sz w:val="18"/>
                <w:szCs w:val="18"/>
              </w:rPr>
            </w:pPr>
            <w:r>
              <w:rPr>
                <w:b/>
                <w:sz w:val="18"/>
                <w:szCs w:val="18"/>
              </w:rPr>
              <w:t>7</w:t>
            </w:r>
          </w:p>
        </w:tc>
        <w:tc>
          <w:tcPr>
            <w:tcW w:w="456" w:type="dxa"/>
            <w:tcBorders>
              <w:top w:val="single" w:sz="18" w:space="0" w:color="000000"/>
              <w:left w:val="single" w:sz="18" w:space="0" w:color="000000"/>
              <w:bottom w:val="single" w:sz="18" w:space="0" w:color="000000"/>
              <w:right w:val="single" w:sz="18" w:space="0" w:color="000000"/>
            </w:tcBorders>
          </w:tcPr>
          <w:p w14:paraId="0BA45D1A" w14:textId="77777777" w:rsidR="00A75BD0" w:rsidRDefault="009D4DA5">
            <w:pPr>
              <w:jc w:val="center"/>
              <w:rPr>
                <w:b/>
                <w:sz w:val="18"/>
                <w:szCs w:val="18"/>
              </w:rPr>
            </w:pPr>
            <w:r>
              <w:rPr>
                <w:b/>
                <w:sz w:val="18"/>
                <w:szCs w:val="18"/>
              </w:rPr>
              <w:t>8</w:t>
            </w:r>
          </w:p>
        </w:tc>
        <w:tc>
          <w:tcPr>
            <w:tcW w:w="456" w:type="dxa"/>
            <w:tcBorders>
              <w:top w:val="single" w:sz="18" w:space="0" w:color="000000"/>
              <w:left w:val="single" w:sz="18" w:space="0" w:color="000000"/>
              <w:bottom w:val="single" w:sz="18" w:space="0" w:color="000000"/>
              <w:right w:val="single" w:sz="18" w:space="0" w:color="000000"/>
            </w:tcBorders>
          </w:tcPr>
          <w:p w14:paraId="3B945DE0" w14:textId="77777777" w:rsidR="00A75BD0" w:rsidRDefault="009D4DA5">
            <w:pPr>
              <w:jc w:val="center"/>
              <w:rPr>
                <w:b/>
                <w:sz w:val="18"/>
                <w:szCs w:val="18"/>
              </w:rPr>
            </w:pPr>
            <w:r>
              <w:rPr>
                <w:b/>
                <w:sz w:val="18"/>
                <w:szCs w:val="18"/>
              </w:rPr>
              <w:t>9</w:t>
            </w:r>
          </w:p>
        </w:tc>
        <w:tc>
          <w:tcPr>
            <w:tcW w:w="456" w:type="dxa"/>
            <w:tcBorders>
              <w:top w:val="single" w:sz="18" w:space="0" w:color="000000"/>
              <w:left w:val="single" w:sz="18" w:space="0" w:color="000000"/>
              <w:bottom w:val="single" w:sz="18" w:space="0" w:color="000000"/>
              <w:right w:val="single" w:sz="18" w:space="0" w:color="000000"/>
            </w:tcBorders>
          </w:tcPr>
          <w:p w14:paraId="45E23364" w14:textId="77777777" w:rsidR="00A75BD0" w:rsidRDefault="009D4DA5">
            <w:pPr>
              <w:jc w:val="center"/>
              <w:rPr>
                <w:b/>
                <w:sz w:val="18"/>
                <w:szCs w:val="18"/>
              </w:rPr>
            </w:pPr>
            <w:r>
              <w:rPr>
                <w:b/>
                <w:sz w:val="18"/>
                <w:szCs w:val="18"/>
              </w:rPr>
              <w:t>10</w:t>
            </w:r>
          </w:p>
        </w:tc>
        <w:tc>
          <w:tcPr>
            <w:tcW w:w="456" w:type="dxa"/>
            <w:tcBorders>
              <w:top w:val="single" w:sz="18" w:space="0" w:color="000000"/>
              <w:left w:val="single" w:sz="18" w:space="0" w:color="000000"/>
              <w:bottom w:val="single" w:sz="18" w:space="0" w:color="000000"/>
              <w:right w:val="single" w:sz="18" w:space="0" w:color="000000"/>
            </w:tcBorders>
          </w:tcPr>
          <w:p w14:paraId="11DA5514" w14:textId="77777777" w:rsidR="00A75BD0" w:rsidRDefault="009D4DA5">
            <w:pPr>
              <w:jc w:val="center"/>
              <w:rPr>
                <w:b/>
                <w:sz w:val="18"/>
                <w:szCs w:val="18"/>
              </w:rPr>
            </w:pPr>
            <w:r>
              <w:rPr>
                <w:b/>
                <w:sz w:val="18"/>
                <w:szCs w:val="18"/>
              </w:rPr>
              <w:t>11</w:t>
            </w:r>
          </w:p>
        </w:tc>
        <w:tc>
          <w:tcPr>
            <w:tcW w:w="456" w:type="dxa"/>
            <w:tcBorders>
              <w:top w:val="single" w:sz="18" w:space="0" w:color="000000"/>
              <w:left w:val="single" w:sz="18" w:space="0" w:color="000000"/>
              <w:bottom w:val="single" w:sz="18" w:space="0" w:color="000000"/>
              <w:right w:val="single" w:sz="18" w:space="0" w:color="000000"/>
            </w:tcBorders>
          </w:tcPr>
          <w:p w14:paraId="7FFE9A42" w14:textId="77777777" w:rsidR="00A75BD0" w:rsidRDefault="009D4DA5">
            <w:pPr>
              <w:jc w:val="center"/>
              <w:rPr>
                <w:b/>
                <w:sz w:val="18"/>
                <w:szCs w:val="18"/>
              </w:rPr>
            </w:pPr>
            <w:r>
              <w:rPr>
                <w:b/>
                <w:sz w:val="18"/>
                <w:szCs w:val="18"/>
              </w:rPr>
              <w:t>12</w:t>
            </w:r>
          </w:p>
        </w:tc>
        <w:tc>
          <w:tcPr>
            <w:tcW w:w="456" w:type="dxa"/>
            <w:tcBorders>
              <w:top w:val="single" w:sz="18" w:space="0" w:color="000000"/>
              <w:left w:val="single" w:sz="18" w:space="0" w:color="000000"/>
              <w:bottom w:val="single" w:sz="18" w:space="0" w:color="000000"/>
              <w:right w:val="single" w:sz="18" w:space="0" w:color="000000"/>
            </w:tcBorders>
          </w:tcPr>
          <w:p w14:paraId="6570C671" w14:textId="77777777" w:rsidR="00A75BD0" w:rsidRDefault="009D4DA5">
            <w:pPr>
              <w:jc w:val="center"/>
              <w:rPr>
                <w:b/>
                <w:sz w:val="18"/>
                <w:szCs w:val="18"/>
              </w:rPr>
            </w:pPr>
            <w:r>
              <w:rPr>
                <w:b/>
                <w:sz w:val="18"/>
                <w:szCs w:val="18"/>
              </w:rPr>
              <w:t>13</w:t>
            </w:r>
          </w:p>
        </w:tc>
        <w:tc>
          <w:tcPr>
            <w:tcW w:w="456" w:type="dxa"/>
            <w:tcBorders>
              <w:top w:val="single" w:sz="18" w:space="0" w:color="000000"/>
              <w:left w:val="single" w:sz="18" w:space="0" w:color="000000"/>
              <w:bottom w:val="single" w:sz="18" w:space="0" w:color="000000"/>
              <w:right w:val="single" w:sz="18" w:space="0" w:color="000000"/>
            </w:tcBorders>
          </w:tcPr>
          <w:p w14:paraId="3279CF9E" w14:textId="77777777" w:rsidR="00A75BD0" w:rsidRDefault="009D4DA5">
            <w:pPr>
              <w:jc w:val="center"/>
              <w:rPr>
                <w:b/>
                <w:sz w:val="18"/>
                <w:szCs w:val="18"/>
              </w:rPr>
            </w:pPr>
            <w:r>
              <w:rPr>
                <w:b/>
                <w:sz w:val="18"/>
                <w:szCs w:val="18"/>
              </w:rPr>
              <w:t>14</w:t>
            </w:r>
          </w:p>
        </w:tc>
        <w:tc>
          <w:tcPr>
            <w:tcW w:w="456" w:type="dxa"/>
            <w:tcBorders>
              <w:top w:val="single" w:sz="18" w:space="0" w:color="000000"/>
              <w:left w:val="single" w:sz="18" w:space="0" w:color="000000"/>
              <w:bottom w:val="single" w:sz="18" w:space="0" w:color="000000"/>
              <w:right w:val="single" w:sz="18" w:space="0" w:color="000000"/>
            </w:tcBorders>
          </w:tcPr>
          <w:p w14:paraId="061EAFD4" w14:textId="77777777" w:rsidR="00A75BD0" w:rsidRDefault="009D4DA5">
            <w:pPr>
              <w:jc w:val="center"/>
              <w:rPr>
                <w:b/>
                <w:sz w:val="18"/>
                <w:szCs w:val="18"/>
              </w:rPr>
            </w:pPr>
            <w:r>
              <w:rPr>
                <w:b/>
                <w:sz w:val="18"/>
                <w:szCs w:val="18"/>
              </w:rPr>
              <w:t>15</w:t>
            </w:r>
          </w:p>
        </w:tc>
        <w:tc>
          <w:tcPr>
            <w:tcW w:w="456" w:type="dxa"/>
            <w:tcBorders>
              <w:top w:val="single" w:sz="18" w:space="0" w:color="000000"/>
              <w:left w:val="single" w:sz="18" w:space="0" w:color="000000"/>
              <w:bottom w:val="single" w:sz="18" w:space="0" w:color="000000"/>
              <w:right w:val="single" w:sz="18" w:space="0" w:color="000000"/>
            </w:tcBorders>
          </w:tcPr>
          <w:p w14:paraId="624BF9CE" w14:textId="77777777" w:rsidR="00A75BD0" w:rsidRDefault="009D4DA5">
            <w:pPr>
              <w:jc w:val="center"/>
              <w:rPr>
                <w:b/>
                <w:sz w:val="18"/>
                <w:szCs w:val="18"/>
              </w:rPr>
            </w:pPr>
            <w:r>
              <w:rPr>
                <w:b/>
                <w:sz w:val="18"/>
                <w:szCs w:val="18"/>
              </w:rPr>
              <w:t>16</w:t>
            </w:r>
          </w:p>
        </w:tc>
        <w:tc>
          <w:tcPr>
            <w:tcW w:w="456" w:type="dxa"/>
            <w:tcBorders>
              <w:top w:val="single" w:sz="18" w:space="0" w:color="000000"/>
              <w:left w:val="single" w:sz="18" w:space="0" w:color="000000"/>
              <w:bottom w:val="single" w:sz="18" w:space="0" w:color="000000"/>
              <w:right w:val="single" w:sz="18" w:space="0" w:color="000000"/>
            </w:tcBorders>
          </w:tcPr>
          <w:p w14:paraId="17BB50F8" w14:textId="77777777" w:rsidR="00A75BD0" w:rsidRDefault="009D4DA5">
            <w:pPr>
              <w:jc w:val="center"/>
              <w:rPr>
                <w:b/>
                <w:sz w:val="18"/>
                <w:szCs w:val="18"/>
              </w:rPr>
            </w:pPr>
            <w:r>
              <w:rPr>
                <w:b/>
                <w:sz w:val="18"/>
                <w:szCs w:val="18"/>
              </w:rPr>
              <w:t>17</w:t>
            </w:r>
          </w:p>
        </w:tc>
        <w:tc>
          <w:tcPr>
            <w:tcW w:w="456" w:type="dxa"/>
            <w:tcBorders>
              <w:top w:val="single" w:sz="18" w:space="0" w:color="000000"/>
              <w:left w:val="single" w:sz="18" w:space="0" w:color="000000"/>
              <w:bottom w:val="single" w:sz="18" w:space="0" w:color="000000"/>
              <w:right w:val="single" w:sz="18" w:space="0" w:color="000000"/>
            </w:tcBorders>
          </w:tcPr>
          <w:p w14:paraId="081DFA9C" w14:textId="77777777" w:rsidR="00A75BD0" w:rsidRDefault="009D4DA5">
            <w:pPr>
              <w:jc w:val="center"/>
              <w:rPr>
                <w:b/>
                <w:sz w:val="18"/>
                <w:szCs w:val="18"/>
              </w:rPr>
            </w:pPr>
            <w:r>
              <w:rPr>
                <w:b/>
                <w:sz w:val="18"/>
                <w:szCs w:val="18"/>
              </w:rPr>
              <w:t>18</w:t>
            </w:r>
          </w:p>
        </w:tc>
        <w:tc>
          <w:tcPr>
            <w:tcW w:w="456" w:type="dxa"/>
            <w:tcBorders>
              <w:top w:val="single" w:sz="18" w:space="0" w:color="000000"/>
              <w:left w:val="single" w:sz="18" w:space="0" w:color="000000"/>
              <w:bottom w:val="single" w:sz="18" w:space="0" w:color="000000"/>
              <w:right w:val="single" w:sz="18" w:space="0" w:color="000000"/>
            </w:tcBorders>
          </w:tcPr>
          <w:p w14:paraId="0123F536" w14:textId="77777777" w:rsidR="00A75BD0" w:rsidRDefault="009D4DA5">
            <w:pPr>
              <w:jc w:val="center"/>
              <w:rPr>
                <w:b/>
                <w:sz w:val="18"/>
                <w:szCs w:val="18"/>
              </w:rPr>
            </w:pPr>
            <w:r>
              <w:rPr>
                <w:b/>
                <w:sz w:val="18"/>
                <w:szCs w:val="18"/>
              </w:rPr>
              <w:t>19</w:t>
            </w:r>
          </w:p>
        </w:tc>
        <w:tc>
          <w:tcPr>
            <w:tcW w:w="456" w:type="dxa"/>
            <w:tcBorders>
              <w:top w:val="single" w:sz="18" w:space="0" w:color="000000"/>
              <w:left w:val="single" w:sz="18" w:space="0" w:color="000000"/>
              <w:bottom w:val="single" w:sz="18" w:space="0" w:color="000000"/>
              <w:right w:val="single" w:sz="18" w:space="0" w:color="000000"/>
            </w:tcBorders>
          </w:tcPr>
          <w:p w14:paraId="5B82D77B" w14:textId="77777777" w:rsidR="00A75BD0" w:rsidRDefault="009D4DA5">
            <w:pPr>
              <w:jc w:val="center"/>
              <w:rPr>
                <w:b/>
                <w:sz w:val="18"/>
                <w:szCs w:val="18"/>
              </w:rPr>
            </w:pPr>
            <w:r>
              <w:rPr>
                <w:b/>
                <w:sz w:val="18"/>
                <w:szCs w:val="18"/>
              </w:rPr>
              <w:t>20</w:t>
            </w:r>
          </w:p>
        </w:tc>
        <w:tc>
          <w:tcPr>
            <w:tcW w:w="456" w:type="dxa"/>
            <w:tcBorders>
              <w:top w:val="single" w:sz="18" w:space="0" w:color="000000"/>
              <w:left w:val="single" w:sz="18" w:space="0" w:color="000000"/>
              <w:bottom w:val="single" w:sz="18" w:space="0" w:color="000000"/>
              <w:right w:val="single" w:sz="18" w:space="0" w:color="000000"/>
            </w:tcBorders>
          </w:tcPr>
          <w:p w14:paraId="459172BC" w14:textId="77777777" w:rsidR="00A75BD0" w:rsidRDefault="009D4DA5">
            <w:pPr>
              <w:jc w:val="center"/>
              <w:rPr>
                <w:b/>
                <w:sz w:val="18"/>
                <w:szCs w:val="18"/>
              </w:rPr>
            </w:pPr>
            <w:r>
              <w:rPr>
                <w:b/>
                <w:sz w:val="18"/>
                <w:szCs w:val="18"/>
              </w:rPr>
              <w:t>21</w:t>
            </w:r>
          </w:p>
        </w:tc>
        <w:tc>
          <w:tcPr>
            <w:tcW w:w="456" w:type="dxa"/>
            <w:tcBorders>
              <w:top w:val="single" w:sz="18" w:space="0" w:color="000000"/>
              <w:left w:val="single" w:sz="18" w:space="0" w:color="000000"/>
              <w:bottom w:val="single" w:sz="18" w:space="0" w:color="000000"/>
              <w:right w:val="single" w:sz="18" w:space="0" w:color="000000"/>
            </w:tcBorders>
          </w:tcPr>
          <w:p w14:paraId="77EB6E8F" w14:textId="77777777" w:rsidR="00A75BD0" w:rsidRDefault="009D4DA5">
            <w:pPr>
              <w:jc w:val="center"/>
              <w:rPr>
                <w:b/>
                <w:sz w:val="18"/>
                <w:szCs w:val="18"/>
              </w:rPr>
            </w:pPr>
            <w:r>
              <w:rPr>
                <w:b/>
                <w:sz w:val="18"/>
                <w:szCs w:val="18"/>
              </w:rPr>
              <w:t>22</w:t>
            </w:r>
          </w:p>
        </w:tc>
        <w:tc>
          <w:tcPr>
            <w:tcW w:w="456" w:type="dxa"/>
            <w:tcBorders>
              <w:top w:val="single" w:sz="18" w:space="0" w:color="000000"/>
              <w:left w:val="single" w:sz="18" w:space="0" w:color="000000"/>
              <w:bottom w:val="single" w:sz="18" w:space="0" w:color="000000"/>
              <w:right w:val="single" w:sz="18" w:space="0" w:color="000000"/>
            </w:tcBorders>
          </w:tcPr>
          <w:p w14:paraId="1DFD631B" w14:textId="77777777" w:rsidR="00A75BD0" w:rsidRDefault="009D4DA5">
            <w:pPr>
              <w:jc w:val="center"/>
              <w:rPr>
                <w:b/>
                <w:sz w:val="18"/>
                <w:szCs w:val="18"/>
              </w:rPr>
            </w:pPr>
            <w:r>
              <w:rPr>
                <w:b/>
                <w:sz w:val="18"/>
                <w:szCs w:val="18"/>
              </w:rPr>
              <w:t>23</w:t>
            </w:r>
          </w:p>
        </w:tc>
        <w:tc>
          <w:tcPr>
            <w:tcW w:w="456" w:type="dxa"/>
            <w:tcBorders>
              <w:top w:val="single" w:sz="18" w:space="0" w:color="000000"/>
              <w:left w:val="single" w:sz="18" w:space="0" w:color="000000"/>
              <w:bottom w:val="single" w:sz="18" w:space="0" w:color="000000"/>
              <w:right w:val="single" w:sz="18" w:space="0" w:color="000000"/>
            </w:tcBorders>
          </w:tcPr>
          <w:p w14:paraId="1CCFBFBA" w14:textId="77777777" w:rsidR="00A75BD0" w:rsidRDefault="009D4DA5">
            <w:pPr>
              <w:jc w:val="center"/>
              <w:rPr>
                <w:b/>
                <w:sz w:val="18"/>
                <w:szCs w:val="18"/>
              </w:rPr>
            </w:pPr>
            <w:r>
              <w:rPr>
                <w:b/>
                <w:sz w:val="18"/>
                <w:szCs w:val="18"/>
              </w:rPr>
              <w:t>24</w:t>
            </w:r>
          </w:p>
        </w:tc>
        <w:tc>
          <w:tcPr>
            <w:tcW w:w="456" w:type="dxa"/>
            <w:tcBorders>
              <w:top w:val="single" w:sz="18" w:space="0" w:color="000000"/>
              <w:left w:val="single" w:sz="18" w:space="0" w:color="000000"/>
              <w:bottom w:val="single" w:sz="18" w:space="0" w:color="000000"/>
              <w:right w:val="single" w:sz="18" w:space="0" w:color="000000"/>
            </w:tcBorders>
          </w:tcPr>
          <w:p w14:paraId="68FB0FE5" w14:textId="77777777" w:rsidR="00A75BD0" w:rsidRDefault="009D4DA5">
            <w:pPr>
              <w:jc w:val="center"/>
              <w:rPr>
                <w:b/>
                <w:sz w:val="18"/>
                <w:szCs w:val="18"/>
              </w:rPr>
            </w:pPr>
            <w:r>
              <w:rPr>
                <w:b/>
                <w:sz w:val="18"/>
                <w:szCs w:val="18"/>
              </w:rPr>
              <w:t>25</w:t>
            </w:r>
          </w:p>
        </w:tc>
        <w:tc>
          <w:tcPr>
            <w:tcW w:w="456" w:type="dxa"/>
            <w:tcBorders>
              <w:top w:val="single" w:sz="18" w:space="0" w:color="000000"/>
              <w:left w:val="single" w:sz="18" w:space="0" w:color="000000"/>
              <w:bottom w:val="single" w:sz="18" w:space="0" w:color="000000"/>
              <w:right w:val="single" w:sz="18" w:space="0" w:color="000000"/>
            </w:tcBorders>
          </w:tcPr>
          <w:p w14:paraId="029DAF6B" w14:textId="77777777" w:rsidR="00A75BD0" w:rsidRDefault="009D4DA5">
            <w:pPr>
              <w:jc w:val="center"/>
              <w:rPr>
                <w:b/>
                <w:sz w:val="18"/>
                <w:szCs w:val="18"/>
              </w:rPr>
            </w:pPr>
            <w:r>
              <w:rPr>
                <w:b/>
                <w:sz w:val="18"/>
                <w:szCs w:val="18"/>
              </w:rPr>
              <w:t>26</w:t>
            </w:r>
          </w:p>
        </w:tc>
        <w:tc>
          <w:tcPr>
            <w:tcW w:w="456" w:type="dxa"/>
            <w:tcBorders>
              <w:top w:val="single" w:sz="18" w:space="0" w:color="000000"/>
              <w:left w:val="single" w:sz="18" w:space="0" w:color="000000"/>
              <w:bottom w:val="single" w:sz="18" w:space="0" w:color="000000"/>
              <w:right w:val="single" w:sz="18" w:space="0" w:color="000000"/>
            </w:tcBorders>
          </w:tcPr>
          <w:p w14:paraId="765F4C92" w14:textId="77777777" w:rsidR="00A75BD0" w:rsidRDefault="009D4DA5">
            <w:pPr>
              <w:jc w:val="center"/>
              <w:rPr>
                <w:b/>
                <w:sz w:val="18"/>
                <w:szCs w:val="18"/>
              </w:rPr>
            </w:pPr>
            <w:r>
              <w:rPr>
                <w:b/>
                <w:sz w:val="18"/>
                <w:szCs w:val="18"/>
              </w:rPr>
              <w:t>27</w:t>
            </w:r>
          </w:p>
        </w:tc>
        <w:tc>
          <w:tcPr>
            <w:tcW w:w="456" w:type="dxa"/>
            <w:tcBorders>
              <w:top w:val="single" w:sz="18" w:space="0" w:color="000000"/>
              <w:left w:val="single" w:sz="18" w:space="0" w:color="000000"/>
              <w:bottom w:val="single" w:sz="18" w:space="0" w:color="000000"/>
              <w:right w:val="single" w:sz="18" w:space="0" w:color="000000"/>
            </w:tcBorders>
          </w:tcPr>
          <w:p w14:paraId="41097FCB" w14:textId="77777777" w:rsidR="00A75BD0" w:rsidRDefault="009D4DA5">
            <w:pPr>
              <w:jc w:val="center"/>
              <w:rPr>
                <w:b/>
                <w:sz w:val="18"/>
                <w:szCs w:val="18"/>
              </w:rPr>
            </w:pPr>
            <w:r>
              <w:rPr>
                <w:b/>
                <w:sz w:val="18"/>
                <w:szCs w:val="18"/>
              </w:rPr>
              <w:t>28</w:t>
            </w:r>
          </w:p>
        </w:tc>
        <w:tc>
          <w:tcPr>
            <w:tcW w:w="456" w:type="dxa"/>
            <w:tcBorders>
              <w:top w:val="single" w:sz="18" w:space="0" w:color="000000"/>
              <w:left w:val="single" w:sz="18" w:space="0" w:color="000000"/>
              <w:bottom w:val="single" w:sz="18" w:space="0" w:color="000000"/>
              <w:right w:val="single" w:sz="18" w:space="0" w:color="000000"/>
            </w:tcBorders>
          </w:tcPr>
          <w:p w14:paraId="247857CE" w14:textId="77777777" w:rsidR="00A75BD0" w:rsidRDefault="009D4DA5">
            <w:pPr>
              <w:jc w:val="center"/>
              <w:rPr>
                <w:b/>
                <w:sz w:val="18"/>
                <w:szCs w:val="18"/>
              </w:rPr>
            </w:pPr>
            <w:r>
              <w:rPr>
                <w:b/>
                <w:sz w:val="18"/>
                <w:szCs w:val="18"/>
              </w:rPr>
              <w:t>29</w:t>
            </w:r>
          </w:p>
        </w:tc>
        <w:tc>
          <w:tcPr>
            <w:tcW w:w="456" w:type="dxa"/>
            <w:tcBorders>
              <w:top w:val="single" w:sz="18" w:space="0" w:color="000000"/>
              <w:left w:val="single" w:sz="18" w:space="0" w:color="000000"/>
              <w:bottom w:val="single" w:sz="18" w:space="0" w:color="000000"/>
              <w:right w:val="single" w:sz="18" w:space="0" w:color="000000"/>
            </w:tcBorders>
          </w:tcPr>
          <w:p w14:paraId="37CD3122" w14:textId="77777777" w:rsidR="00A75BD0" w:rsidRDefault="009D4DA5">
            <w:pPr>
              <w:jc w:val="center"/>
              <w:rPr>
                <w:b/>
                <w:sz w:val="18"/>
                <w:szCs w:val="18"/>
              </w:rPr>
            </w:pPr>
            <w:r>
              <w:rPr>
                <w:b/>
                <w:sz w:val="18"/>
                <w:szCs w:val="18"/>
              </w:rPr>
              <w:t>30</w:t>
            </w:r>
          </w:p>
        </w:tc>
        <w:tc>
          <w:tcPr>
            <w:tcW w:w="456" w:type="dxa"/>
            <w:tcBorders>
              <w:top w:val="single" w:sz="18" w:space="0" w:color="000000"/>
              <w:left w:val="single" w:sz="18" w:space="0" w:color="000000"/>
              <w:bottom w:val="single" w:sz="18" w:space="0" w:color="000000"/>
              <w:right w:val="single" w:sz="18" w:space="0" w:color="000000"/>
            </w:tcBorders>
          </w:tcPr>
          <w:p w14:paraId="55E2C123" w14:textId="77777777" w:rsidR="00A75BD0" w:rsidRDefault="009D4DA5">
            <w:pPr>
              <w:jc w:val="center"/>
              <w:rPr>
                <w:b/>
                <w:sz w:val="18"/>
                <w:szCs w:val="18"/>
              </w:rPr>
            </w:pPr>
            <w:r>
              <w:rPr>
                <w:b/>
                <w:sz w:val="18"/>
                <w:szCs w:val="18"/>
              </w:rPr>
              <w:t>31</w:t>
            </w:r>
          </w:p>
        </w:tc>
      </w:tr>
      <w:tr w:rsidR="00A75BD0" w14:paraId="7ADB8F13" w14:textId="77777777">
        <w:tc>
          <w:tcPr>
            <w:tcW w:w="1267" w:type="dxa"/>
            <w:tcBorders>
              <w:top w:val="single" w:sz="18" w:space="0" w:color="000000"/>
            </w:tcBorders>
          </w:tcPr>
          <w:p w14:paraId="79B99880" w14:textId="77777777" w:rsidR="00A75BD0" w:rsidRDefault="009D4DA5">
            <w:pPr>
              <w:jc w:val="center"/>
              <w:rPr>
                <w:b/>
                <w:sz w:val="16"/>
                <w:szCs w:val="16"/>
              </w:rPr>
            </w:pPr>
            <w:r>
              <w:rPr>
                <w:b/>
                <w:sz w:val="16"/>
                <w:szCs w:val="16"/>
              </w:rPr>
              <w:t>Episode 1</w:t>
            </w:r>
          </w:p>
        </w:tc>
        <w:tc>
          <w:tcPr>
            <w:tcW w:w="456" w:type="dxa"/>
            <w:tcBorders>
              <w:top w:val="single" w:sz="18" w:space="0" w:color="000000"/>
            </w:tcBorders>
          </w:tcPr>
          <w:p w14:paraId="601C64E7" w14:textId="77777777" w:rsidR="00A75BD0" w:rsidRDefault="00A75BD0">
            <w:pPr>
              <w:jc w:val="center"/>
              <w:rPr>
                <w:b/>
              </w:rPr>
            </w:pPr>
          </w:p>
        </w:tc>
        <w:tc>
          <w:tcPr>
            <w:tcW w:w="456" w:type="dxa"/>
            <w:tcBorders>
              <w:top w:val="single" w:sz="18" w:space="0" w:color="000000"/>
            </w:tcBorders>
          </w:tcPr>
          <w:p w14:paraId="3C57DC3E" w14:textId="77777777" w:rsidR="00A75BD0" w:rsidRDefault="00A75BD0">
            <w:pPr>
              <w:jc w:val="center"/>
              <w:rPr>
                <w:b/>
              </w:rPr>
            </w:pPr>
          </w:p>
        </w:tc>
        <w:tc>
          <w:tcPr>
            <w:tcW w:w="456" w:type="dxa"/>
            <w:tcBorders>
              <w:top w:val="single" w:sz="18" w:space="0" w:color="000000"/>
            </w:tcBorders>
          </w:tcPr>
          <w:p w14:paraId="11A906B3" w14:textId="77777777" w:rsidR="00A75BD0" w:rsidRDefault="00A75BD0">
            <w:pPr>
              <w:jc w:val="center"/>
              <w:rPr>
                <w:b/>
              </w:rPr>
            </w:pPr>
          </w:p>
        </w:tc>
        <w:tc>
          <w:tcPr>
            <w:tcW w:w="456" w:type="dxa"/>
            <w:tcBorders>
              <w:top w:val="single" w:sz="18" w:space="0" w:color="000000"/>
            </w:tcBorders>
          </w:tcPr>
          <w:p w14:paraId="1C72C224" w14:textId="77777777" w:rsidR="00A75BD0" w:rsidRDefault="00A75BD0">
            <w:pPr>
              <w:jc w:val="center"/>
              <w:rPr>
                <w:b/>
              </w:rPr>
            </w:pPr>
          </w:p>
        </w:tc>
        <w:tc>
          <w:tcPr>
            <w:tcW w:w="456" w:type="dxa"/>
            <w:tcBorders>
              <w:top w:val="single" w:sz="18" w:space="0" w:color="000000"/>
            </w:tcBorders>
          </w:tcPr>
          <w:p w14:paraId="798EB2FF" w14:textId="77777777" w:rsidR="00A75BD0" w:rsidRDefault="00A75BD0">
            <w:pPr>
              <w:jc w:val="center"/>
              <w:rPr>
                <w:b/>
              </w:rPr>
            </w:pPr>
          </w:p>
        </w:tc>
        <w:tc>
          <w:tcPr>
            <w:tcW w:w="456" w:type="dxa"/>
            <w:tcBorders>
              <w:top w:val="single" w:sz="18" w:space="0" w:color="000000"/>
            </w:tcBorders>
          </w:tcPr>
          <w:p w14:paraId="7275CB42" w14:textId="77777777" w:rsidR="00A75BD0" w:rsidRDefault="00A75BD0">
            <w:pPr>
              <w:jc w:val="center"/>
              <w:rPr>
                <w:b/>
              </w:rPr>
            </w:pPr>
          </w:p>
        </w:tc>
        <w:tc>
          <w:tcPr>
            <w:tcW w:w="456" w:type="dxa"/>
            <w:tcBorders>
              <w:top w:val="single" w:sz="18" w:space="0" w:color="000000"/>
            </w:tcBorders>
          </w:tcPr>
          <w:p w14:paraId="2C038F1A" w14:textId="77777777" w:rsidR="00A75BD0" w:rsidRDefault="00A75BD0">
            <w:pPr>
              <w:jc w:val="center"/>
              <w:rPr>
                <w:b/>
              </w:rPr>
            </w:pPr>
          </w:p>
        </w:tc>
        <w:tc>
          <w:tcPr>
            <w:tcW w:w="456" w:type="dxa"/>
            <w:tcBorders>
              <w:top w:val="single" w:sz="18" w:space="0" w:color="000000"/>
            </w:tcBorders>
          </w:tcPr>
          <w:p w14:paraId="1F95901F" w14:textId="77777777" w:rsidR="00A75BD0" w:rsidRDefault="00A75BD0">
            <w:pPr>
              <w:jc w:val="center"/>
              <w:rPr>
                <w:b/>
              </w:rPr>
            </w:pPr>
          </w:p>
        </w:tc>
        <w:tc>
          <w:tcPr>
            <w:tcW w:w="456" w:type="dxa"/>
            <w:tcBorders>
              <w:top w:val="single" w:sz="18" w:space="0" w:color="000000"/>
            </w:tcBorders>
          </w:tcPr>
          <w:p w14:paraId="47C6A72A" w14:textId="77777777" w:rsidR="00A75BD0" w:rsidRDefault="00A75BD0">
            <w:pPr>
              <w:jc w:val="center"/>
              <w:rPr>
                <w:b/>
              </w:rPr>
            </w:pPr>
          </w:p>
        </w:tc>
        <w:tc>
          <w:tcPr>
            <w:tcW w:w="456" w:type="dxa"/>
            <w:tcBorders>
              <w:top w:val="single" w:sz="18" w:space="0" w:color="000000"/>
            </w:tcBorders>
          </w:tcPr>
          <w:p w14:paraId="2B07CF0D" w14:textId="77777777" w:rsidR="00A75BD0" w:rsidRDefault="00A75BD0">
            <w:pPr>
              <w:jc w:val="center"/>
              <w:rPr>
                <w:b/>
              </w:rPr>
            </w:pPr>
          </w:p>
        </w:tc>
        <w:tc>
          <w:tcPr>
            <w:tcW w:w="456" w:type="dxa"/>
            <w:tcBorders>
              <w:top w:val="single" w:sz="18" w:space="0" w:color="000000"/>
            </w:tcBorders>
          </w:tcPr>
          <w:p w14:paraId="659EE290" w14:textId="77777777" w:rsidR="00A75BD0" w:rsidRDefault="00A75BD0">
            <w:pPr>
              <w:jc w:val="center"/>
              <w:rPr>
                <w:b/>
              </w:rPr>
            </w:pPr>
          </w:p>
        </w:tc>
        <w:tc>
          <w:tcPr>
            <w:tcW w:w="456" w:type="dxa"/>
            <w:tcBorders>
              <w:top w:val="single" w:sz="18" w:space="0" w:color="000000"/>
            </w:tcBorders>
          </w:tcPr>
          <w:p w14:paraId="1B669B09" w14:textId="77777777" w:rsidR="00A75BD0" w:rsidRDefault="00A75BD0">
            <w:pPr>
              <w:jc w:val="center"/>
              <w:rPr>
                <w:b/>
              </w:rPr>
            </w:pPr>
          </w:p>
        </w:tc>
        <w:tc>
          <w:tcPr>
            <w:tcW w:w="456" w:type="dxa"/>
            <w:tcBorders>
              <w:top w:val="single" w:sz="18" w:space="0" w:color="000000"/>
            </w:tcBorders>
          </w:tcPr>
          <w:p w14:paraId="4A567140" w14:textId="77777777" w:rsidR="00A75BD0" w:rsidRDefault="00A75BD0">
            <w:pPr>
              <w:jc w:val="center"/>
              <w:rPr>
                <w:b/>
              </w:rPr>
            </w:pPr>
          </w:p>
        </w:tc>
        <w:tc>
          <w:tcPr>
            <w:tcW w:w="456" w:type="dxa"/>
            <w:tcBorders>
              <w:top w:val="single" w:sz="18" w:space="0" w:color="000000"/>
            </w:tcBorders>
          </w:tcPr>
          <w:p w14:paraId="71437AF0" w14:textId="77777777" w:rsidR="00A75BD0" w:rsidRDefault="00A75BD0">
            <w:pPr>
              <w:jc w:val="center"/>
              <w:rPr>
                <w:b/>
              </w:rPr>
            </w:pPr>
          </w:p>
        </w:tc>
        <w:tc>
          <w:tcPr>
            <w:tcW w:w="456" w:type="dxa"/>
            <w:tcBorders>
              <w:top w:val="single" w:sz="18" w:space="0" w:color="000000"/>
            </w:tcBorders>
          </w:tcPr>
          <w:p w14:paraId="44D04F76" w14:textId="77777777" w:rsidR="00A75BD0" w:rsidRDefault="00A75BD0">
            <w:pPr>
              <w:jc w:val="center"/>
              <w:rPr>
                <w:b/>
              </w:rPr>
            </w:pPr>
          </w:p>
        </w:tc>
        <w:tc>
          <w:tcPr>
            <w:tcW w:w="456" w:type="dxa"/>
            <w:tcBorders>
              <w:top w:val="single" w:sz="18" w:space="0" w:color="000000"/>
            </w:tcBorders>
          </w:tcPr>
          <w:p w14:paraId="06852887" w14:textId="77777777" w:rsidR="00A75BD0" w:rsidRDefault="00A75BD0">
            <w:pPr>
              <w:jc w:val="center"/>
              <w:rPr>
                <w:b/>
              </w:rPr>
            </w:pPr>
          </w:p>
        </w:tc>
        <w:tc>
          <w:tcPr>
            <w:tcW w:w="456" w:type="dxa"/>
            <w:tcBorders>
              <w:top w:val="single" w:sz="18" w:space="0" w:color="000000"/>
            </w:tcBorders>
          </w:tcPr>
          <w:p w14:paraId="3D708189" w14:textId="77777777" w:rsidR="00A75BD0" w:rsidRDefault="00A75BD0">
            <w:pPr>
              <w:jc w:val="center"/>
              <w:rPr>
                <w:b/>
              </w:rPr>
            </w:pPr>
          </w:p>
        </w:tc>
        <w:tc>
          <w:tcPr>
            <w:tcW w:w="456" w:type="dxa"/>
            <w:tcBorders>
              <w:top w:val="single" w:sz="18" w:space="0" w:color="000000"/>
            </w:tcBorders>
          </w:tcPr>
          <w:p w14:paraId="20262AFB" w14:textId="77777777" w:rsidR="00A75BD0" w:rsidRDefault="00A75BD0">
            <w:pPr>
              <w:jc w:val="center"/>
              <w:rPr>
                <w:b/>
              </w:rPr>
            </w:pPr>
          </w:p>
        </w:tc>
        <w:tc>
          <w:tcPr>
            <w:tcW w:w="456" w:type="dxa"/>
            <w:tcBorders>
              <w:top w:val="single" w:sz="18" w:space="0" w:color="000000"/>
            </w:tcBorders>
          </w:tcPr>
          <w:p w14:paraId="734B9A39" w14:textId="77777777" w:rsidR="00A75BD0" w:rsidRDefault="00A75BD0">
            <w:pPr>
              <w:jc w:val="center"/>
              <w:rPr>
                <w:b/>
              </w:rPr>
            </w:pPr>
          </w:p>
        </w:tc>
        <w:tc>
          <w:tcPr>
            <w:tcW w:w="456" w:type="dxa"/>
            <w:tcBorders>
              <w:top w:val="single" w:sz="18" w:space="0" w:color="000000"/>
            </w:tcBorders>
          </w:tcPr>
          <w:p w14:paraId="36688201" w14:textId="77777777" w:rsidR="00A75BD0" w:rsidRDefault="00A75BD0">
            <w:pPr>
              <w:jc w:val="center"/>
              <w:rPr>
                <w:b/>
              </w:rPr>
            </w:pPr>
          </w:p>
        </w:tc>
        <w:tc>
          <w:tcPr>
            <w:tcW w:w="456" w:type="dxa"/>
            <w:tcBorders>
              <w:top w:val="single" w:sz="18" w:space="0" w:color="000000"/>
            </w:tcBorders>
          </w:tcPr>
          <w:p w14:paraId="62503F98" w14:textId="77777777" w:rsidR="00A75BD0" w:rsidRDefault="00A75BD0">
            <w:pPr>
              <w:jc w:val="center"/>
              <w:rPr>
                <w:b/>
              </w:rPr>
            </w:pPr>
          </w:p>
        </w:tc>
        <w:tc>
          <w:tcPr>
            <w:tcW w:w="456" w:type="dxa"/>
            <w:tcBorders>
              <w:top w:val="single" w:sz="18" w:space="0" w:color="000000"/>
            </w:tcBorders>
          </w:tcPr>
          <w:p w14:paraId="3BA4A540" w14:textId="77777777" w:rsidR="00A75BD0" w:rsidRDefault="00A75BD0">
            <w:pPr>
              <w:jc w:val="center"/>
              <w:rPr>
                <w:b/>
              </w:rPr>
            </w:pPr>
          </w:p>
        </w:tc>
        <w:tc>
          <w:tcPr>
            <w:tcW w:w="456" w:type="dxa"/>
            <w:tcBorders>
              <w:top w:val="single" w:sz="18" w:space="0" w:color="000000"/>
            </w:tcBorders>
          </w:tcPr>
          <w:p w14:paraId="36646BD5" w14:textId="77777777" w:rsidR="00A75BD0" w:rsidRDefault="00A75BD0">
            <w:pPr>
              <w:jc w:val="center"/>
              <w:rPr>
                <w:b/>
              </w:rPr>
            </w:pPr>
          </w:p>
        </w:tc>
        <w:tc>
          <w:tcPr>
            <w:tcW w:w="456" w:type="dxa"/>
            <w:tcBorders>
              <w:top w:val="single" w:sz="18" w:space="0" w:color="000000"/>
            </w:tcBorders>
          </w:tcPr>
          <w:p w14:paraId="45898D37" w14:textId="77777777" w:rsidR="00A75BD0" w:rsidRDefault="00A75BD0">
            <w:pPr>
              <w:jc w:val="center"/>
              <w:rPr>
                <w:b/>
              </w:rPr>
            </w:pPr>
          </w:p>
        </w:tc>
        <w:tc>
          <w:tcPr>
            <w:tcW w:w="456" w:type="dxa"/>
            <w:tcBorders>
              <w:top w:val="single" w:sz="18" w:space="0" w:color="000000"/>
            </w:tcBorders>
          </w:tcPr>
          <w:p w14:paraId="48FB51B8" w14:textId="77777777" w:rsidR="00A75BD0" w:rsidRDefault="00A75BD0">
            <w:pPr>
              <w:jc w:val="center"/>
              <w:rPr>
                <w:b/>
              </w:rPr>
            </w:pPr>
          </w:p>
        </w:tc>
        <w:tc>
          <w:tcPr>
            <w:tcW w:w="456" w:type="dxa"/>
            <w:tcBorders>
              <w:top w:val="single" w:sz="18" w:space="0" w:color="000000"/>
            </w:tcBorders>
          </w:tcPr>
          <w:p w14:paraId="6C7AD868" w14:textId="77777777" w:rsidR="00A75BD0" w:rsidRDefault="00A75BD0">
            <w:pPr>
              <w:jc w:val="center"/>
              <w:rPr>
                <w:b/>
              </w:rPr>
            </w:pPr>
          </w:p>
        </w:tc>
        <w:tc>
          <w:tcPr>
            <w:tcW w:w="456" w:type="dxa"/>
            <w:tcBorders>
              <w:top w:val="single" w:sz="18" w:space="0" w:color="000000"/>
            </w:tcBorders>
          </w:tcPr>
          <w:p w14:paraId="3FCD0272" w14:textId="77777777" w:rsidR="00A75BD0" w:rsidRDefault="00A75BD0">
            <w:pPr>
              <w:jc w:val="center"/>
              <w:rPr>
                <w:b/>
              </w:rPr>
            </w:pPr>
          </w:p>
        </w:tc>
        <w:tc>
          <w:tcPr>
            <w:tcW w:w="456" w:type="dxa"/>
            <w:tcBorders>
              <w:top w:val="single" w:sz="18" w:space="0" w:color="000000"/>
            </w:tcBorders>
          </w:tcPr>
          <w:p w14:paraId="36E3A236" w14:textId="77777777" w:rsidR="00A75BD0" w:rsidRDefault="00A75BD0">
            <w:pPr>
              <w:jc w:val="center"/>
              <w:rPr>
                <w:b/>
              </w:rPr>
            </w:pPr>
          </w:p>
        </w:tc>
        <w:tc>
          <w:tcPr>
            <w:tcW w:w="456" w:type="dxa"/>
            <w:tcBorders>
              <w:top w:val="single" w:sz="18" w:space="0" w:color="000000"/>
            </w:tcBorders>
          </w:tcPr>
          <w:p w14:paraId="55D2C071" w14:textId="77777777" w:rsidR="00A75BD0" w:rsidRDefault="00A75BD0">
            <w:pPr>
              <w:jc w:val="center"/>
              <w:rPr>
                <w:b/>
              </w:rPr>
            </w:pPr>
          </w:p>
        </w:tc>
        <w:tc>
          <w:tcPr>
            <w:tcW w:w="456" w:type="dxa"/>
            <w:tcBorders>
              <w:top w:val="single" w:sz="18" w:space="0" w:color="000000"/>
            </w:tcBorders>
          </w:tcPr>
          <w:p w14:paraId="112D8C31" w14:textId="77777777" w:rsidR="00A75BD0" w:rsidRDefault="00A75BD0">
            <w:pPr>
              <w:jc w:val="center"/>
              <w:rPr>
                <w:b/>
                <w:color w:val="C0C0C0"/>
              </w:rPr>
            </w:pPr>
          </w:p>
        </w:tc>
        <w:tc>
          <w:tcPr>
            <w:tcW w:w="456" w:type="dxa"/>
            <w:tcBorders>
              <w:top w:val="single" w:sz="18" w:space="0" w:color="000000"/>
            </w:tcBorders>
          </w:tcPr>
          <w:p w14:paraId="1B67DED0" w14:textId="77777777" w:rsidR="00A75BD0" w:rsidRDefault="00A75BD0">
            <w:pPr>
              <w:jc w:val="center"/>
            </w:pPr>
          </w:p>
        </w:tc>
      </w:tr>
      <w:tr w:rsidR="00A75BD0" w14:paraId="0E604E19" w14:textId="77777777">
        <w:tc>
          <w:tcPr>
            <w:tcW w:w="1267" w:type="dxa"/>
          </w:tcPr>
          <w:p w14:paraId="540CD0F9" w14:textId="77777777" w:rsidR="00A75BD0" w:rsidRDefault="009D4DA5">
            <w:pPr>
              <w:jc w:val="center"/>
              <w:rPr>
                <w:b/>
                <w:sz w:val="16"/>
                <w:szCs w:val="16"/>
              </w:rPr>
            </w:pPr>
            <w:r>
              <w:rPr>
                <w:b/>
                <w:sz w:val="16"/>
                <w:szCs w:val="16"/>
              </w:rPr>
              <w:t>Episode 2</w:t>
            </w:r>
          </w:p>
        </w:tc>
        <w:tc>
          <w:tcPr>
            <w:tcW w:w="456" w:type="dxa"/>
          </w:tcPr>
          <w:p w14:paraId="0AB9D114" w14:textId="77777777" w:rsidR="00A75BD0" w:rsidRDefault="00A75BD0">
            <w:pPr>
              <w:jc w:val="center"/>
              <w:rPr>
                <w:b/>
              </w:rPr>
            </w:pPr>
          </w:p>
        </w:tc>
        <w:tc>
          <w:tcPr>
            <w:tcW w:w="456" w:type="dxa"/>
          </w:tcPr>
          <w:p w14:paraId="15969FF8" w14:textId="77777777" w:rsidR="00A75BD0" w:rsidRDefault="00A75BD0">
            <w:pPr>
              <w:jc w:val="center"/>
              <w:rPr>
                <w:b/>
              </w:rPr>
            </w:pPr>
          </w:p>
        </w:tc>
        <w:tc>
          <w:tcPr>
            <w:tcW w:w="456" w:type="dxa"/>
          </w:tcPr>
          <w:p w14:paraId="4E83AD4F" w14:textId="77777777" w:rsidR="00A75BD0" w:rsidRDefault="00A75BD0">
            <w:pPr>
              <w:jc w:val="center"/>
              <w:rPr>
                <w:b/>
              </w:rPr>
            </w:pPr>
          </w:p>
        </w:tc>
        <w:tc>
          <w:tcPr>
            <w:tcW w:w="456" w:type="dxa"/>
          </w:tcPr>
          <w:p w14:paraId="2C9C7CBA" w14:textId="77777777" w:rsidR="00A75BD0" w:rsidRDefault="00A75BD0">
            <w:pPr>
              <w:jc w:val="center"/>
              <w:rPr>
                <w:b/>
              </w:rPr>
            </w:pPr>
          </w:p>
        </w:tc>
        <w:tc>
          <w:tcPr>
            <w:tcW w:w="456" w:type="dxa"/>
          </w:tcPr>
          <w:p w14:paraId="0A69BAEC" w14:textId="77777777" w:rsidR="00A75BD0" w:rsidRDefault="00A75BD0">
            <w:pPr>
              <w:jc w:val="center"/>
              <w:rPr>
                <w:b/>
              </w:rPr>
            </w:pPr>
          </w:p>
        </w:tc>
        <w:tc>
          <w:tcPr>
            <w:tcW w:w="456" w:type="dxa"/>
          </w:tcPr>
          <w:p w14:paraId="1534B0ED" w14:textId="77777777" w:rsidR="00A75BD0" w:rsidRDefault="00A75BD0">
            <w:pPr>
              <w:jc w:val="center"/>
              <w:rPr>
                <w:b/>
              </w:rPr>
            </w:pPr>
          </w:p>
        </w:tc>
        <w:tc>
          <w:tcPr>
            <w:tcW w:w="456" w:type="dxa"/>
          </w:tcPr>
          <w:p w14:paraId="217428A0" w14:textId="77777777" w:rsidR="00A75BD0" w:rsidRDefault="00A75BD0">
            <w:pPr>
              <w:jc w:val="center"/>
              <w:rPr>
                <w:b/>
              </w:rPr>
            </w:pPr>
          </w:p>
        </w:tc>
        <w:tc>
          <w:tcPr>
            <w:tcW w:w="456" w:type="dxa"/>
          </w:tcPr>
          <w:p w14:paraId="00474245" w14:textId="77777777" w:rsidR="00A75BD0" w:rsidRDefault="00A75BD0">
            <w:pPr>
              <w:jc w:val="center"/>
              <w:rPr>
                <w:b/>
              </w:rPr>
            </w:pPr>
          </w:p>
        </w:tc>
        <w:tc>
          <w:tcPr>
            <w:tcW w:w="456" w:type="dxa"/>
          </w:tcPr>
          <w:p w14:paraId="48C5F0C3" w14:textId="77777777" w:rsidR="00A75BD0" w:rsidRDefault="00A75BD0">
            <w:pPr>
              <w:jc w:val="center"/>
              <w:rPr>
                <w:b/>
              </w:rPr>
            </w:pPr>
          </w:p>
        </w:tc>
        <w:tc>
          <w:tcPr>
            <w:tcW w:w="456" w:type="dxa"/>
          </w:tcPr>
          <w:p w14:paraId="6CB23C4F" w14:textId="77777777" w:rsidR="00A75BD0" w:rsidRDefault="00A75BD0">
            <w:pPr>
              <w:jc w:val="center"/>
              <w:rPr>
                <w:b/>
              </w:rPr>
            </w:pPr>
          </w:p>
        </w:tc>
        <w:tc>
          <w:tcPr>
            <w:tcW w:w="456" w:type="dxa"/>
          </w:tcPr>
          <w:p w14:paraId="0CC09844" w14:textId="77777777" w:rsidR="00A75BD0" w:rsidRDefault="00A75BD0">
            <w:pPr>
              <w:jc w:val="center"/>
              <w:rPr>
                <w:b/>
              </w:rPr>
            </w:pPr>
          </w:p>
        </w:tc>
        <w:tc>
          <w:tcPr>
            <w:tcW w:w="456" w:type="dxa"/>
          </w:tcPr>
          <w:p w14:paraId="539E1C07" w14:textId="77777777" w:rsidR="00A75BD0" w:rsidRDefault="00A75BD0">
            <w:pPr>
              <w:jc w:val="center"/>
              <w:rPr>
                <w:b/>
              </w:rPr>
            </w:pPr>
          </w:p>
        </w:tc>
        <w:tc>
          <w:tcPr>
            <w:tcW w:w="456" w:type="dxa"/>
          </w:tcPr>
          <w:p w14:paraId="73A622A3" w14:textId="77777777" w:rsidR="00A75BD0" w:rsidRDefault="00A75BD0">
            <w:pPr>
              <w:jc w:val="center"/>
              <w:rPr>
                <w:b/>
              </w:rPr>
            </w:pPr>
          </w:p>
        </w:tc>
        <w:tc>
          <w:tcPr>
            <w:tcW w:w="456" w:type="dxa"/>
          </w:tcPr>
          <w:p w14:paraId="478BCF36" w14:textId="77777777" w:rsidR="00A75BD0" w:rsidRDefault="00A75BD0">
            <w:pPr>
              <w:jc w:val="center"/>
              <w:rPr>
                <w:b/>
              </w:rPr>
            </w:pPr>
          </w:p>
        </w:tc>
        <w:tc>
          <w:tcPr>
            <w:tcW w:w="456" w:type="dxa"/>
          </w:tcPr>
          <w:p w14:paraId="5999182B" w14:textId="77777777" w:rsidR="00A75BD0" w:rsidRDefault="00A75BD0">
            <w:pPr>
              <w:jc w:val="center"/>
              <w:rPr>
                <w:b/>
              </w:rPr>
            </w:pPr>
          </w:p>
        </w:tc>
        <w:tc>
          <w:tcPr>
            <w:tcW w:w="456" w:type="dxa"/>
          </w:tcPr>
          <w:p w14:paraId="61410362" w14:textId="77777777" w:rsidR="00A75BD0" w:rsidRDefault="00A75BD0">
            <w:pPr>
              <w:jc w:val="center"/>
              <w:rPr>
                <w:b/>
              </w:rPr>
            </w:pPr>
          </w:p>
        </w:tc>
        <w:tc>
          <w:tcPr>
            <w:tcW w:w="456" w:type="dxa"/>
          </w:tcPr>
          <w:p w14:paraId="162BB7AC" w14:textId="77777777" w:rsidR="00A75BD0" w:rsidRDefault="00A75BD0">
            <w:pPr>
              <w:jc w:val="center"/>
              <w:rPr>
                <w:b/>
              </w:rPr>
            </w:pPr>
          </w:p>
        </w:tc>
        <w:tc>
          <w:tcPr>
            <w:tcW w:w="456" w:type="dxa"/>
          </w:tcPr>
          <w:p w14:paraId="2631F8A2" w14:textId="77777777" w:rsidR="00A75BD0" w:rsidRDefault="00A75BD0">
            <w:pPr>
              <w:jc w:val="center"/>
              <w:rPr>
                <w:b/>
              </w:rPr>
            </w:pPr>
          </w:p>
        </w:tc>
        <w:tc>
          <w:tcPr>
            <w:tcW w:w="456" w:type="dxa"/>
          </w:tcPr>
          <w:p w14:paraId="661C2CB3" w14:textId="77777777" w:rsidR="00A75BD0" w:rsidRDefault="00A75BD0">
            <w:pPr>
              <w:jc w:val="center"/>
              <w:rPr>
                <w:b/>
              </w:rPr>
            </w:pPr>
          </w:p>
        </w:tc>
        <w:tc>
          <w:tcPr>
            <w:tcW w:w="456" w:type="dxa"/>
          </w:tcPr>
          <w:p w14:paraId="61EBC4AA" w14:textId="77777777" w:rsidR="00A75BD0" w:rsidRDefault="00A75BD0">
            <w:pPr>
              <w:jc w:val="center"/>
              <w:rPr>
                <w:b/>
              </w:rPr>
            </w:pPr>
          </w:p>
        </w:tc>
        <w:tc>
          <w:tcPr>
            <w:tcW w:w="456" w:type="dxa"/>
          </w:tcPr>
          <w:p w14:paraId="2CE48E58" w14:textId="77777777" w:rsidR="00A75BD0" w:rsidRDefault="00A75BD0">
            <w:pPr>
              <w:jc w:val="center"/>
              <w:rPr>
                <w:b/>
              </w:rPr>
            </w:pPr>
          </w:p>
        </w:tc>
        <w:tc>
          <w:tcPr>
            <w:tcW w:w="456" w:type="dxa"/>
          </w:tcPr>
          <w:p w14:paraId="57357E9D" w14:textId="77777777" w:rsidR="00A75BD0" w:rsidRDefault="00A75BD0">
            <w:pPr>
              <w:jc w:val="center"/>
              <w:rPr>
                <w:b/>
              </w:rPr>
            </w:pPr>
          </w:p>
        </w:tc>
        <w:tc>
          <w:tcPr>
            <w:tcW w:w="456" w:type="dxa"/>
          </w:tcPr>
          <w:p w14:paraId="3A47332A" w14:textId="77777777" w:rsidR="00A75BD0" w:rsidRDefault="00A75BD0">
            <w:pPr>
              <w:jc w:val="center"/>
              <w:rPr>
                <w:b/>
              </w:rPr>
            </w:pPr>
          </w:p>
        </w:tc>
        <w:tc>
          <w:tcPr>
            <w:tcW w:w="456" w:type="dxa"/>
          </w:tcPr>
          <w:p w14:paraId="58829BD6" w14:textId="77777777" w:rsidR="00A75BD0" w:rsidRDefault="00A75BD0">
            <w:pPr>
              <w:jc w:val="center"/>
              <w:rPr>
                <w:b/>
              </w:rPr>
            </w:pPr>
          </w:p>
        </w:tc>
        <w:tc>
          <w:tcPr>
            <w:tcW w:w="456" w:type="dxa"/>
          </w:tcPr>
          <w:p w14:paraId="25A148D2" w14:textId="77777777" w:rsidR="00A75BD0" w:rsidRDefault="00A75BD0">
            <w:pPr>
              <w:jc w:val="center"/>
              <w:rPr>
                <w:b/>
              </w:rPr>
            </w:pPr>
          </w:p>
        </w:tc>
        <w:tc>
          <w:tcPr>
            <w:tcW w:w="456" w:type="dxa"/>
          </w:tcPr>
          <w:p w14:paraId="37735F3B" w14:textId="77777777" w:rsidR="00A75BD0" w:rsidRDefault="00A75BD0">
            <w:pPr>
              <w:jc w:val="center"/>
              <w:rPr>
                <w:b/>
              </w:rPr>
            </w:pPr>
          </w:p>
        </w:tc>
        <w:tc>
          <w:tcPr>
            <w:tcW w:w="456" w:type="dxa"/>
          </w:tcPr>
          <w:p w14:paraId="60192416" w14:textId="77777777" w:rsidR="00A75BD0" w:rsidRDefault="00A75BD0">
            <w:pPr>
              <w:jc w:val="center"/>
              <w:rPr>
                <w:b/>
              </w:rPr>
            </w:pPr>
          </w:p>
        </w:tc>
        <w:tc>
          <w:tcPr>
            <w:tcW w:w="456" w:type="dxa"/>
          </w:tcPr>
          <w:p w14:paraId="3F8A4F09" w14:textId="77777777" w:rsidR="00A75BD0" w:rsidRDefault="00A75BD0">
            <w:pPr>
              <w:jc w:val="center"/>
              <w:rPr>
                <w:b/>
              </w:rPr>
            </w:pPr>
          </w:p>
        </w:tc>
        <w:tc>
          <w:tcPr>
            <w:tcW w:w="456" w:type="dxa"/>
          </w:tcPr>
          <w:p w14:paraId="3806ED74" w14:textId="77777777" w:rsidR="00A75BD0" w:rsidRDefault="00A75BD0">
            <w:pPr>
              <w:jc w:val="center"/>
              <w:rPr>
                <w:b/>
              </w:rPr>
            </w:pPr>
          </w:p>
        </w:tc>
        <w:tc>
          <w:tcPr>
            <w:tcW w:w="456" w:type="dxa"/>
          </w:tcPr>
          <w:p w14:paraId="7CD0452B" w14:textId="77777777" w:rsidR="00A75BD0" w:rsidRDefault="00A75BD0">
            <w:pPr>
              <w:jc w:val="center"/>
              <w:rPr>
                <w:b/>
                <w:color w:val="C0C0C0"/>
              </w:rPr>
            </w:pPr>
          </w:p>
        </w:tc>
        <w:tc>
          <w:tcPr>
            <w:tcW w:w="456" w:type="dxa"/>
          </w:tcPr>
          <w:p w14:paraId="5CFA6E24" w14:textId="77777777" w:rsidR="00A75BD0" w:rsidRDefault="00A75BD0">
            <w:pPr>
              <w:jc w:val="center"/>
            </w:pPr>
          </w:p>
        </w:tc>
      </w:tr>
      <w:tr w:rsidR="00A75BD0" w14:paraId="1DF0AA3F" w14:textId="77777777">
        <w:tc>
          <w:tcPr>
            <w:tcW w:w="1267" w:type="dxa"/>
          </w:tcPr>
          <w:p w14:paraId="1FA0C197" w14:textId="77777777" w:rsidR="00A75BD0" w:rsidRDefault="009D4DA5">
            <w:pPr>
              <w:jc w:val="center"/>
              <w:rPr>
                <w:b/>
                <w:sz w:val="16"/>
                <w:szCs w:val="16"/>
              </w:rPr>
            </w:pPr>
            <w:r>
              <w:rPr>
                <w:b/>
                <w:sz w:val="16"/>
                <w:szCs w:val="16"/>
              </w:rPr>
              <w:t>Episode 3</w:t>
            </w:r>
          </w:p>
        </w:tc>
        <w:tc>
          <w:tcPr>
            <w:tcW w:w="456" w:type="dxa"/>
          </w:tcPr>
          <w:p w14:paraId="752F93A5" w14:textId="77777777" w:rsidR="00A75BD0" w:rsidRDefault="00A75BD0">
            <w:pPr>
              <w:jc w:val="center"/>
              <w:rPr>
                <w:b/>
              </w:rPr>
            </w:pPr>
          </w:p>
        </w:tc>
        <w:tc>
          <w:tcPr>
            <w:tcW w:w="456" w:type="dxa"/>
          </w:tcPr>
          <w:p w14:paraId="3D402052" w14:textId="77777777" w:rsidR="00A75BD0" w:rsidRDefault="00A75BD0">
            <w:pPr>
              <w:jc w:val="center"/>
              <w:rPr>
                <w:b/>
              </w:rPr>
            </w:pPr>
          </w:p>
        </w:tc>
        <w:tc>
          <w:tcPr>
            <w:tcW w:w="456" w:type="dxa"/>
          </w:tcPr>
          <w:p w14:paraId="6024BB89" w14:textId="77777777" w:rsidR="00A75BD0" w:rsidRDefault="00A75BD0">
            <w:pPr>
              <w:jc w:val="center"/>
              <w:rPr>
                <w:b/>
              </w:rPr>
            </w:pPr>
          </w:p>
        </w:tc>
        <w:tc>
          <w:tcPr>
            <w:tcW w:w="456" w:type="dxa"/>
          </w:tcPr>
          <w:p w14:paraId="7C3B5720" w14:textId="77777777" w:rsidR="00A75BD0" w:rsidRDefault="00A75BD0">
            <w:pPr>
              <w:jc w:val="center"/>
              <w:rPr>
                <w:b/>
              </w:rPr>
            </w:pPr>
          </w:p>
        </w:tc>
        <w:tc>
          <w:tcPr>
            <w:tcW w:w="456" w:type="dxa"/>
          </w:tcPr>
          <w:p w14:paraId="0B8A5719" w14:textId="77777777" w:rsidR="00A75BD0" w:rsidRDefault="00A75BD0">
            <w:pPr>
              <w:jc w:val="center"/>
              <w:rPr>
                <w:b/>
              </w:rPr>
            </w:pPr>
          </w:p>
        </w:tc>
        <w:tc>
          <w:tcPr>
            <w:tcW w:w="456" w:type="dxa"/>
          </w:tcPr>
          <w:p w14:paraId="553BFFEB" w14:textId="77777777" w:rsidR="00A75BD0" w:rsidRDefault="00A75BD0">
            <w:pPr>
              <w:jc w:val="center"/>
              <w:rPr>
                <w:b/>
              </w:rPr>
            </w:pPr>
          </w:p>
        </w:tc>
        <w:tc>
          <w:tcPr>
            <w:tcW w:w="456" w:type="dxa"/>
          </w:tcPr>
          <w:p w14:paraId="79D5D028" w14:textId="77777777" w:rsidR="00A75BD0" w:rsidRDefault="00A75BD0">
            <w:pPr>
              <w:jc w:val="center"/>
              <w:rPr>
                <w:b/>
              </w:rPr>
            </w:pPr>
          </w:p>
        </w:tc>
        <w:tc>
          <w:tcPr>
            <w:tcW w:w="456" w:type="dxa"/>
          </w:tcPr>
          <w:p w14:paraId="1A9F7D0E" w14:textId="77777777" w:rsidR="00A75BD0" w:rsidRDefault="00A75BD0">
            <w:pPr>
              <w:jc w:val="center"/>
              <w:rPr>
                <w:b/>
              </w:rPr>
            </w:pPr>
          </w:p>
        </w:tc>
        <w:tc>
          <w:tcPr>
            <w:tcW w:w="456" w:type="dxa"/>
          </w:tcPr>
          <w:p w14:paraId="738D3290" w14:textId="77777777" w:rsidR="00A75BD0" w:rsidRDefault="00A75BD0">
            <w:pPr>
              <w:jc w:val="center"/>
              <w:rPr>
                <w:b/>
              </w:rPr>
            </w:pPr>
          </w:p>
        </w:tc>
        <w:tc>
          <w:tcPr>
            <w:tcW w:w="456" w:type="dxa"/>
          </w:tcPr>
          <w:p w14:paraId="0AD9AC29" w14:textId="77777777" w:rsidR="00A75BD0" w:rsidRDefault="00A75BD0">
            <w:pPr>
              <w:jc w:val="center"/>
              <w:rPr>
                <w:b/>
              </w:rPr>
            </w:pPr>
          </w:p>
        </w:tc>
        <w:tc>
          <w:tcPr>
            <w:tcW w:w="456" w:type="dxa"/>
          </w:tcPr>
          <w:p w14:paraId="5BAE5F75" w14:textId="77777777" w:rsidR="00A75BD0" w:rsidRDefault="00A75BD0">
            <w:pPr>
              <w:jc w:val="center"/>
              <w:rPr>
                <w:b/>
              </w:rPr>
            </w:pPr>
          </w:p>
        </w:tc>
        <w:tc>
          <w:tcPr>
            <w:tcW w:w="456" w:type="dxa"/>
          </w:tcPr>
          <w:p w14:paraId="4B90FF0B" w14:textId="77777777" w:rsidR="00A75BD0" w:rsidRDefault="00A75BD0">
            <w:pPr>
              <w:jc w:val="center"/>
              <w:rPr>
                <w:b/>
              </w:rPr>
            </w:pPr>
          </w:p>
        </w:tc>
        <w:tc>
          <w:tcPr>
            <w:tcW w:w="456" w:type="dxa"/>
          </w:tcPr>
          <w:p w14:paraId="14952649" w14:textId="77777777" w:rsidR="00A75BD0" w:rsidRDefault="00A75BD0">
            <w:pPr>
              <w:jc w:val="center"/>
              <w:rPr>
                <w:b/>
              </w:rPr>
            </w:pPr>
          </w:p>
        </w:tc>
        <w:tc>
          <w:tcPr>
            <w:tcW w:w="456" w:type="dxa"/>
          </w:tcPr>
          <w:p w14:paraId="38EA7777" w14:textId="77777777" w:rsidR="00A75BD0" w:rsidRDefault="00A75BD0">
            <w:pPr>
              <w:jc w:val="center"/>
              <w:rPr>
                <w:b/>
              </w:rPr>
            </w:pPr>
          </w:p>
        </w:tc>
        <w:tc>
          <w:tcPr>
            <w:tcW w:w="456" w:type="dxa"/>
          </w:tcPr>
          <w:p w14:paraId="15F5EBDF" w14:textId="77777777" w:rsidR="00A75BD0" w:rsidRDefault="00A75BD0">
            <w:pPr>
              <w:jc w:val="center"/>
              <w:rPr>
                <w:b/>
              </w:rPr>
            </w:pPr>
          </w:p>
        </w:tc>
        <w:tc>
          <w:tcPr>
            <w:tcW w:w="456" w:type="dxa"/>
          </w:tcPr>
          <w:p w14:paraId="1666831C" w14:textId="77777777" w:rsidR="00A75BD0" w:rsidRDefault="00A75BD0">
            <w:pPr>
              <w:jc w:val="center"/>
              <w:rPr>
                <w:b/>
              </w:rPr>
            </w:pPr>
          </w:p>
        </w:tc>
        <w:tc>
          <w:tcPr>
            <w:tcW w:w="456" w:type="dxa"/>
          </w:tcPr>
          <w:p w14:paraId="75C08C61" w14:textId="77777777" w:rsidR="00A75BD0" w:rsidRDefault="00A75BD0">
            <w:pPr>
              <w:jc w:val="center"/>
              <w:rPr>
                <w:b/>
              </w:rPr>
            </w:pPr>
          </w:p>
        </w:tc>
        <w:tc>
          <w:tcPr>
            <w:tcW w:w="456" w:type="dxa"/>
          </w:tcPr>
          <w:p w14:paraId="76D662D1" w14:textId="77777777" w:rsidR="00A75BD0" w:rsidRDefault="00A75BD0">
            <w:pPr>
              <w:jc w:val="center"/>
              <w:rPr>
                <w:b/>
              </w:rPr>
            </w:pPr>
          </w:p>
        </w:tc>
        <w:tc>
          <w:tcPr>
            <w:tcW w:w="456" w:type="dxa"/>
          </w:tcPr>
          <w:p w14:paraId="1999D640" w14:textId="77777777" w:rsidR="00A75BD0" w:rsidRDefault="00A75BD0">
            <w:pPr>
              <w:jc w:val="center"/>
              <w:rPr>
                <w:b/>
              </w:rPr>
            </w:pPr>
          </w:p>
        </w:tc>
        <w:tc>
          <w:tcPr>
            <w:tcW w:w="456" w:type="dxa"/>
          </w:tcPr>
          <w:p w14:paraId="3DBD2580" w14:textId="77777777" w:rsidR="00A75BD0" w:rsidRDefault="00A75BD0">
            <w:pPr>
              <w:jc w:val="center"/>
              <w:rPr>
                <w:b/>
              </w:rPr>
            </w:pPr>
          </w:p>
        </w:tc>
        <w:tc>
          <w:tcPr>
            <w:tcW w:w="456" w:type="dxa"/>
          </w:tcPr>
          <w:p w14:paraId="1C546795" w14:textId="77777777" w:rsidR="00A75BD0" w:rsidRDefault="00A75BD0">
            <w:pPr>
              <w:jc w:val="center"/>
              <w:rPr>
                <w:b/>
              </w:rPr>
            </w:pPr>
          </w:p>
        </w:tc>
        <w:tc>
          <w:tcPr>
            <w:tcW w:w="456" w:type="dxa"/>
          </w:tcPr>
          <w:p w14:paraId="6D168EED" w14:textId="77777777" w:rsidR="00A75BD0" w:rsidRDefault="00A75BD0">
            <w:pPr>
              <w:jc w:val="center"/>
              <w:rPr>
                <w:b/>
              </w:rPr>
            </w:pPr>
          </w:p>
        </w:tc>
        <w:tc>
          <w:tcPr>
            <w:tcW w:w="456" w:type="dxa"/>
          </w:tcPr>
          <w:p w14:paraId="15760519" w14:textId="77777777" w:rsidR="00A75BD0" w:rsidRDefault="00A75BD0">
            <w:pPr>
              <w:jc w:val="center"/>
              <w:rPr>
                <w:b/>
              </w:rPr>
            </w:pPr>
          </w:p>
        </w:tc>
        <w:tc>
          <w:tcPr>
            <w:tcW w:w="456" w:type="dxa"/>
          </w:tcPr>
          <w:p w14:paraId="6BAE523E" w14:textId="77777777" w:rsidR="00A75BD0" w:rsidRDefault="00A75BD0">
            <w:pPr>
              <w:jc w:val="center"/>
              <w:rPr>
                <w:b/>
              </w:rPr>
            </w:pPr>
          </w:p>
        </w:tc>
        <w:tc>
          <w:tcPr>
            <w:tcW w:w="456" w:type="dxa"/>
          </w:tcPr>
          <w:p w14:paraId="1995FD47" w14:textId="77777777" w:rsidR="00A75BD0" w:rsidRDefault="00A75BD0">
            <w:pPr>
              <w:jc w:val="center"/>
              <w:rPr>
                <w:b/>
              </w:rPr>
            </w:pPr>
          </w:p>
        </w:tc>
        <w:tc>
          <w:tcPr>
            <w:tcW w:w="456" w:type="dxa"/>
          </w:tcPr>
          <w:p w14:paraId="2A223DDF" w14:textId="77777777" w:rsidR="00A75BD0" w:rsidRDefault="00A75BD0">
            <w:pPr>
              <w:jc w:val="center"/>
              <w:rPr>
                <w:b/>
              </w:rPr>
            </w:pPr>
          </w:p>
        </w:tc>
        <w:tc>
          <w:tcPr>
            <w:tcW w:w="456" w:type="dxa"/>
          </w:tcPr>
          <w:p w14:paraId="7EAC6CE0" w14:textId="77777777" w:rsidR="00A75BD0" w:rsidRDefault="00A75BD0">
            <w:pPr>
              <w:jc w:val="center"/>
              <w:rPr>
                <w:b/>
              </w:rPr>
            </w:pPr>
          </w:p>
        </w:tc>
        <w:tc>
          <w:tcPr>
            <w:tcW w:w="456" w:type="dxa"/>
          </w:tcPr>
          <w:p w14:paraId="37D9B78D" w14:textId="77777777" w:rsidR="00A75BD0" w:rsidRDefault="00A75BD0">
            <w:pPr>
              <w:jc w:val="center"/>
              <w:rPr>
                <w:b/>
              </w:rPr>
            </w:pPr>
          </w:p>
        </w:tc>
        <w:tc>
          <w:tcPr>
            <w:tcW w:w="456" w:type="dxa"/>
          </w:tcPr>
          <w:p w14:paraId="36635E89" w14:textId="77777777" w:rsidR="00A75BD0" w:rsidRDefault="00A75BD0">
            <w:pPr>
              <w:jc w:val="center"/>
              <w:rPr>
                <w:b/>
              </w:rPr>
            </w:pPr>
          </w:p>
        </w:tc>
        <w:tc>
          <w:tcPr>
            <w:tcW w:w="456" w:type="dxa"/>
          </w:tcPr>
          <w:p w14:paraId="1D2E7E18" w14:textId="77777777" w:rsidR="00A75BD0" w:rsidRDefault="00A75BD0">
            <w:pPr>
              <w:jc w:val="center"/>
              <w:rPr>
                <w:b/>
                <w:color w:val="C0C0C0"/>
              </w:rPr>
            </w:pPr>
          </w:p>
        </w:tc>
        <w:tc>
          <w:tcPr>
            <w:tcW w:w="456" w:type="dxa"/>
          </w:tcPr>
          <w:p w14:paraId="1BA82DC5" w14:textId="77777777" w:rsidR="00A75BD0" w:rsidRDefault="00A75BD0">
            <w:pPr>
              <w:jc w:val="center"/>
            </w:pPr>
          </w:p>
        </w:tc>
      </w:tr>
      <w:tr w:rsidR="00A75BD0" w14:paraId="46F38739" w14:textId="77777777">
        <w:trPr>
          <w:trHeight w:val="65"/>
        </w:trPr>
        <w:tc>
          <w:tcPr>
            <w:tcW w:w="1267" w:type="dxa"/>
          </w:tcPr>
          <w:p w14:paraId="34BFF7E6" w14:textId="77777777" w:rsidR="00A75BD0" w:rsidRDefault="009D4DA5">
            <w:pPr>
              <w:jc w:val="center"/>
              <w:rPr>
                <w:b/>
                <w:sz w:val="16"/>
                <w:szCs w:val="16"/>
              </w:rPr>
            </w:pPr>
            <w:r>
              <w:rPr>
                <w:b/>
                <w:sz w:val="16"/>
                <w:szCs w:val="16"/>
              </w:rPr>
              <w:t>Episode 4</w:t>
            </w:r>
          </w:p>
        </w:tc>
        <w:tc>
          <w:tcPr>
            <w:tcW w:w="456" w:type="dxa"/>
          </w:tcPr>
          <w:p w14:paraId="4395F132" w14:textId="77777777" w:rsidR="00A75BD0" w:rsidRDefault="00A75BD0">
            <w:pPr>
              <w:jc w:val="center"/>
              <w:rPr>
                <w:b/>
              </w:rPr>
            </w:pPr>
          </w:p>
        </w:tc>
        <w:tc>
          <w:tcPr>
            <w:tcW w:w="456" w:type="dxa"/>
          </w:tcPr>
          <w:p w14:paraId="6A52DF4E" w14:textId="77777777" w:rsidR="00A75BD0" w:rsidRDefault="00A75BD0">
            <w:pPr>
              <w:jc w:val="center"/>
              <w:rPr>
                <w:b/>
              </w:rPr>
            </w:pPr>
          </w:p>
        </w:tc>
        <w:tc>
          <w:tcPr>
            <w:tcW w:w="456" w:type="dxa"/>
          </w:tcPr>
          <w:p w14:paraId="084DB2DE" w14:textId="77777777" w:rsidR="00A75BD0" w:rsidRDefault="00A75BD0">
            <w:pPr>
              <w:jc w:val="center"/>
            </w:pPr>
          </w:p>
        </w:tc>
        <w:tc>
          <w:tcPr>
            <w:tcW w:w="456" w:type="dxa"/>
          </w:tcPr>
          <w:p w14:paraId="27D3A7F8" w14:textId="77777777" w:rsidR="00A75BD0" w:rsidRDefault="00A75BD0">
            <w:pPr>
              <w:jc w:val="center"/>
              <w:rPr>
                <w:b/>
              </w:rPr>
            </w:pPr>
          </w:p>
        </w:tc>
        <w:tc>
          <w:tcPr>
            <w:tcW w:w="456" w:type="dxa"/>
          </w:tcPr>
          <w:p w14:paraId="7DDFAD35" w14:textId="77777777" w:rsidR="00A75BD0" w:rsidRDefault="00A75BD0">
            <w:pPr>
              <w:jc w:val="center"/>
              <w:rPr>
                <w:b/>
              </w:rPr>
            </w:pPr>
          </w:p>
        </w:tc>
        <w:tc>
          <w:tcPr>
            <w:tcW w:w="456" w:type="dxa"/>
          </w:tcPr>
          <w:p w14:paraId="0904BB79" w14:textId="77777777" w:rsidR="00A75BD0" w:rsidRDefault="00A75BD0">
            <w:pPr>
              <w:jc w:val="center"/>
              <w:rPr>
                <w:b/>
              </w:rPr>
            </w:pPr>
          </w:p>
        </w:tc>
        <w:tc>
          <w:tcPr>
            <w:tcW w:w="456" w:type="dxa"/>
          </w:tcPr>
          <w:p w14:paraId="1598D61E" w14:textId="77777777" w:rsidR="00A75BD0" w:rsidRDefault="00A75BD0">
            <w:pPr>
              <w:jc w:val="center"/>
              <w:rPr>
                <w:b/>
              </w:rPr>
            </w:pPr>
          </w:p>
        </w:tc>
        <w:tc>
          <w:tcPr>
            <w:tcW w:w="456" w:type="dxa"/>
          </w:tcPr>
          <w:p w14:paraId="235B097A" w14:textId="77777777" w:rsidR="00A75BD0" w:rsidRDefault="00A75BD0">
            <w:pPr>
              <w:jc w:val="center"/>
              <w:rPr>
                <w:b/>
              </w:rPr>
            </w:pPr>
          </w:p>
        </w:tc>
        <w:tc>
          <w:tcPr>
            <w:tcW w:w="456" w:type="dxa"/>
          </w:tcPr>
          <w:p w14:paraId="76875938" w14:textId="77777777" w:rsidR="00A75BD0" w:rsidRDefault="00A75BD0">
            <w:pPr>
              <w:jc w:val="center"/>
              <w:rPr>
                <w:b/>
              </w:rPr>
            </w:pPr>
          </w:p>
        </w:tc>
        <w:tc>
          <w:tcPr>
            <w:tcW w:w="456" w:type="dxa"/>
          </w:tcPr>
          <w:p w14:paraId="4176B99F" w14:textId="77777777" w:rsidR="00A75BD0" w:rsidRDefault="00A75BD0">
            <w:pPr>
              <w:jc w:val="center"/>
              <w:rPr>
                <w:b/>
              </w:rPr>
            </w:pPr>
          </w:p>
        </w:tc>
        <w:tc>
          <w:tcPr>
            <w:tcW w:w="456" w:type="dxa"/>
          </w:tcPr>
          <w:p w14:paraId="02BBE168" w14:textId="77777777" w:rsidR="00A75BD0" w:rsidRDefault="00A75BD0">
            <w:pPr>
              <w:jc w:val="center"/>
              <w:rPr>
                <w:b/>
              </w:rPr>
            </w:pPr>
          </w:p>
        </w:tc>
        <w:tc>
          <w:tcPr>
            <w:tcW w:w="456" w:type="dxa"/>
          </w:tcPr>
          <w:p w14:paraId="7CC301AF" w14:textId="77777777" w:rsidR="00A75BD0" w:rsidRDefault="00A75BD0">
            <w:pPr>
              <w:jc w:val="center"/>
              <w:rPr>
                <w:b/>
              </w:rPr>
            </w:pPr>
          </w:p>
        </w:tc>
        <w:tc>
          <w:tcPr>
            <w:tcW w:w="456" w:type="dxa"/>
          </w:tcPr>
          <w:p w14:paraId="60248B8A" w14:textId="77777777" w:rsidR="00A75BD0" w:rsidRDefault="00A75BD0">
            <w:pPr>
              <w:jc w:val="center"/>
              <w:rPr>
                <w:b/>
              </w:rPr>
            </w:pPr>
          </w:p>
        </w:tc>
        <w:tc>
          <w:tcPr>
            <w:tcW w:w="456" w:type="dxa"/>
          </w:tcPr>
          <w:p w14:paraId="750A0C5D" w14:textId="77777777" w:rsidR="00A75BD0" w:rsidRDefault="00A75BD0">
            <w:pPr>
              <w:jc w:val="center"/>
              <w:rPr>
                <w:b/>
              </w:rPr>
            </w:pPr>
          </w:p>
        </w:tc>
        <w:tc>
          <w:tcPr>
            <w:tcW w:w="456" w:type="dxa"/>
          </w:tcPr>
          <w:p w14:paraId="1D8946D2" w14:textId="77777777" w:rsidR="00A75BD0" w:rsidRDefault="00A75BD0">
            <w:pPr>
              <w:jc w:val="center"/>
              <w:rPr>
                <w:b/>
              </w:rPr>
            </w:pPr>
          </w:p>
        </w:tc>
        <w:tc>
          <w:tcPr>
            <w:tcW w:w="456" w:type="dxa"/>
          </w:tcPr>
          <w:p w14:paraId="366EA3A8" w14:textId="77777777" w:rsidR="00A75BD0" w:rsidRDefault="00A75BD0">
            <w:pPr>
              <w:jc w:val="center"/>
              <w:rPr>
                <w:b/>
              </w:rPr>
            </w:pPr>
          </w:p>
        </w:tc>
        <w:tc>
          <w:tcPr>
            <w:tcW w:w="456" w:type="dxa"/>
          </w:tcPr>
          <w:p w14:paraId="4D8934CE" w14:textId="77777777" w:rsidR="00A75BD0" w:rsidRDefault="00A75BD0">
            <w:pPr>
              <w:jc w:val="center"/>
              <w:rPr>
                <w:b/>
              </w:rPr>
            </w:pPr>
          </w:p>
        </w:tc>
        <w:tc>
          <w:tcPr>
            <w:tcW w:w="456" w:type="dxa"/>
          </w:tcPr>
          <w:p w14:paraId="23BB9556" w14:textId="77777777" w:rsidR="00A75BD0" w:rsidRDefault="00A75BD0">
            <w:pPr>
              <w:jc w:val="center"/>
              <w:rPr>
                <w:b/>
              </w:rPr>
            </w:pPr>
          </w:p>
        </w:tc>
        <w:tc>
          <w:tcPr>
            <w:tcW w:w="456" w:type="dxa"/>
          </w:tcPr>
          <w:p w14:paraId="6E5CB731" w14:textId="77777777" w:rsidR="00A75BD0" w:rsidRDefault="00A75BD0">
            <w:pPr>
              <w:jc w:val="center"/>
              <w:rPr>
                <w:b/>
              </w:rPr>
            </w:pPr>
          </w:p>
        </w:tc>
        <w:tc>
          <w:tcPr>
            <w:tcW w:w="456" w:type="dxa"/>
          </w:tcPr>
          <w:p w14:paraId="75ECC06B" w14:textId="77777777" w:rsidR="00A75BD0" w:rsidRDefault="00A75BD0">
            <w:pPr>
              <w:jc w:val="center"/>
              <w:rPr>
                <w:b/>
              </w:rPr>
            </w:pPr>
          </w:p>
        </w:tc>
        <w:tc>
          <w:tcPr>
            <w:tcW w:w="456" w:type="dxa"/>
          </w:tcPr>
          <w:p w14:paraId="169EBF30" w14:textId="77777777" w:rsidR="00A75BD0" w:rsidRDefault="00A75BD0">
            <w:pPr>
              <w:jc w:val="center"/>
              <w:rPr>
                <w:b/>
              </w:rPr>
            </w:pPr>
          </w:p>
        </w:tc>
        <w:tc>
          <w:tcPr>
            <w:tcW w:w="456" w:type="dxa"/>
          </w:tcPr>
          <w:p w14:paraId="631940B8" w14:textId="77777777" w:rsidR="00A75BD0" w:rsidRDefault="00A75BD0">
            <w:pPr>
              <w:jc w:val="center"/>
              <w:rPr>
                <w:b/>
              </w:rPr>
            </w:pPr>
          </w:p>
        </w:tc>
        <w:tc>
          <w:tcPr>
            <w:tcW w:w="456" w:type="dxa"/>
          </w:tcPr>
          <w:p w14:paraId="5AD4BA18" w14:textId="77777777" w:rsidR="00A75BD0" w:rsidRDefault="00A75BD0">
            <w:pPr>
              <w:jc w:val="center"/>
              <w:rPr>
                <w:b/>
              </w:rPr>
            </w:pPr>
          </w:p>
        </w:tc>
        <w:tc>
          <w:tcPr>
            <w:tcW w:w="456" w:type="dxa"/>
          </w:tcPr>
          <w:p w14:paraId="2DF41019" w14:textId="77777777" w:rsidR="00A75BD0" w:rsidRDefault="00A75BD0">
            <w:pPr>
              <w:jc w:val="center"/>
              <w:rPr>
                <w:b/>
              </w:rPr>
            </w:pPr>
          </w:p>
        </w:tc>
        <w:tc>
          <w:tcPr>
            <w:tcW w:w="456" w:type="dxa"/>
          </w:tcPr>
          <w:p w14:paraId="071A5FB5" w14:textId="77777777" w:rsidR="00A75BD0" w:rsidRDefault="00A75BD0">
            <w:pPr>
              <w:jc w:val="center"/>
              <w:rPr>
                <w:b/>
              </w:rPr>
            </w:pPr>
          </w:p>
        </w:tc>
        <w:tc>
          <w:tcPr>
            <w:tcW w:w="456" w:type="dxa"/>
          </w:tcPr>
          <w:p w14:paraId="19D66751" w14:textId="77777777" w:rsidR="00A75BD0" w:rsidRDefault="00A75BD0">
            <w:pPr>
              <w:jc w:val="center"/>
              <w:rPr>
                <w:b/>
              </w:rPr>
            </w:pPr>
          </w:p>
        </w:tc>
        <w:tc>
          <w:tcPr>
            <w:tcW w:w="456" w:type="dxa"/>
          </w:tcPr>
          <w:p w14:paraId="5146499E" w14:textId="77777777" w:rsidR="00A75BD0" w:rsidRDefault="00A75BD0">
            <w:pPr>
              <w:jc w:val="center"/>
              <w:rPr>
                <w:b/>
              </w:rPr>
            </w:pPr>
          </w:p>
        </w:tc>
        <w:tc>
          <w:tcPr>
            <w:tcW w:w="456" w:type="dxa"/>
          </w:tcPr>
          <w:p w14:paraId="10831F46" w14:textId="77777777" w:rsidR="00A75BD0" w:rsidRDefault="00A75BD0">
            <w:pPr>
              <w:jc w:val="center"/>
              <w:rPr>
                <w:b/>
              </w:rPr>
            </w:pPr>
          </w:p>
        </w:tc>
        <w:tc>
          <w:tcPr>
            <w:tcW w:w="456" w:type="dxa"/>
          </w:tcPr>
          <w:p w14:paraId="115370FD" w14:textId="77777777" w:rsidR="00A75BD0" w:rsidRDefault="00A75BD0">
            <w:pPr>
              <w:jc w:val="center"/>
              <w:rPr>
                <w:b/>
              </w:rPr>
            </w:pPr>
          </w:p>
        </w:tc>
        <w:tc>
          <w:tcPr>
            <w:tcW w:w="456" w:type="dxa"/>
          </w:tcPr>
          <w:p w14:paraId="492241FF" w14:textId="77777777" w:rsidR="00A75BD0" w:rsidRDefault="00A75BD0">
            <w:pPr>
              <w:jc w:val="center"/>
              <w:rPr>
                <w:b/>
                <w:color w:val="C0C0C0"/>
              </w:rPr>
            </w:pPr>
          </w:p>
        </w:tc>
        <w:tc>
          <w:tcPr>
            <w:tcW w:w="456" w:type="dxa"/>
          </w:tcPr>
          <w:p w14:paraId="424AB44B" w14:textId="77777777" w:rsidR="00A75BD0" w:rsidRDefault="00A75BD0">
            <w:pPr>
              <w:jc w:val="center"/>
            </w:pPr>
          </w:p>
        </w:tc>
      </w:tr>
      <w:tr w:rsidR="00A75BD0" w14:paraId="22E2B9F5" w14:textId="77777777">
        <w:tc>
          <w:tcPr>
            <w:tcW w:w="1267" w:type="dxa"/>
          </w:tcPr>
          <w:p w14:paraId="079777B8" w14:textId="77777777" w:rsidR="00A75BD0" w:rsidRDefault="009D4DA5">
            <w:pPr>
              <w:jc w:val="center"/>
              <w:rPr>
                <w:b/>
                <w:sz w:val="16"/>
                <w:szCs w:val="16"/>
              </w:rPr>
            </w:pPr>
            <w:r>
              <w:rPr>
                <w:b/>
                <w:sz w:val="16"/>
                <w:szCs w:val="16"/>
              </w:rPr>
              <w:t>Episode 5</w:t>
            </w:r>
          </w:p>
        </w:tc>
        <w:tc>
          <w:tcPr>
            <w:tcW w:w="456" w:type="dxa"/>
          </w:tcPr>
          <w:p w14:paraId="58D8716F" w14:textId="77777777" w:rsidR="00A75BD0" w:rsidRDefault="00A75BD0">
            <w:pPr>
              <w:jc w:val="center"/>
              <w:rPr>
                <w:b/>
              </w:rPr>
            </w:pPr>
          </w:p>
        </w:tc>
        <w:tc>
          <w:tcPr>
            <w:tcW w:w="456" w:type="dxa"/>
          </w:tcPr>
          <w:p w14:paraId="028493E2" w14:textId="77777777" w:rsidR="00A75BD0" w:rsidRDefault="00A75BD0">
            <w:pPr>
              <w:jc w:val="center"/>
              <w:rPr>
                <w:b/>
              </w:rPr>
            </w:pPr>
          </w:p>
        </w:tc>
        <w:tc>
          <w:tcPr>
            <w:tcW w:w="456" w:type="dxa"/>
          </w:tcPr>
          <w:p w14:paraId="3329EF70" w14:textId="77777777" w:rsidR="00A75BD0" w:rsidRDefault="00A75BD0">
            <w:pPr>
              <w:jc w:val="center"/>
            </w:pPr>
          </w:p>
        </w:tc>
        <w:tc>
          <w:tcPr>
            <w:tcW w:w="456" w:type="dxa"/>
          </w:tcPr>
          <w:p w14:paraId="6AD36737" w14:textId="77777777" w:rsidR="00A75BD0" w:rsidRDefault="00A75BD0">
            <w:pPr>
              <w:jc w:val="center"/>
              <w:rPr>
                <w:b/>
              </w:rPr>
            </w:pPr>
          </w:p>
        </w:tc>
        <w:tc>
          <w:tcPr>
            <w:tcW w:w="456" w:type="dxa"/>
          </w:tcPr>
          <w:p w14:paraId="4B2B9D6B" w14:textId="77777777" w:rsidR="00A75BD0" w:rsidRDefault="00A75BD0">
            <w:pPr>
              <w:jc w:val="center"/>
              <w:rPr>
                <w:b/>
              </w:rPr>
            </w:pPr>
          </w:p>
        </w:tc>
        <w:tc>
          <w:tcPr>
            <w:tcW w:w="456" w:type="dxa"/>
          </w:tcPr>
          <w:p w14:paraId="6342F633" w14:textId="77777777" w:rsidR="00A75BD0" w:rsidRDefault="00A75BD0">
            <w:pPr>
              <w:jc w:val="center"/>
              <w:rPr>
                <w:b/>
              </w:rPr>
            </w:pPr>
          </w:p>
        </w:tc>
        <w:tc>
          <w:tcPr>
            <w:tcW w:w="456" w:type="dxa"/>
          </w:tcPr>
          <w:p w14:paraId="1AEBE4B0" w14:textId="77777777" w:rsidR="00A75BD0" w:rsidRDefault="00A75BD0">
            <w:pPr>
              <w:jc w:val="center"/>
              <w:rPr>
                <w:b/>
              </w:rPr>
            </w:pPr>
          </w:p>
        </w:tc>
        <w:tc>
          <w:tcPr>
            <w:tcW w:w="456" w:type="dxa"/>
          </w:tcPr>
          <w:p w14:paraId="66B0E577" w14:textId="77777777" w:rsidR="00A75BD0" w:rsidRDefault="00A75BD0">
            <w:pPr>
              <w:jc w:val="center"/>
              <w:rPr>
                <w:b/>
              </w:rPr>
            </w:pPr>
          </w:p>
        </w:tc>
        <w:tc>
          <w:tcPr>
            <w:tcW w:w="456" w:type="dxa"/>
          </w:tcPr>
          <w:p w14:paraId="2B5FE28B" w14:textId="77777777" w:rsidR="00A75BD0" w:rsidRDefault="00A75BD0">
            <w:pPr>
              <w:jc w:val="center"/>
              <w:rPr>
                <w:b/>
              </w:rPr>
            </w:pPr>
          </w:p>
        </w:tc>
        <w:tc>
          <w:tcPr>
            <w:tcW w:w="456" w:type="dxa"/>
          </w:tcPr>
          <w:p w14:paraId="1882BFF2" w14:textId="77777777" w:rsidR="00A75BD0" w:rsidRDefault="00A75BD0">
            <w:pPr>
              <w:jc w:val="center"/>
              <w:rPr>
                <w:b/>
              </w:rPr>
            </w:pPr>
          </w:p>
        </w:tc>
        <w:tc>
          <w:tcPr>
            <w:tcW w:w="456" w:type="dxa"/>
          </w:tcPr>
          <w:p w14:paraId="6B0A6B65" w14:textId="77777777" w:rsidR="00A75BD0" w:rsidRDefault="00A75BD0">
            <w:pPr>
              <w:jc w:val="center"/>
              <w:rPr>
                <w:b/>
              </w:rPr>
            </w:pPr>
          </w:p>
        </w:tc>
        <w:tc>
          <w:tcPr>
            <w:tcW w:w="456" w:type="dxa"/>
          </w:tcPr>
          <w:p w14:paraId="09C702A6" w14:textId="77777777" w:rsidR="00A75BD0" w:rsidRDefault="00A75BD0">
            <w:pPr>
              <w:jc w:val="center"/>
              <w:rPr>
                <w:b/>
              </w:rPr>
            </w:pPr>
          </w:p>
        </w:tc>
        <w:tc>
          <w:tcPr>
            <w:tcW w:w="456" w:type="dxa"/>
          </w:tcPr>
          <w:p w14:paraId="32BD3EA5" w14:textId="77777777" w:rsidR="00A75BD0" w:rsidRDefault="00A75BD0">
            <w:pPr>
              <w:jc w:val="center"/>
              <w:rPr>
                <w:b/>
              </w:rPr>
            </w:pPr>
          </w:p>
        </w:tc>
        <w:tc>
          <w:tcPr>
            <w:tcW w:w="456" w:type="dxa"/>
          </w:tcPr>
          <w:p w14:paraId="21191D74" w14:textId="77777777" w:rsidR="00A75BD0" w:rsidRDefault="00A75BD0">
            <w:pPr>
              <w:jc w:val="center"/>
              <w:rPr>
                <w:b/>
              </w:rPr>
            </w:pPr>
          </w:p>
        </w:tc>
        <w:tc>
          <w:tcPr>
            <w:tcW w:w="456" w:type="dxa"/>
          </w:tcPr>
          <w:p w14:paraId="5B8BB8FD" w14:textId="77777777" w:rsidR="00A75BD0" w:rsidRDefault="00A75BD0">
            <w:pPr>
              <w:jc w:val="center"/>
              <w:rPr>
                <w:b/>
              </w:rPr>
            </w:pPr>
          </w:p>
        </w:tc>
        <w:tc>
          <w:tcPr>
            <w:tcW w:w="456" w:type="dxa"/>
          </w:tcPr>
          <w:p w14:paraId="1A44B78D" w14:textId="77777777" w:rsidR="00A75BD0" w:rsidRDefault="00A75BD0">
            <w:pPr>
              <w:jc w:val="center"/>
              <w:rPr>
                <w:b/>
              </w:rPr>
            </w:pPr>
          </w:p>
        </w:tc>
        <w:tc>
          <w:tcPr>
            <w:tcW w:w="456" w:type="dxa"/>
          </w:tcPr>
          <w:p w14:paraId="59425671" w14:textId="77777777" w:rsidR="00A75BD0" w:rsidRDefault="00A75BD0">
            <w:pPr>
              <w:jc w:val="center"/>
              <w:rPr>
                <w:b/>
              </w:rPr>
            </w:pPr>
          </w:p>
        </w:tc>
        <w:tc>
          <w:tcPr>
            <w:tcW w:w="456" w:type="dxa"/>
          </w:tcPr>
          <w:p w14:paraId="60FB0C0F" w14:textId="77777777" w:rsidR="00A75BD0" w:rsidRDefault="00A75BD0">
            <w:pPr>
              <w:jc w:val="center"/>
              <w:rPr>
                <w:b/>
              </w:rPr>
            </w:pPr>
          </w:p>
        </w:tc>
        <w:tc>
          <w:tcPr>
            <w:tcW w:w="456" w:type="dxa"/>
          </w:tcPr>
          <w:p w14:paraId="1A0A8194" w14:textId="77777777" w:rsidR="00A75BD0" w:rsidRDefault="00A75BD0">
            <w:pPr>
              <w:jc w:val="center"/>
              <w:rPr>
                <w:b/>
              </w:rPr>
            </w:pPr>
          </w:p>
        </w:tc>
        <w:tc>
          <w:tcPr>
            <w:tcW w:w="456" w:type="dxa"/>
          </w:tcPr>
          <w:p w14:paraId="2019D459" w14:textId="77777777" w:rsidR="00A75BD0" w:rsidRDefault="00A75BD0">
            <w:pPr>
              <w:jc w:val="center"/>
              <w:rPr>
                <w:b/>
              </w:rPr>
            </w:pPr>
          </w:p>
        </w:tc>
        <w:tc>
          <w:tcPr>
            <w:tcW w:w="456" w:type="dxa"/>
          </w:tcPr>
          <w:p w14:paraId="19F41C0C" w14:textId="77777777" w:rsidR="00A75BD0" w:rsidRDefault="00A75BD0">
            <w:pPr>
              <w:jc w:val="center"/>
              <w:rPr>
                <w:b/>
              </w:rPr>
            </w:pPr>
          </w:p>
        </w:tc>
        <w:tc>
          <w:tcPr>
            <w:tcW w:w="456" w:type="dxa"/>
          </w:tcPr>
          <w:p w14:paraId="44E4B74D" w14:textId="77777777" w:rsidR="00A75BD0" w:rsidRDefault="00A75BD0">
            <w:pPr>
              <w:jc w:val="center"/>
              <w:rPr>
                <w:b/>
              </w:rPr>
            </w:pPr>
          </w:p>
        </w:tc>
        <w:tc>
          <w:tcPr>
            <w:tcW w:w="456" w:type="dxa"/>
          </w:tcPr>
          <w:p w14:paraId="1558CEA1" w14:textId="77777777" w:rsidR="00A75BD0" w:rsidRDefault="00A75BD0">
            <w:pPr>
              <w:jc w:val="center"/>
              <w:rPr>
                <w:b/>
              </w:rPr>
            </w:pPr>
          </w:p>
        </w:tc>
        <w:tc>
          <w:tcPr>
            <w:tcW w:w="456" w:type="dxa"/>
          </w:tcPr>
          <w:p w14:paraId="0AFBBF2C" w14:textId="77777777" w:rsidR="00A75BD0" w:rsidRDefault="00A75BD0">
            <w:pPr>
              <w:jc w:val="center"/>
              <w:rPr>
                <w:b/>
              </w:rPr>
            </w:pPr>
          </w:p>
        </w:tc>
        <w:tc>
          <w:tcPr>
            <w:tcW w:w="456" w:type="dxa"/>
          </w:tcPr>
          <w:p w14:paraId="76E1B5CD" w14:textId="77777777" w:rsidR="00A75BD0" w:rsidRDefault="00A75BD0">
            <w:pPr>
              <w:jc w:val="center"/>
              <w:rPr>
                <w:b/>
              </w:rPr>
            </w:pPr>
          </w:p>
        </w:tc>
        <w:tc>
          <w:tcPr>
            <w:tcW w:w="456" w:type="dxa"/>
          </w:tcPr>
          <w:p w14:paraId="4C0869DD" w14:textId="77777777" w:rsidR="00A75BD0" w:rsidRDefault="00A75BD0">
            <w:pPr>
              <w:jc w:val="center"/>
              <w:rPr>
                <w:b/>
              </w:rPr>
            </w:pPr>
          </w:p>
        </w:tc>
        <w:tc>
          <w:tcPr>
            <w:tcW w:w="456" w:type="dxa"/>
          </w:tcPr>
          <w:p w14:paraId="79D22ECE" w14:textId="77777777" w:rsidR="00A75BD0" w:rsidRDefault="00A75BD0">
            <w:pPr>
              <w:jc w:val="center"/>
              <w:rPr>
                <w:b/>
              </w:rPr>
            </w:pPr>
          </w:p>
        </w:tc>
        <w:tc>
          <w:tcPr>
            <w:tcW w:w="456" w:type="dxa"/>
          </w:tcPr>
          <w:p w14:paraId="0F5A87C7" w14:textId="77777777" w:rsidR="00A75BD0" w:rsidRDefault="00A75BD0">
            <w:pPr>
              <w:jc w:val="center"/>
              <w:rPr>
                <w:b/>
              </w:rPr>
            </w:pPr>
          </w:p>
        </w:tc>
        <w:tc>
          <w:tcPr>
            <w:tcW w:w="456" w:type="dxa"/>
          </w:tcPr>
          <w:p w14:paraId="1F17A959" w14:textId="77777777" w:rsidR="00A75BD0" w:rsidRDefault="00A75BD0">
            <w:pPr>
              <w:jc w:val="center"/>
              <w:rPr>
                <w:b/>
              </w:rPr>
            </w:pPr>
          </w:p>
        </w:tc>
        <w:tc>
          <w:tcPr>
            <w:tcW w:w="456" w:type="dxa"/>
          </w:tcPr>
          <w:p w14:paraId="69C87CD1" w14:textId="77777777" w:rsidR="00A75BD0" w:rsidRDefault="00A75BD0">
            <w:pPr>
              <w:jc w:val="center"/>
              <w:rPr>
                <w:b/>
                <w:color w:val="C0C0C0"/>
              </w:rPr>
            </w:pPr>
          </w:p>
        </w:tc>
        <w:tc>
          <w:tcPr>
            <w:tcW w:w="456" w:type="dxa"/>
          </w:tcPr>
          <w:p w14:paraId="4B6954B0" w14:textId="77777777" w:rsidR="00A75BD0" w:rsidRDefault="00A75BD0">
            <w:pPr>
              <w:jc w:val="center"/>
            </w:pPr>
          </w:p>
        </w:tc>
      </w:tr>
      <w:tr w:rsidR="00A75BD0" w14:paraId="35408203" w14:textId="77777777">
        <w:tc>
          <w:tcPr>
            <w:tcW w:w="1267" w:type="dxa"/>
          </w:tcPr>
          <w:p w14:paraId="6F04B38F" w14:textId="77777777" w:rsidR="00A75BD0" w:rsidRDefault="009D4DA5">
            <w:pPr>
              <w:jc w:val="center"/>
              <w:rPr>
                <w:b/>
                <w:sz w:val="16"/>
                <w:szCs w:val="16"/>
              </w:rPr>
            </w:pPr>
            <w:r>
              <w:rPr>
                <w:b/>
                <w:sz w:val="16"/>
                <w:szCs w:val="16"/>
              </w:rPr>
              <w:t>Episode 6</w:t>
            </w:r>
          </w:p>
        </w:tc>
        <w:tc>
          <w:tcPr>
            <w:tcW w:w="456" w:type="dxa"/>
          </w:tcPr>
          <w:p w14:paraId="226960B3" w14:textId="77777777" w:rsidR="00A75BD0" w:rsidRDefault="00A75BD0">
            <w:pPr>
              <w:jc w:val="center"/>
              <w:rPr>
                <w:i/>
                <w:sz w:val="18"/>
                <w:szCs w:val="18"/>
              </w:rPr>
            </w:pPr>
          </w:p>
        </w:tc>
        <w:tc>
          <w:tcPr>
            <w:tcW w:w="456" w:type="dxa"/>
          </w:tcPr>
          <w:p w14:paraId="3FAF6E4C" w14:textId="77777777" w:rsidR="00A75BD0" w:rsidRDefault="00A75BD0">
            <w:pPr>
              <w:jc w:val="center"/>
              <w:rPr>
                <w:b/>
                <w:sz w:val="18"/>
                <w:szCs w:val="18"/>
              </w:rPr>
            </w:pPr>
          </w:p>
        </w:tc>
        <w:tc>
          <w:tcPr>
            <w:tcW w:w="456" w:type="dxa"/>
          </w:tcPr>
          <w:p w14:paraId="48272716" w14:textId="77777777" w:rsidR="00A75BD0" w:rsidRDefault="00A75BD0">
            <w:pPr>
              <w:jc w:val="center"/>
              <w:rPr>
                <w:i/>
                <w:sz w:val="18"/>
                <w:szCs w:val="18"/>
              </w:rPr>
            </w:pPr>
          </w:p>
        </w:tc>
        <w:tc>
          <w:tcPr>
            <w:tcW w:w="456" w:type="dxa"/>
          </w:tcPr>
          <w:p w14:paraId="211349CA" w14:textId="77777777" w:rsidR="00A75BD0" w:rsidRDefault="00A75BD0">
            <w:pPr>
              <w:jc w:val="center"/>
              <w:rPr>
                <w:i/>
                <w:sz w:val="18"/>
                <w:szCs w:val="18"/>
              </w:rPr>
            </w:pPr>
          </w:p>
        </w:tc>
        <w:tc>
          <w:tcPr>
            <w:tcW w:w="456" w:type="dxa"/>
          </w:tcPr>
          <w:p w14:paraId="7C029934" w14:textId="77777777" w:rsidR="00A75BD0" w:rsidRDefault="00A75BD0">
            <w:pPr>
              <w:jc w:val="center"/>
              <w:rPr>
                <w:i/>
                <w:sz w:val="18"/>
                <w:szCs w:val="18"/>
              </w:rPr>
            </w:pPr>
          </w:p>
        </w:tc>
        <w:tc>
          <w:tcPr>
            <w:tcW w:w="456" w:type="dxa"/>
          </w:tcPr>
          <w:p w14:paraId="0ABC6365" w14:textId="77777777" w:rsidR="00A75BD0" w:rsidRDefault="00A75BD0">
            <w:pPr>
              <w:jc w:val="center"/>
              <w:rPr>
                <w:i/>
                <w:sz w:val="18"/>
                <w:szCs w:val="18"/>
              </w:rPr>
            </w:pPr>
          </w:p>
        </w:tc>
        <w:tc>
          <w:tcPr>
            <w:tcW w:w="456" w:type="dxa"/>
          </w:tcPr>
          <w:p w14:paraId="783DC4C6" w14:textId="77777777" w:rsidR="00A75BD0" w:rsidRDefault="00A75BD0">
            <w:pPr>
              <w:jc w:val="center"/>
              <w:rPr>
                <w:i/>
                <w:sz w:val="18"/>
                <w:szCs w:val="18"/>
              </w:rPr>
            </w:pPr>
          </w:p>
        </w:tc>
        <w:tc>
          <w:tcPr>
            <w:tcW w:w="456" w:type="dxa"/>
          </w:tcPr>
          <w:p w14:paraId="74B2CAC6" w14:textId="77777777" w:rsidR="00A75BD0" w:rsidRDefault="00A75BD0">
            <w:pPr>
              <w:jc w:val="center"/>
              <w:rPr>
                <w:i/>
                <w:sz w:val="18"/>
                <w:szCs w:val="18"/>
              </w:rPr>
            </w:pPr>
          </w:p>
        </w:tc>
        <w:tc>
          <w:tcPr>
            <w:tcW w:w="456" w:type="dxa"/>
          </w:tcPr>
          <w:p w14:paraId="0A1A0F09" w14:textId="77777777" w:rsidR="00A75BD0" w:rsidRDefault="00A75BD0">
            <w:pPr>
              <w:jc w:val="center"/>
              <w:rPr>
                <w:i/>
                <w:sz w:val="18"/>
                <w:szCs w:val="18"/>
              </w:rPr>
            </w:pPr>
          </w:p>
        </w:tc>
        <w:tc>
          <w:tcPr>
            <w:tcW w:w="456" w:type="dxa"/>
          </w:tcPr>
          <w:p w14:paraId="24BF7E8C" w14:textId="77777777" w:rsidR="00A75BD0" w:rsidRDefault="00A75BD0">
            <w:pPr>
              <w:jc w:val="center"/>
              <w:rPr>
                <w:i/>
                <w:sz w:val="18"/>
                <w:szCs w:val="18"/>
              </w:rPr>
            </w:pPr>
          </w:p>
        </w:tc>
        <w:tc>
          <w:tcPr>
            <w:tcW w:w="456" w:type="dxa"/>
          </w:tcPr>
          <w:p w14:paraId="61669620" w14:textId="77777777" w:rsidR="00A75BD0" w:rsidRDefault="00A75BD0">
            <w:pPr>
              <w:jc w:val="center"/>
              <w:rPr>
                <w:i/>
                <w:sz w:val="18"/>
                <w:szCs w:val="18"/>
              </w:rPr>
            </w:pPr>
          </w:p>
        </w:tc>
        <w:tc>
          <w:tcPr>
            <w:tcW w:w="456" w:type="dxa"/>
          </w:tcPr>
          <w:p w14:paraId="379A3E97" w14:textId="77777777" w:rsidR="00A75BD0" w:rsidRDefault="00A75BD0">
            <w:pPr>
              <w:jc w:val="center"/>
              <w:rPr>
                <w:i/>
                <w:sz w:val="18"/>
                <w:szCs w:val="18"/>
              </w:rPr>
            </w:pPr>
          </w:p>
        </w:tc>
        <w:tc>
          <w:tcPr>
            <w:tcW w:w="456" w:type="dxa"/>
          </w:tcPr>
          <w:p w14:paraId="335FEF16" w14:textId="77777777" w:rsidR="00A75BD0" w:rsidRDefault="00A75BD0">
            <w:pPr>
              <w:jc w:val="center"/>
              <w:rPr>
                <w:i/>
                <w:sz w:val="18"/>
                <w:szCs w:val="18"/>
              </w:rPr>
            </w:pPr>
          </w:p>
        </w:tc>
        <w:tc>
          <w:tcPr>
            <w:tcW w:w="456" w:type="dxa"/>
          </w:tcPr>
          <w:p w14:paraId="0263FCBB" w14:textId="77777777" w:rsidR="00A75BD0" w:rsidRDefault="00A75BD0">
            <w:pPr>
              <w:jc w:val="center"/>
              <w:rPr>
                <w:i/>
                <w:sz w:val="18"/>
                <w:szCs w:val="18"/>
              </w:rPr>
            </w:pPr>
          </w:p>
        </w:tc>
        <w:tc>
          <w:tcPr>
            <w:tcW w:w="456" w:type="dxa"/>
          </w:tcPr>
          <w:p w14:paraId="50E34E53" w14:textId="77777777" w:rsidR="00A75BD0" w:rsidRDefault="00A75BD0">
            <w:pPr>
              <w:jc w:val="center"/>
              <w:rPr>
                <w:i/>
                <w:sz w:val="18"/>
                <w:szCs w:val="18"/>
              </w:rPr>
            </w:pPr>
          </w:p>
        </w:tc>
        <w:tc>
          <w:tcPr>
            <w:tcW w:w="456" w:type="dxa"/>
          </w:tcPr>
          <w:p w14:paraId="3B40AF6E" w14:textId="77777777" w:rsidR="00A75BD0" w:rsidRDefault="00A75BD0">
            <w:pPr>
              <w:jc w:val="center"/>
              <w:rPr>
                <w:i/>
                <w:sz w:val="18"/>
                <w:szCs w:val="18"/>
              </w:rPr>
            </w:pPr>
          </w:p>
        </w:tc>
        <w:tc>
          <w:tcPr>
            <w:tcW w:w="456" w:type="dxa"/>
          </w:tcPr>
          <w:p w14:paraId="3B96E14F" w14:textId="77777777" w:rsidR="00A75BD0" w:rsidRDefault="00A75BD0">
            <w:pPr>
              <w:jc w:val="center"/>
              <w:rPr>
                <w:i/>
                <w:sz w:val="18"/>
                <w:szCs w:val="18"/>
              </w:rPr>
            </w:pPr>
          </w:p>
        </w:tc>
        <w:tc>
          <w:tcPr>
            <w:tcW w:w="456" w:type="dxa"/>
          </w:tcPr>
          <w:p w14:paraId="264E5F14" w14:textId="77777777" w:rsidR="00A75BD0" w:rsidRDefault="00A75BD0">
            <w:pPr>
              <w:jc w:val="center"/>
              <w:rPr>
                <w:i/>
                <w:sz w:val="18"/>
                <w:szCs w:val="18"/>
              </w:rPr>
            </w:pPr>
          </w:p>
        </w:tc>
        <w:tc>
          <w:tcPr>
            <w:tcW w:w="456" w:type="dxa"/>
          </w:tcPr>
          <w:p w14:paraId="27A251C4" w14:textId="77777777" w:rsidR="00A75BD0" w:rsidRDefault="00A75BD0">
            <w:pPr>
              <w:jc w:val="center"/>
              <w:rPr>
                <w:i/>
                <w:sz w:val="18"/>
                <w:szCs w:val="18"/>
              </w:rPr>
            </w:pPr>
          </w:p>
        </w:tc>
        <w:tc>
          <w:tcPr>
            <w:tcW w:w="456" w:type="dxa"/>
          </w:tcPr>
          <w:p w14:paraId="19279B55" w14:textId="77777777" w:rsidR="00A75BD0" w:rsidRDefault="00A75BD0">
            <w:pPr>
              <w:jc w:val="center"/>
              <w:rPr>
                <w:i/>
                <w:sz w:val="18"/>
                <w:szCs w:val="18"/>
              </w:rPr>
            </w:pPr>
          </w:p>
        </w:tc>
        <w:tc>
          <w:tcPr>
            <w:tcW w:w="456" w:type="dxa"/>
          </w:tcPr>
          <w:p w14:paraId="1F7EB82A" w14:textId="77777777" w:rsidR="00A75BD0" w:rsidRDefault="00A75BD0">
            <w:pPr>
              <w:jc w:val="center"/>
              <w:rPr>
                <w:i/>
                <w:sz w:val="18"/>
                <w:szCs w:val="18"/>
              </w:rPr>
            </w:pPr>
          </w:p>
        </w:tc>
        <w:tc>
          <w:tcPr>
            <w:tcW w:w="456" w:type="dxa"/>
          </w:tcPr>
          <w:p w14:paraId="5B6BE425" w14:textId="77777777" w:rsidR="00A75BD0" w:rsidRDefault="00A75BD0">
            <w:pPr>
              <w:jc w:val="center"/>
              <w:rPr>
                <w:i/>
                <w:sz w:val="18"/>
                <w:szCs w:val="18"/>
              </w:rPr>
            </w:pPr>
          </w:p>
        </w:tc>
        <w:tc>
          <w:tcPr>
            <w:tcW w:w="456" w:type="dxa"/>
          </w:tcPr>
          <w:p w14:paraId="551C44D2" w14:textId="77777777" w:rsidR="00A75BD0" w:rsidRDefault="00A75BD0">
            <w:pPr>
              <w:jc w:val="center"/>
              <w:rPr>
                <w:i/>
                <w:sz w:val="18"/>
                <w:szCs w:val="18"/>
              </w:rPr>
            </w:pPr>
          </w:p>
        </w:tc>
        <w:tc>
          <w:tcPr>
            <w:tcW w:w="456" w:type="dxa"/>
          </w:tcPr>
          <w:p w14:paraId="3888FCEA" w14:textId="77777777" w:rsidR="00A75BD0" w:rsidRDefault="00A75BD0">
            <w:pPr>
              <w:jc w:val="center"/>
              <w:rPr>
                <w:i/>
                <w:sz w:val="18"/>
                <w:szCs w:val="18"/>
              </w:rPr>
            </w:pPr>
          </w:p>
        </w:tc>
        <w:tc>
          <w:tcPr>
            <w:tcW w:w="456" w:type="dxa"/>
          </w:tcPr>
          <w:p w14:paraId="7A5B6190" w14:textId="77777777" w:rsidR="00A75BD0" w:rsidRDefault="00A75BD0">
            <w:pPr>
              <w:jc w:val="center"/>
              <w:rPr>
                <w:i/>
                <w:sz w:val="18"/>
                <w:szCs w:val="18"/>
              </w:rPr>
            </w:pPr>
          </w:p>
        </w:tc>
        <w:tc>
          <w:tcPr>
            <w:tcW w:w="456" w:type="dxa"/>
          </w:tcPr>
          <w:p w14:paraId="1EBAD93C" w14:textId="77777777" w:rsidR="00A75BD0" w:rsidRDefault="00A75BD0">
            <w:pPr>
              <w:jc w:val="center"/>
              <w:rPr>
                <w:i/>
                <w:sz w:val="18"/>
                <w:szCs w:val="18"/>
              </w:rPr>
            </w:pPr>
          </w:p>
        </w:tc>
        <w:tc>
          <w:tcPr>
            <w:tcW w:w="456" w:type="dxa"/>
          </w:tcPr>
          <w:p w14:paraId="012C9975" w14:textId="77777777" w:rsidR="00A75BD0" w:rsidRDefault="00A75BD0">
            <w:pPr>
              <w:jc w:val="center"/>
              <w:rPr>
                <w:i/>
                <w:sz w:val="18"/>
                <w:szCs w:val="18"/>
              </w:rPr>
            </w:pPr>
          </w:p>
        </w:tc>
        <w:tc>
          <w:tcPr>
            <w:tcW w:w="456" w:type="dxa"/>
          </w:tcPr>
          <w:p w14:paraId="2707DBFF" w14:textId="77777777" w:rsidR="00A75BD0" w:rsidRDefault="00A75BD0">
            <w:pPr>
              <w:jc w:val="center"/>
              <w:rPr>
                <w:i/>
                <w:sz w:val="18"/>
                <w:szCs w:val="18"/>
              </w:rPr>
            </w:pPr>
          </w:p>
        </w:tc>
        <w:tc>
          <w:tcPr>
            <w:tcW w:w="456" w:type="dxa"/>
          </w:tcPr>
          <w:p w14:paraId="738F8BD8" w14:textId="77777777" w:rsidR="00A75BD0" w:rsidRDefault="00A75BD0">
            <w:pPr>
              <w:jc w:val="center"/>
              <w:rPr>
                <w:i/>
                <w:sz w:val="18"/>
                <w:szCs w:val="18"/>
              </w:rPr>
            </w:pPr>
          </w:p>
        </w:tc>
        <w:tc>
          <w:tcPr>
            <w:tcW w:w="456" w:type="dxa"/>
          </w:tcPr>
          <w:p w14:paraId="64F4CA60" w14:textId="77777777" w:rsidR="00A75BD0" w:rsidRDefault="00A75BD0">
            <w:pPr>
              <w:jc w:val="center"/>
              <w:rPr>
                <w:i/>
                <w:sz w:val="18"/>
                <w:szCs w:val="18"/>
              </w:rPr>
            </w:pPr>
          </w:p>
        </w:tc>
        <w:tc>
          <w:tcPr>
            <w:tcW w:w="456" w:type="dxa"/>
          </w:tcPr>
          <w:p w14:paraId="1E04B27F" w14:textId="77777777" w:rsidR="00A75BD0" w:rsidRDefault="00A75BD0">
            <w:pPr>
              <w:jc w:val="center"/>
              <w:rPr>
                <w:sz w:val="18"/>
                <w:szCs w:val="18"/>
              </w:rPr>
            </w:pPr>
          </w:p>
        </w:tc>
      </w:tr>
      <w:tr w:rsidR="00A75BD0" w14:paraId="11D94472" w14:textId="77777777">
        <w:tc>
          <w:tcPr>
            <w:tcW w:w="1267" w:type="dxa"/>
          </w:tcPr>
          <w:p w14:paraId="06C878B2" w14:textId="77777777" w:rsidR="00A75BD0" w:rsidRDefault="009D4DA5">
            <w:pPr>
              <w:jc w:val="center"/>
              <w:rPr>
                <w:b/>
                <w:sz w:val="16"/>
                <w:szCs w:val="16"/>
              </w:rPr>
            </w:pPr>
            <w:r>
              <w:rPr>
                <w:b/>
                <w:sz w:val="16"/>
                <w:szCs w:val="16"/>
              </w:rPr>
              <w:t>Episode 7</w:t>
            </w:r>
          </w:p>
        </w:tc>
        <w:tc>
          <w:tcPr>
            <w:tcW w:w="456" w:type="dxa"/>
          </w:tcPr>
          <w:p w14:paraId="53CB02B4" w14:textId="77777777" w:rsidR="00A75BD0" w:rsidRDefault="00A75BD0">
            <w:pPr>
              <w:jc w:val="center"/>
              <w:rPr>
                <w:i/>
                <w:sz w:val="18"/>
                <w:szCs w:val="18"/>
              </w:rPr>
            </w:pPr>
          </w:p>
        </w:tc>
        <w:tc>
          <w:tcPr>
            <w:tcW w:w="456" w:type="dxa"/>
          </w:tcPr>
          <w:p w14:paraId="2E339C84" w14:textId="77777777" w:rsidR="00A75BD0" w:rsidRDefault="00A75BD0">
            <w:pPr>
              <w:jc w:val="center"/>
              <w:rPr>
                <w:b/>
                <w:sz w:val="18"/>
                <w:szCs w:val="18"/>
              </w:rPr>
            </w:pPr>
          </w:p>
        </w:tc>
        <w:tc>
          <w:tcPr>
            <w:tcW w:w="456" w:type="dxa"/>
          </w:tcPr>
          <w:p w14:paraId="0D0847BA" w14:textId="77777777" w:rsidR="00A75BD0" w:rsidRDefault="00A75BD0">
            <w:pPr>
              <w:jc w:val="center"/>
              <w:rPr>
                <w:i/>
                <w:sz w:val="18"/>
                <w:szCs w:val="18"/>
              </w:rPr>
            </w:pPr>
          </w:p>
        </w:tc>
        <w:tc>
          <w:tcPr>
            <w:tcW w:w="456" w:type="dxa"/>
          </w:tcPr>
          <w:p w14:paraId="11B460E5" w14:textId="77777777" w:rsidR="00A75BD0" w:rsidRDefault="00A75BD0">
            <w:pPr>
              <w:jc w:val="center"/>
              <w:rPr>
                <w:i/>
                <w:sz w:val="18"/>
                <w:szCs w:val="18"/>
              </w:rPr>
            </w:pPr>
          </w:p>
        </w:tc>
        <w:tc>
          <w:tcPr>
            <w:tcW w:w="456" w:type="dxa"/>
          </w:tcPr>
          <w:p w14:paraId="4FF5FF1E" w14:textId="77777777" w:rsidR="00A75BD0" w:rsidRDefault="00A75BD0">
            <w:pPr>
              <w:jc w:val="center"/>
              <w:rPr>
                <w:i/>
                <w:sz w:val="18"/>
                <w:szCs w:val="18"/>
              </w:rPr>
            </w:pPr>
          </w:p>
        </w:tc>
        <w:tc>
          <w:tcPr>
            <w:tcW w:w="456" w:type="dxa"/>
          </w:tcPr>
          <w:p w14:paraId="2B48F824" w14:textId="77777777" w:rsidR="00A75BD0" w:rsidRDefault="00A75BD0">
            <w:pPr>
              <w:jc w:val="center"/>
              <w:rPr>
                <w:i/>
                <w:sz w:val="18"/>
                <w:szCs w:val="18"/>
              </w:rPr>
            </w:pPr>
          </w:p>
        </w:tc>
        <w:tc>
          <w:tcPr>
            <w:tcW w:w="456" w:type="dxa"/>
          </w:tcPr>
          <w:p w14:paraId="2964598B" w14:textId="77777777" w:rsidR="00A75BD0" w:rsidRDefault="00A75BD0">
            <w:pPr>
              <w:jc w:val="center"/>
              <w:rPr>
                <w:i/>
                <w:sz w:val="18"/>
                <w:szCs w:val="18"/>
              </w:rPr>
            </w:pPr>
          </w:p>
        </w:tc>
        <w:tc>
          <w:tcPr>
            <w:tcW w:w="456" w:type="dxa"/>
          </w:tcPr>
          <w:p w14:paraId="09CBE285" w14:textId="77777777" w:rsidR="00A75BD0" w:rsidRDefault="00A75BD0">
            <w:pPr>
              <w:jc w:val="center"/>
              <w:rPr>
                <w:i/>
                <w:sz w:val="18"/>
                <w:szCs w:val="18"/>
              </w:rPr>
            </w:pPr>
          </w:p>
        </w:tc>
        <w:tc>
          <w:tcPr>
            <w:tcW w:w="456" w:type="dxa"/>
          </w:tcPr>
          <w:p w14:paraId="6DBDC48E" w14:textId="77777777" w:rsidR="00A75BD0" w:rsidRDefault="00A75BD0">
            <w:pPr>
              <w:jc w:val="center"/>
              <w:rPr>
                <w:i/>
                <w:sz w:val="18"/>
                <w:szCs w:val="18"/>
              </w:rPr>
            </w:pPr>
          </w:p>
        </w:tc>
        <w:tc>
          <w:tcPr>
            <w:tcW w:w="456" w:type="dxa"/>
          </w:tcPr>
          <w:p w14:paraId="242A7D4A" w14:textId="77777777" w:rsidR="00A75BD0" w:rsidRDefault="00A75BD0">
            <w:pPr>
              <w:jc w:val="center"/>
              <w:rPr>
                <w:i/>
                <w:sz w:val="18"/>
                <w:szCs w:val="18"/>
              </w:rPr>
            </w:pPr>
          </w:p>
        </w:tc>
        <w:tc>
          <w:tcPr>
            <w:tcW w:w="456" w:type="dxa"/>
          </w:tcPr>
          <w:p w14:paraId="0D15438C" w14:textId="77777777" w:rsidR="00A75BD0" w:rsidRDefault="00A75BD0">
            <w:pPr>
              <w:jc w:val="center"/>
              <w:rPr>
                <w:i/>
                <w:sz w:val="18"/>
                <w:szCs w:val="18"/>
              </w:rPr>
            </w:pPr>
          </w:p>
        </w:tc>
        <w:tc>
          <w:tcPr>
            <w:tcW w:w="456" w:type="dxa"/>
          </w:tcPr>
          <w:p w14:paraId="03CD062A" w14:textId="77777777" w:rsidR="00A75BD0" w:rsidRDefault="00A75BD0">
            <w:pPr>
              <w:jc w:val="center"/>
              <w:rPr>
                <w:i/>
                <w:sz w:val="18"/>
                <w:szCs w:val="18"/>
              </w:rPr>
            </w:pPr>
          </w:p>
        </w:tc>
        <w:tc>
          <w:tcPr>
            <w:tcW w:w="456" w:type="dxa"/>
          </w:tcPr>
          <w:p w14:paraId="6B72247D" w14:textId="77777777" w:rsidR="00A75BD0" w:rsidRDefault="00A75BD0">
            <w:pPr>
              <w:jc w:val="center"/>
              <w:rPr>
                <w:i/>
                <w:sz w:val="18"/>
                <w:szCs w:val="18"/>
              </w:rPr>
            </w:pPr>
          </w:p>
        </w:tc>
        <w:tc>
          <w:tcPr>
            <w:tcW w:w="456" w:type="dxa"/>
          </w:tcPr>
          <w:p w14:paraId="14EEC833" w14:textId="77777777" w:rsidR="00A75BD0" w:rsidRDefault="00A75BD0">
            <w:pPr>
              <w:jc w:val="center"/>
              <w:rPr>
                <w:i/>
                <w:sz w:val="18"/>
                <w:szCs w:val="18"/>
              </w:rPr>
            </w:pPr>
          </w:p>
        </w:tc>
        <w:tc>
          <w:tcPr>
            <w:tcW w:w="456" w:type="dxa"/>
          </w:tcPr>
          <w:p w14:paraId="2782F883" w14:textId="77777777" w:rsidR="00A75BD0" w:rsidRDefault="00A75BD0">
            <w:pPr>
              <w:jc w:val="center"/>
              <w:rPr>
                <w:i/>
                <w:sz w:val="18"/>
                <w:szCs w:val="18"/>
              </w:rPr>
            </w:pPr>
          </w:p>
        </w:tc>
        <w:tc>
          <w:tcPr>
            <w:tcW w:w="456" w:type="dxa"/>
          </w:tcPr>
          <w:p w14:paraId="668484F7" w14:textId="77777777" w:rsidR="00A75BD0" w:rsidRDefault="00A75BD0">
            <w:pPr>
              <w:jc w:val="center"/>
              <w:rPr>
                <w:i/>
                <w:sz w:val="18"/>
                <w:szCs w:val="18"/>
              </w:rPr>
            </w:pPr>
          </w:p>
        </w:tc>
        <w:tc>
          <w:tcPr>
            <w:tcW w:w="456" w:type="dxa"/>
          </w:tcPr>
          <w:p w14:paraId="04EDED99" w14:textId="77777777" w:rsidR="00A75BD0" w:rsidRDefault="00A75BD0">
            <w:pPr>
              <w:jc w:val="center"/>
              <w:rPr>
                <w:i/>
                <w:sz w:val="18"/>
                <w:szCs w:val="18"/>
              </w:rPr>
            </w:pPr>
          </w:p>
        </w:tc>
        <w:tc>
          <w:tcPr>
            <w:tcW w:w="456" w:type="dxa"/>
          </w:tcPr>
          <w:p w14:paraId="36C0AF58" w14:textId="77777777" w:rsidR="00A75BD0" w:rsidRDefault="00A75BD0">
            <w:pPr>
              <w:jc w:val="center"/>
              <w:rPr>
                <w:i/>
                <w:sz w:val="18"/>
                <w:szCs w:val="18"/>
              </w:rPr>
            </w:pPr>
          </w:p>
        </w:tc>
        <w:tc>
          <w:tcPr>
            <w:tcW w:w="456" w:type="dxa"/>
          </w:tcPr>
          <w:p w14:paraId="1913959E" w14:textId="77777777" w:rsidR="00A75BD0" w:rsidRDefault="00A75BD0">
            <w:pPr>
              <w:jc w:val="center"/>
              <w:rPr>
                <w:i/>
                <w:sz w:val="18"/>
                <w:szCs w:val="18"/>
              </w:rPr>
            </w:pPr>
          </w:p>
        </w:tc>
        <w:tc>
          <w:tcPr>
            <w:tcW w:w="456" w:type="dxa"/>
          </w:tcPr>
          <w:p w14:paraId="1F5F8F4A" w14:textId="77777777" w:rsidR="00A75BD0" w:rsidRDefault="00A75BD0">
            <w:pPr>
              <w:jc w:val="center"/>
              <w:rPr>
                <w:i/>
                <w:sz w:val="18"/>
                <w:szCs w:val="18"/>
              </w:rPr>
            </w:pPr>
          </w:p>
        </w:tc>
        <w:tc>
          <w:tcPr>
            <w:tcW w:w="456" w:type="dxa"/>
          </w:tcPr>
          <w:p w14:paraId="3008C8E6" w14:textId="77777777" w:rsidR="00A75BD0" w:rsidRDefault="00A75BD0">
            <w:pPr>
              <w:jc w:val="center"/>
              <w:rPr>
                <w:i/>
                <w:sz w:val="18"/>
                <w:szCs w:val="18"/>
              </w:rPr>
            </w:pPr>
          </w:p>
        </w:tc>
        <w:tc>
          <w:tcPr>
            <w:tcW w:w="456" w:type="dxa"/>
          </w:tcPr>
          <w:p w14:paraId="5C0FF02D" w14:textId="77777777" w:rsidR="00A75BD0" w:rsidRDefault="00A75BD0">
            <w:pPr>
              <w:jc w:val="center"/>
              <w:rPr>
                <w:i/>
                <w:sz w:val="18"/>
                <w:szCs w:val="18"/>
              </w:rPr>
            </w:pPr>
          </w:p>
        </w:tc>
        <w:tc>
          <w:tcPr>
            <w:tcW w:w="456" w:type="dxa"/>
          </w:tcPr>
          <w:p w14:paraId="6A7DD945" w14:textId="77777777" w:rsidR="00A75BD0" w:rsidRDefault="00A75BD0">
            <w:pPr>
              <w:jc w:val="center"/>
              <w:rPr>
                <w:i/>
                <w:sz w:val="18"/>
                <w:szCs w:val="18"/>
              </w:rPr>
            </w:pPr>
          </w:p>
        </w:tc>
        <w:tc>
          <w:tcPr>
            <w:tcW w:w="456" w:type="dxa"/>
          </w:tcPr>
          <w:p w14:paraId="79050D9F" w14:textId="77777777" w:rsidR="00A75BD0" w:rsidRDefault="00A75BD0">
            <w:pPr>
              <w:jc w:val="center"/>
              <w:rPr>
                <w:i/>
                <w:sz w:val="18"/>
                <w:szCs w:val="18"/>
              </w:rPr>
            </w:pPr>
          </w:p>
        </w:tc>
        <w:tc>
          <w:tcPr>
            <w:tcW w:w="456" w:type="dxa"/>
          </w:tcPr>
          <w:p w14:paraId="51E879A2" w14:textId="77777777" w:rsidR="00A75BD0" w:rsidRDefault="00A75BD0">
            <w:pPr>
              <w:jc w:val="center"/>
              <w:rPr>
                <w:i/>
                <w:sz w:val="18"/>
                <w:szCs w:val="18"/>
              </w:rPr>
            </w:pPr>
          </w:p>
        </w:tc>
        <w:tc>
          <w:tcPr>
            <w:tcW w:w="456" w:type="dxa"/>
          </w:tcPr>
          <w:p w14:paraId="5E8F12D7" w14:textId="77777777" w:rsidR="00A75BD0" w:rsidRDefault="00A75BD0">
            <w:pPr>
              <w:jc w:val="center"/>
              <w:rPr>
                <w:i/>
                <w:sz w:val="18"/>
                <w:szCs w:val="18"/>
              </w:rPr>
            </w:pPr>
          </w:p>
        </w:tc>
        <w:tc>
          <w:tcPr>
            <w:tcW w:w="456" w:type="dxa"/>
          </w:tcPr>
          <w:p w14:paraId="31D2BDE3" w14:textId="77777777" w:rsidR="00A75BD0" w:rsidRDefault="00A75BD0">
            <w:pPr>
              <w:jc w:val="center"/>
              <w:rPr>
                <w:i/>
                <w:sz w:val="18"/>
                <w:szCs w:val="18"/>
              </w:rPr>
            </w:pPr>
          </w:p>
        </w:tc>
        <w:tc>
          <w:tcPr>
            <w:tcW w:w="456" w:type="dxa"/>
          </w:tcPr>
          <w:p w14:paraId="7CCB89FF" w14:textId="77777777" w:rsidR="00A75BD0" w:rsidRDefault="00A75BD0">
            <w:pPr>
              <w:jc w:val="center"/>
              <w:rPr>
                <w:i/>
                <w:sz w:val="18"/>
                <w:szCs w:val="18"/>
              </w:rPr>
            </w:pPr>
          </w:p>
        </w:tc>
        <w:tc>
          <w:tcPr>
            <w:tcW w:w="456" w:type="dxa"/>
          </w:tcPr>
          <w:p w14:paraId="277A085B" w14:textId="77777777" w:rsidR="00A75BD0" w:rsidRDefault="00A75BD0">
            <w:pPr>
              <w:jc w:val="center"/>
              <w:rPr>
                <w:i/>
                <w:sz w:val="18"/>
                <w:szCs w:val="18"/>
              </w:rPr>
            </w:pPr>
          </w:p>
        </w:tc>
        <w:tc>
          <w:tcPr>
            <w:tcW w:w="456" w:type="dxa"/>
          </w:tcPr>
          <w:p w14:paraId="0F9F4355" w14:textId="77777777" w:rsidR="00A75BD0" w:rsidRDefault="00A75BD0">
            <w:pPr>
              <w:jc w:val="center"/>
              <w:rPr>
                <w:i/>
                <w:sz w:val="18"/>
                <w:szCs w:val="18"/>
              </w:rPr>
            </w:pPr>
          </w:p>
        </w:tc>
        <w:tc>
          <w:tcPr>
            <w:tcW w:w="456" w:type="dxa"/>
          </w:tcPr>
          <w:p w14:paraId="6BE6D72A" w14:textId="77777777" w:rsidR="00A75BD0" w:rsidRDefault="00A75BD0">
            <w:pPr>
              <w:jc w:val="center"/>
              <w:rPr>
                <w:sz w:val="18"/>
                <w:szCs w:val="18"/>
              </w:rPr>
            </w:pPr>
          </w:p>
        </w:tc>
      </w:tr>
      <w:tr w:rsidR="00A75BD0" w14:paraId="072EFBBC" w14:textId="77777777">
        <w:tc>
          <w:tcPr>
            <w:tcW w:w="1267" w:type="dxa"/>
            <w:tcBorders>
              <w:bottom w:val="single" w:sz="18" w:space="0" w:color="000000"/>
            </w:tcBorders>
          </w:tcPr>
          <w:p w14:paraId="57238954" w14:textId="77777777" w:rsidR="00A75BD0" w:rsidRDefault="009D4DA5">
            <w:pPr>
              <w:jc w:val="center"/>
              <w:rPr>
                <w:b/>
                <w:sz w:val="16"/>
                <w:szCs w:val="16"/>
              </w:rPr>
            </w:pPr>
            <w:r>
              <w:rPr>
                <w:b/>
                <w:sz w:val="16"/>
                <w:szCs w:val="16"/>
              </w:rPr>
              <w:t>Episode 8</w:t>
            </w:r>
          </w:p>
        </w:tc>
        <w:tc>
          <w:tcPr>
            <w:tcW w:w="456" w:type="dxa"/>
            <w:tcBorders>
              <w:bottom w:val="single" w:sz="18" w:space="0" w:color="000000"/>
            </w:tcBorders>
          </w:tcPr>
          <w:p w14:paraId="09583309" w14:textId="77777777" w:rsidR="00A75BD0" w:rsidRDefault="00A75BD0">
            <w:pPr>
              <w:jc w:val="center"/>
              <w:rPr>
                <w:i/>
                <w:sz w:val="18"/>
                <w:szCs w:val="18"/>
              </w:rPr>
            </w:pPr>
          </w:p>
        </w:tc>
        <w:tc>
          <w:tcPr>
            <w:tcW w:w="456" w:type="dxa"/>
            <w:tcBorders>
              <w:bottom w:val="single" w:sz="18" w:space="0" w:color="000000"/>
            </w:tcBorders>
          </w:tcPr>
          <w:p w14:paraId="17AA99BE" w14:textId="77777777" w:rsidR="00A75BD0" w:rsidRDefault="00A75BD0">
            <w:pPr>
              <w:jc w:val="center"/>
              <w:rPr>
                <w:b/>
                <w:sz w:val="18"/>
                <w:szCs w:val="18"/>
              </w:rPr>
            </w:pPr>
          </w:p>
        </w:tc>
        <w:tc>
          <w:tcPr>
            <w:tcW w:w="456" w:type="dxa"/>
            <w:tcBorders>
              <w:bottom w:val="single" w:sz="18" w:space="0" w:color="000000"/>
            </w:tcBorders>
          </w:tcPr>
          <w:p w14:paraId="06D8CDB7" w14:textId="77777777" w:rsidR="00A75BD0" w:rsidRDefault="00A75BD0">
            <w:pPr>
              <w:jc w:val="center"/>
              <w:rPr>
                <w:i/>
                <w:sz w:val="18"/>
                <w:szCs w:val="18"/>
              </w:rPr>
            </w:pPr>
          </w:p>
        </w:tc>
        <w:tc>
          <w:tcPr>
            <w:tcW w:w="456" w:type="dxa"/>
            <w:tcBorders>
              <w:bottom w:val="single" w:sz="18" w:space="0" w:color="000000"/>
            </w:tcBorders>
          </w:tcPr>
          <w:p w14:paraId="4658A817" w14:textId="77777777" w:rsidR="00A75BD0" w:rsidRDefault="00A75BD0">
            <w:pPr>
              <w:jc w:val="center"/>
              <w:rPr>
                <w:i/>
                <w:sz w:val="18"/>
                <w:szCs w:val="18"/>
              </w:rPr>
            </w:pPr>
          </w:p>
        </w:tc>
        <w:tc>
          <w:tcPr>
            <w:tcW w:w="456" w:type="dxa"/>
            <w:tcBorders>
              <w:bottom w:val="single" w:sz="18" w:space="0" w:color="000000"/>
            </w:tcBorders>
          </w:tcPr>
          <w:p w14:paraId="5235668D" w14:textId="77777777" w:rsidR="00A75BD0" w:rsidRDefault="00A75BD0">
            <w:pPr>
              <w:jc w:val="center"/>
              <w:rPr>
                <w:i/>
                <w:sz w:val="18"/>
                <w:szCs w:val="18"/>
              </w:rPr>
            </w:pPr>
          </w:p>
        </w:tc>
        <w:tc>
          <w:tcPr>
            <w:tcW w:w="456" w:type="dxa"/>
            <w:tcBorders>
              <w:bottom w:val="single" w:sz="18" w:space="0" w:color="000000"/>
            </w:tcBorders>
          </w:tcPr>
          <w:p w14:paraId="65AC1426" w14:textId="77777777" w:rsidR="00A75BD0" w:rsidRDefault="00A75BD0">
            <w:pPr>
              <w:jc w:val="center"/>
              <w:rPr>
                <w:i/>
                <w:sz w:val="18"/>
                <w:szCs w:val="18"/>
              </w:rPr>
            </w:pPr>
          </w:p>
        </w:tc>
        <w:tc>
          <w:tcPr>
            <w:tcW w:w="456" w:type="dxa"/>
            <w:tcBorders>
              <w:bottom w:val="single" w:sz="18" w:space="0" w:color="000000"/>
            </w:tcBorders>
          </w:tcPr>
          <w:p w14:paraId="158DE959" w14:textId="77777777" w:rsidR="00A75BD0" w:rsidRDefault="00A75BD0">
            <w:pPr>
              <w:jc w:val="center"/>
              <w:rPr>
                <w:i/>
                <w:sz w:val="18"/>
                <w:szCs w:val="18"/>
              </w:rPr>
            </w:pPr>
          </w:p>
        </w:tc>
        <w:tc>
          <w:tcPr>
            <w:tcW w:w="456" w:type="dxa"/>
            <w:tcBorders>
              <w:bottom w:val="single" w:sz="18" w:space="0" w:color="000000"/>
            </w:tcBorders>
          </w:tcPr>
          <w:p w14:paraId="003DB242" w14:textId="77777777" w:rsidR="00A75BD0" w:rsidRDefault="00A75BD0">
            <w:pPr>
              <w:jc w:val="center"/>
              <w:rPr>
                <w:i/>
                <w:sz w:val="18"/>
                <w:szCs w:val="18"/>
              </w:rPr>
            </w:pPr>
          </w:p>
        </w:tc>
        <w:tc>
          <w:tcPr>
            <w:tcW w:w="456" w:type="dxa"/>
            <w:tcBorders>
              <w:bottom w:val="single" w:sz="18" w:space="0" w:color="000000"/>
            </w:tcBorders>
          </w:tcPr>
          <w:p w14:paraId="59EC46EC" w14:textId="77777777" w:rsidR="00A75BD0" w:rsidRDefault="00A75BD0">
            <w:pPr>
              <w:jc w:val="center"/>
              <w:rPr>
                <w:i/>
                <w:sz w:val="18"/>
                <w:szCs w:val="18"/>
              </w:rPr>
            </w:pPr>
          </w:p>
        </w:tc>
        <w:tc>
          <w:tcPr>
            <w:tcW w:w="456" w:type="dxa"/>
            <w:tcBorders>
              <w:bottom w:val="single" w:sz="18" w:space="0" w:color="000000"/>
            </w:tcBorders>
          </w:tcPr>
          <w:p w14:paraId="5869A75F" w14:textId="77777777" w:rsidR="00A75BD0" w:rsidRDefault="00A75BD0">
            <w:pPr>
              <w:jc w:val="center"/>
              <w:rPr>
                <w:i/>
                <w:sz w:val="18"/>
                <w:szCs w:val="18"/>
              </w:rPr>
            </w:pPr>
          </w:p>
        </w:tc>
        <w:tc>
          <w:tcPr>
            <w:tcW w:w="456" w:type="dxa"/>
            <w:tcBorders>
              <w:bottom w:val="single" w:sz="18" w:space="0" w:color="000000"/>
            </w:tcBorders>
          </w:tcPr>
          <w:p w14:paraId="6846D55B" w14:textId="77777777" w:rsidR="00A75BD0" w:rsidRDefault="00A75BD0">
            <w:pPr>
              <w:jc w:val="center"/>
              <w:rPr>
                <w:i/>
                <w:sz w:val="18"/>
                <w:szCs w:val="18"/>
              </w:rPr>
            </w:pPr>
          </w:p>
        </w:tc>
        <w:tc>
          <w:tcPr>
            <w:tcW w:w="456" w:type="dxa"/>
            <w:tcBorders>
              <w:bottom w:val="single" w:sz="18" w:space="0" w:color="000000"/>
            </w:tcBorders>
          </w:tcPr>
          <w:p w14:paraId="0073E8D7" w14:textId="77777777" w:rsidR="00A75BD0" w:rsidRDefault="00A75BD0">
            <w:pPr>
              <w:jc w:val="center"/>
              <w:rPr>
                <w:i/>
                <w:sz w:val="18"/>
                <w:szCs w:val="18"/>
              </w:rPr>
            </w:pPr>
          </w:p>
        </w:tc>
        <w:tc>
          <w:tcPr>
            <w:tcW w:w="456" w:type="dxa"/>
            <w:tcBorders>
              <w:bottom w:val="single" w:sz="18" w:space="0" w:color="000000"/>
            </w:tcBorders>
          </w:tcPr>
          <w:p w14:paraId="79B83F57" w14:textId="77777777" w:rsidR="00A75BD0" w:rsidRDefault="00A75BD0">
            <w:pPr>
              <w:jc w:val="center"/>
              <w:rPr>
                <w:i/>
                <w:sz w:val="18"/>
                <w:szCs w:val="18"/>
              </w:rPr>
            </w:pPr>
          </w:p>
        </w:tc>
        <w:tc>
          <w:tcPr>
            <w:tcW w:w="456" w:type="dxa"/>
            <w:tcBorders>
              <w:bottom w:val="single" w:sz="18" w:space="0" w:color="000000"/>
            </w:tcBorders>
          </w:tcPr>
          <w:p w14:paraId="2C62F880" w14:textId="77777777" w:rsidR="00A75BD0" w:rsidRDefault="00A75BD0">
            <w:pPr>
              <w:jc w:val="center"/>
              <w:rPr>
                <w:i/>
                <w:sz w:val="18"/>
                <w:szCs w:val="18"/>
              </w:rPr>
            </w:pPr>
          </w:p>
        </w:tc>
        <w:tc>
          <w:tcPr>
            <w:tcW w:w="456" w:type="dxa"/>
            <w:tcBorders>
              <w:bottom w:val="single" w:sz="18" w:space="0" w:color="000000"/>
            </w:tcBorders>
          </w:tcPr>
          <w:p w14:paraId="6BE40A4F" w14:textId="77777777" w:rsidR="00A75BD0" w:rsidRDefault="00A75BD0">
            <w:pPr>
              <w:jc w:val="center"/>
              <w:rPr>
                <w:i/>
                <w:sz w:val="18"/>
                <w:szCs w:val="18"/>
              </w:rPr>
            </w:pPr>
          </w:p>
        </w:tc>
        <w:tc>
          <w:tcPr>
            <w:tcW w:w="456" w:type="dxa"/>
            <w:tcBorders>
              <w:bottom w:val="single" w:sz="18" w:space="0" w:color="000000"/>
            </w:tcBorders>
          </w:tcPr>
          <w:p w14:paraId="266C614D" w14:textId="77777777" w:rsidR="00A75BD0" w:rsidRDefault="00A75BD0">
            <w:pPr>
              <w:jc w:val="center"/>
              <w:rPr>
                <w:i/>
                <w:sz w:val="18"/>
                <w:szCs w:val="18"/>
              </w:rPr>
            </w:pPr>
          </w:p>
        </w:tc>
        <w:tc>
          <w:tcPr>
            <w:tcW w:w="456" w:type="dxa"/>
            <w:tcBorders>
              <w:bottom w:val="single" w:sz="18" w:space="0" w:color="000000"/>
            </w:tcBorders>
          </w:tcPr>
          <w:p w14:paraId="26DD9054" w14:textId="77777777" w:rsidR="00A75BD0" w:rsidRDefault="00A75BD0">
            <w:pPr>
              <w:jc w:val="center"/>
              <w:rPr>
                <w:i/>
                <w:sz w:val="18"/>
                <w:szCs w:val="18"/>
              </w:rPr>
            </w:pPr>
          </w:p>
        </w:tc>
        <w:tc>
          <w:tcPr>
            <w:tcW w:w="456" w:type="dxa"/>
            <w:tcBorders>
              <w:bottom w:val="single" w:sz="18" w:space="0" w:color="000000"/>
            </w:tcBorders>
          </w:tcPr>
          <w:p w14:paraId="1CF6B9B0" w14:textId="77777777" w:rsidR="00A75BD0" w:rsidRDefault="00A75BD0">
            <w:pPr>
              <w:jc w:val="center"/>
              <w:rPr>
                <w:i/>
                <w:sz w:val="18"/>
                <w:szCs w:val="18"/>
              </w:rPr>
            </w:pPr>
          </w:p>
        </w:tc>
        <w:tc>
          <w:tcPr>
            <w:tcW w:w="456" w:type="dxa"/>
            <w:tcBorders>
              <w:bottom w:val="single" w:sz="18" w:space="0" w:color="000000"/>
            </w:tcBorders>
          </w:tcPr>
          <w:p w14:paraId="403E603E" w14:textId="77777777" w:rsidR="00A75BD0" w:rsidRDefault="00A75BD0">
            <w:pPr>
              <w:jc w:val="center"/>
              <w:rPr>
                <w:i/>
                <w:sz w:val="18"/>
                <w:szCs w:val="18"/>
              </w:rPr>
            </w:pPr>
          </w:p>
        </w:tc>
        <w:tc>
          <w:tcPr>
            <w:tcW w:w="456" w:type="dxa"/>
            <w:tcBorders>
              <w:bottom w:val="single" w:sz="18" w:space="0" w:color="000000"/>
            </w:tcBorders>
          </w:tcPr>
          <w:p w14:paraId="33FEF30E" w14:textId="77777777" w:rsidR="00A75BD0" w:rsidRDefault="00A75BD0">
            <w:pPr>
              <w:jc w:val="center"/>
              <w:rPr>
                <w:i/>
                <w:sz w:val="18"/>
                <w:szCs w:val="18"/>
              </w:rPr>
            </w:pPr>
          </w:p>
        </w:tc>
        <w:tc>
          <w:tcPr>
            <w:tcW w:w="456" w:type="dxa"/>
            <w:tcBorders>
              <w:bottom w:val="single" w:sz="18" w:space="0" w:color="000000"/>
            </w:tcBorders>
          </w:tcPr>
          <w:p w14:paraId="56BF3355" w14:textId="77777777" w:rsidR="00A75BD0" w:rsidRDefault="00A75BD0">
            <w:pPr>
              <w:jc w:val="center"/>
              <w:rPr>
                <w:i/>
                <w:sz w:val="18"/>
                <w:szCs w:val="18"/>
              </w:rPr>
            </w:pPr>
          </w:p>
        </w:tc>
        <w:tc>
          <w:tcPr>
            <w:tcW w:w="456" w:type="dxa"/>
            <w:tcBorders>
              <w:bottom w:val="single" w:sz="18" w:space="0" w:color="000000"/>
            </w:tcBorders>
          </w:tcPr>
          <w:p w14:paraId="00211628" w14:textId="77777777" w:rsidR="00A75BD0" w:rsidRDefault="00A75BD0">
            <w:pPr>
              <w:jc w:val="center"/>
              <w:rPr>
                <w:i/>
                <w:sz w:val="18"/>
                <w:szCs w:val="18"/>
              </w:rPr>
            </w:pPr>
          </w:p>
        </w:tc>
        <w:tc>
          <w:tcPr>
            <w:tcW w:w="456" w:type="dxa"/>
            <w:tcBorders>
              <w:bottom w:val="single" w:sz="18" w:space="0" w:color="000000"/>
            </w:tcBorders>
          </w:tcPr>
          <w:p w14:paraId="105B9A95" w14:textId="77777777" w:rsidR="00A75BD0" w:rsidRDefault="00A75BD0">
            <w:pPr>
              <w:jc w:val="center"/>
              <w:rPr>
                <w:i/>
                <w:sz w:val="18"/>
                <w:szCs w:val="18"/>
              </w:rPr>
            </w:pPr>
          </w:p>
        </w:tc>
        <w:tc>
          <w:tcPr>
            <w:tcW w:w="456" w:type="dxa"/>
            <w:tcBorders>
              <w:bottom w:val="single" w:sz="18" w:space="0" w:color="000000"/>
            </w:tcBorders>
          </w:tcPr>
          <w:p w14:paraId="2545F364" w14:textId="77777777" w:rsidR="00A75BD0" w:rsidRDefault="00A75BD0">
            <w:pPr>
              <w:jc w:val="center"/>
              <w:rPr>
                <w:i/>
                <w:sz w:val="18"/>
                <w:szCs w:val="18"/>
              </w:rPr>
            </w:pPr>
          </w:p>
        </w:tc>
        <w:tc>
          <w:tcPr>
            <w:tcW w:w="456" w:type="dxa"/>
            <w:tcBorders>
              <w:bottom w:val="single" w:sz="18" w:space="0" w:color="000000"/>
            </w:tcBorders>
          </w:tcPr>
          <w:p w14:paraId="0796FA16" w14:textId="77777777" w:rsidR="00A75BD0" w:rsidRDefault="00A75BD0">
            <w:pPr>
              <w:jc w:val="center"/>
              <w:rPr>
                <w:i/>
                <w:sz w:val="18"/>
                <w:szCs w:val="18"/>
              </w:rPr>
            </w:pPr>
          </w:p>
        </w:tc>
        <w:tc>
          <w:tcPr>
            <w:tcW w:w="456" w:type="dxa"/>
            <w:tcBorders>
              <w:bottom w:val="single" w:sz="18" w:space="0" w:color="000000"/>
            </w:tcBorders>
          </w:tcPr>
          <w:p w14:paraId="4604D0DE" w14:textId="77777777" w:rsidR="00A75BD0" w:rsidRDefault="00A75BD0">
            <w:pPr>
              <w:jc w:val="center"/>
              <w:rPr>
                <w:i/>
                <w:sz w:val="18"/>
                <w:szCs w:val="18"/>
              </w:rPr>
            </w:pPr>
          </w:p>
        </w:tc>
        <w:tc>
          <w:tcPr>
            <w:tcW w:w="456" w:type="dxa"/>
            <w:tcBorders>
              <w:bottom w:val="single" w:sz="18" w:space="0" w:color="000000"/>
            </w:tcBorders>
          </w:tcPr>
          <w:p w14:paraId="41CDBB4D" w14:textId="77777777" w:rsidR="00A75BD0" w:rsidRDefault="00A75BD0">
            <w:pPr>
              <w:jc w:val="center"/>
              <w:rPr>
                <w:i/>
                <w:sz w:val="18"/>
                <w:szCs w:val="18"/>
              </w:rPr>
            </w:pPr>
          </w:p>
        </w:tc>
        <w:tc>
          <w:tcPr>
            <w:tcW w:w="456" w:type="dxa"/>
            <w:tcBorders>
              <w:bottom w:val="single" w:sz="18" w:space="0" w:color="000000"/>
            </w:tcBorders>
          </w:tcPr>
          <w:p w14:paraId="0C974CF9" w14:textId="77777777" w:rsidR="00A75BD0" w:rsidRDefault="00A75BD0">
            <w:pPr>
              <w:jc w:val="center"/>
              <w:rPr>
                <w:i/>
                <w:sz w:val="18"/>
                <w:szCs w:val="18"/>
              </w:rPr>
            </w:pPr>
          </w:p>
        </w:tc>
        <w:tc>
          <w:tcPr>
            <w:tcW w:w="456" w:type="dxa"/>
            <w:tcBorders>
              <w:bottom w:val="single" w:sz="18" w:space="0" w:color="000000"/>
            </w:tcBorders>
          </w:tcPr>
          <w:p w14:paraId="23709153" w14:textId="77777777" w:rsidR="00A75BD0" w:rsidRDefault="00A75BD0">
            <w:pPr>
              <w:jc w:val="center"/>
              <w:rPr>
                <w:i/>
                <w:sz w:val="18"/>
                <w:szCs w:val="18"/>
              </w:rPr>
            </w:pPr>
          </w:p>
        </w:tc>
        <w:tc>
          <w:tcPr>
            <w:tcW w:w="456" w:type="dxa"/>
            <w:tcBorders>
              <w:bottom w:val="single" w:sz="18" w:space="0" w:color="000000"/>
            </w:tcBorders>
          </w:tcPr>
          <w:p w14:paraId="3083DEB7" w14:textId="77777777" w:rsidR="00A75BD0" w:rsidRDefault="00A75BD0">
            <w:pPr>
              <w:jc w:val="center"/>
              <w:rPr>
                <w:i/>
                <w:sz w:val="18"/>
                <w:szCs w:val="18"/>
              </w:rPr>
            </w:pPr>
          </w:p>
        </w:tc>
        <w:tc>
          <w:tcPr>
            <w:tcW w:w="456" w:type="dxa"/>
            <w:tcBorders>
              <w:bottom w:val="single" w:sz="18" w:space="0" w:color="000000"/>
            </w:tcBorders>
          </w:tcPr>
          <w:p w14:paraId="4E03E9D9" w14:textId="77777777" w:rsidR="00A75BD0" w:rsidRDefault="00A75BD0">
            <w:pPr>
              <w:jc w:val="center"/>
              <w:rPr>
                <w:sz w:val="18"/>
                <w:szCs w:val="18"/>
              </w:rPr>
            </w:pPr>
          </w:p>
        </w:tc>
      </w:tr>
      <w:tr w:rsidR="00A75BD0" w14:paraId="3B736851" w14:textId="77777777">
        <w:tc>
          <w:tcPr>
            <w:tcW w:w="1267" w:type="dxa"/>
            <w:tcBorders>
              <w:top w:val="single" w:sz="18" w:space="0" w:color="000000"/>
              <w:left w:val="single" w:sz="18" w:space="0" w:color="000000"/>
              <w:bottom w:val="single" w:sz="18" w:space="0" w:color="000000"/>
              <w:right w:val="single" w:sz="18" w:space="0" w:color="000000"/>
            </w:tcBorders>
          </w:tcPr>
          <w:p w14:paraId="307BFCDE" w14:textId="77777777" w:rsidR="00A75BD0" w:rsidRDefault="009D4DA5">
            <w:pPr>
              <w:ind w:left="-15879" w:firstLine="15879"/>
              <w:jc w:val="center"/>
              <w:rPr>
                <w:b/>
              </w:rPr>
            </w:pPr>
            <w:r>
              <w:rPr>
                <w:b/>
              </w:rPr>
              <w:t>Total</w:t>
            </w:r>
          </w:p>
        </w:tc>
        <w:tc>
          <w:tcPr>
            <w:tcW w:w="456" w:type="dxa"/>
            <w:tcBorders>
              <w:top w:val="single" w:sz="18" w:space="0" w:color="000000"/>
              <w:left w:val="single" w:sz="18" w:space="0" w:color="000000"/>
              <w:bottom w:val="single" w:sz="18" w:space="0" w:color="000000"/>
              <w:right w:val="single" w:sz="18" w:space="0" w:color="000000"/>
            </w:tcBorders>
          </w:tcPr>
          <w:p w14:paraId="1FA09283"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6E217877"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15175502"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3B24F73B"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142D738B"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2EB65E8F"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25565D3B"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7D436CA2"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1EAB78A4"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333FF3BC"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37764A11"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50042EB0"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4B7FFED6"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08603CF9"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6F0FDF24"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4EF05B3E"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75E93A67"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0F727C4E"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36176B9E"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3B88577A"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7890BD4E"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63BB5F4E"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26442AD9"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202C95CF"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697BEAE8"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51EFB5C6"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741D518E"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23CEB29E"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4BA71EF4" w14:textId="77777777" w:rsidR="00A75BD0" w:rsidRDefault="00A75BD0">
            <w:pPr>
              <w:jc w:val="center"/>
              <w:rPr>
                <w:b/>
              </w:rPr>
            </w:pPr>
          </w:p>
        </w:tc>
        <w:tc>
          <w:tcPr>
            <w:tcW w:w="456" w:type="dxa"/>
            <w:tcBorders>
              <w:top w:val="single" w:sz="18" w:space="0" w:color="000000"/>
              <w:left w:val="single" w:sz="18" w:space="0" w:color="000000"/>
              <w:bottom w:val="single" w:sz="18" w:space="0" w:color="000000"/>
              <w:right w:val="single" w:sz="18" w:space="0" w:color="000000"/>
            </w:tcBorders>
          </w:tcPr>
          <w:p w14:paraId="655B6263" w14:textId="77777777" w:rsidR="00A75BD0" w:rsidRDefault="00A75BD0">
            <w:pPr>
              <w:jc w:val="center"/>
              <w:rPr>
                <w:b/>
                <w:color w:val="C0C0C0"/>
              </w:rPr>
            </w:pPr>
          </w:p>
        </w:tc>
        <w:tc>
          <w:tcPr>
            <w:tcW w:w="456" w:type="dxa"/>
            <w:tcBorders>
              <w:top w:val="single" w:sz="18" w:space="0" w:color="000000"/>
              <w:left w:val="single" w:sz="18" w:space="0" w:color="000000"/>
              <w:bottom w:val="single" w:sz="18" w:space="0" w:color="000000"/>
              <w:right w:val="single" w:sz="18" w:space="0" w:color="000000"/>
            </w:tcBorders>
          </w:tcPr>
          <w:p w14:paraId="7DDA5171" w14:textId="77777777" w:rsidR="00A75BD0" w:rsidRDefault="00A75BD0">
            <w:pPr>
              <w:jc w:val="center"/>
            </w:pPr>
          </w:p>
        </w:tc>
      </w:tr>
    </w:tbl>
    <w:p w14:paraId="5575C676" w14:textId="77777777" w:rsidR="00A75BD0" w:rsidRDefault="00A75BD0">
      <w:pPr>
        <w:jc w:val="center"/>
      </w:pPr>
    </w:p>
    <w:tbl>
      <w:tblPr>
        <w:tblStyle w:val="afa"/>
        <w:tblW w:w="15402" w:type="dxa"/>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6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A75BD0" w14:paraId="5EDE3598" w14:textId="77777777" w:rsidTr="0BA40188">
        <w:tc>
          <w:tcPr>
            <w:tcW w:w="126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224B914F" w14:textId="77777777" w:rsidR="00A75BD0" w:rsidRDefault="009D4DA5">
            <w:pPr>
              <w:jc w:val="center"/>
              <w:rPr>
                <w:b/>
                <w:sz w:val="18"/>
                <w:szCs w:val="18"/>
              </w:rPr>
            </w:pPr>
            <w:r>
              <w:rPr>
                <w:b/>
                <w:sz w:val="18"/>
                <w:szCs w:val="18"/>
              </w:rPr>
              <w:t>Jour</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48124184" w14:textId="77777777" w:rsidR="00A75BD0" w:rsidRDefault="009D4DA5">
            <w:pPr>
              <w:jc w:val="center"/>
              <w:rPr>
                <w:b/>
                <w:sz w:val="18"/>
                <w:szCs w:val="18"/>
              </w:rPr>
            </w:pPr>
            <w:r>
              <w:rPr>
                <w:b/>
                <w:sz w:val="18"/>
                <w:szCs w:val="18"/>
              </w:rPr>
              <w:t>1</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7F68392B" w14:textId="77777777" w:rsidR="00A75BD0" w:rsidRDefault="009D4DA5">
            <w:pPr>
              <w:jc w:val="center"/>
              <w:rPr>
                <w:b/>
                <w:sz w:val="18"/>
                <w:szCs w:val="18"/>
              </w:rPr>
            </w:pPr>
            <w:r>
              <w:rPr>
                <w:b/>
                <w:sz w:val="18"/>
                <w:szCs w:val="18"/>
              </w:rPr>
              <w:t>2</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C662D1E" w14:textId="77777777" w:rsidR="00A75BD0" w:rsidRDefault="009D4DA5">
            <w:pPr>
              <w:jc w:val="center"/>
              <w:rPr>
                <w:b/>
                <w:sz w:val="18"/>
                <w:szCs w:val="18"/>
              </w:rPr>
            </w:pPr>
            <w:r>
              <w:rPr>
                <w:b/>
                <w:sz w:val="18"/>
                <w:szCs w:val="18"/>
              </w:rPr>
              <w:t>3</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6DDB389" w14:textId="77777777" w:rsidR="00A75BD0" w:rsidRDefault="009D4DA5">
            <w:pPr>
              <w:jc w:val="center"/>
              <w:rPr>
                <w:b/>
                <w:sz w:val="18"/>
                <w:szCs w:val="18"/>
              </w:rPr>
            </w:pPr>
            <w:r>
              <w:rPr>
                <w:b/>
                <w:sz w:val="18"/>
                <w:szCs w:val="18"/>
              </w:rPr>
              <w:t>4</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123D6E3B" w14:textId="77777777" w:rsidR="00A75BD0" w:rsidRDefault="009D4DA5">
            <w:pPr>
              <w:jc w:val="center"/>
              <w:rPr>
                <w:b/>
                <w:sz w:val="18"/>
                <w:szCs w:val="18"/>
              </w:rPr>
            </w:pPr>
            <w:r>
              <w:rPr>
                <w:b/>
                <w:sz w:val="18"/>
                <w:szCs w:val="18"/>
              </w:rPr>
              <w:t>5</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9BA90A5" w14:textId="77777777" w:rsidR="00A75BD0" w:rsidRDefault="009D4DA5">
            <w:pPr>
              <w:jc w:val="center"/>
              <w:rPr>
                <w:b/>
                <w:sz w:val="18"/>
                <w:szCs w:val="18"/>
              </w:rPr>
            </w:pPr>
            <w:r>
              <w:rPr>
                <w:b/>
                <w:sz w:val="18"/>
                <w:szCs w:val="18"/>
              </w:rPr>
              <w:t>6</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654BE128" w14:textId="77777777" w:rsidR="00A75BD0" w:rsidRDefault="009D4DA5">
            <w:pPr>
              <w:jc w:val="center"/>
              <w:rPr>
                <w:b/>
                <w:sz w:val="18"/>
                <w:szCs w:val="18"/>
              </w:rPr>
            </w:pPr>
            <w:r>
              <w:rPr>
                <w:b/>
                <w:sz w:val="18"/>
                <w:szCs w:val="18"/>
              </w:rPr>
              <w:t>7</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2B09A5DB" w14:textId="77777777" w:rsidR="00A75BD0" w:rsidRDefault="009D4DA5">
            <w:pPr>
              <w:jc w:val="center"/>
              <w:rPr>
                <w:b/>
                <w:sz w:val="18"/>
                <w:szCs w:val="18"/>
              </w:rPr>
            </w:pPr>
            <w:r>
              <w:rPr>
                <w:b/>
                <w:sz w:val="18"/>
                <w:szCs w:val="18"/>
              </w:rPr>
              <w:t>8</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2C2C92BC" w14:textId="77777777" w:rsidR="00A75BD0" w:rsidRDefault="009D4DA5">
            <w:pPr>
              <w:jc w:val="center"/>
              <w:rPr>
                <w:b/>
                <w:sz w:val="18"/>
                <w:szCs w:val="18"/>
              </w:rPr>
            </w:pPr>
            <w:r>
              <w:rPr>
                <w:b/>
                <w:sz w:val="18"/>
                <w:szCs w:val="18"/>
              </w:rPr>
              <w:t>9</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4505F769" w14:textId="77777777" w:rsidR="00A75BD0" w:rsidRDefault="009D4DA5">
            <w:pPr>
              <w:jc w:val="center"/>
              <w:rPr>
                <w:b/>
                <w:sz w:val="18"/>
                <w:szCs w:val="18"/>
              </w:rPr>
            </w:pPr>
            <w:r>
              <w:rPr>
                <w:b/>
                <w:sz w:val="18"/>
                <w:szCs w:val="18"/>
              </w:rPr>
              <w:t>10</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10F14B11" w14:textId="77777777" w:rsidR="00A75BD0" w:rsidRDefault="009D4DA5">
            <w:pPr>
              <w:jc w:val="center"/>
              <w:rPr>
                <w:b/>
                <w:sz w:val="18"/>
                <w:szCs w:val="18"/>
              </w:rPr>
            </w:pPr>
            <w:r>
              <w:rPr>
                <w:b/>
                <w:sz w:val="18"/>
                <w:szCs w:val="18"/>
              </w:rPr>
              <w:t>11</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13D98F70" w14:textId="77777777" w:rsidR="00A75BD0" w:rsidRDefault="009D4DA5">
            <w:pPr>
              <w:jc w:val="center"/>
              <w:rPr>
                <w:b/>
                <w:sz w:val="18"/>
                <w:szCs w:val="18"/>
              </w:rPr>
            </w:pPr>
            <w:r>
              <w:rPr>
                <w:b/>
                <w:sz w:val="18"/>
                <w:szCs w:val="18"/>
              </w:rPr>
              <w:t>12</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1C608160" w14:textId="77777777" w:rsidR="00A75BD0" w:rsidRDefault="009D4DA5">
            <w:pPr>
              <w:jc w:val="center"/>
              <w:rPr>
                <w:b/>
                <w:sz w:val="18"/>
                <w:szCs w:val="18"/>
              </w:rPr>
            </w:pPr>
            <w:r>
              <w:rPr>
                <w:b/>
                <w:sz w:val="18"/>
                <w:szCs w:val="18"/>
              </w:rPr>
              <w:t>13</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3D4FF081" w14:textId="77777777" w:rsidR="00A75BD0" w:rsidRDefault="009D4DA5">
            <w:pPr>
              <w:jc w:val="center"/>
              <w:rPr>
                <w:b/>
                <w:sz w:val="18"/>
                <w:szCs w:val="18"/>
              </w:rPr>
            </w:pPr>
            <w:r>
              <w:rPr>
                <w:b/>
                <w:sz w:val="18"/>
                <w:szCs w:val="18"/>
              </w:rPr>
              <w:t>14</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3ECA5A48" w14:textId="77777777" w:rsidR="00A75BD0" w:rsidRDefault="009D4DA5">
            <w:pPr>
              <w:jc w:val="center"/>
              <w:rPr>
                <w:b/>
                <w:sz w:val="18"/>
                <w:szCs w:val="18"/>
              </w:rPr>
            </w:pPr>
            <w:r>
              <w:rPr>
                <w:b/>
                <w:sz w:val="18"/>
                <w:szCs w:val="18"/>
              </w:rPr>
              <w:t>15</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73F658B1" w14:textId="77777777" w:rsidR="00A75BD0" w:rsidRDefault="009D4DA5">
            <w:pPr>
              <w:jc w:val="center"/>
              <w:rPr>
                <w:b/>
                <w:sz w:val="18"/>
                <w:szCs w:val="18"/>
              </w:rPr>
            </w:pPr>
            <w:r>
              <w:rPr>
                <w:b/>
                <w:sz w:val="18"/>
                <w:szCs w:val="18"/>
              </w:rPr>
              <w:t>16</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4CB564A7" w14:textId="77777777" w:rsidR="00A75BD0" w:rsidRDefault="009D4DA5">
            <w:pPr>
              <w:jc w:val="center"/>
              <w:rPr>
                <w:b/>
                <w:sz w:val="18"/>
                <w:szCs w:val="18"/>
              </w:rPr>
            </w:pPr>
            <w:r>
              <w:rPr>
                <w:b/>
                <w:sz w:val="18"/>
                <w:szCs w:val="18"/>
              </w:rPr>
              <w:t>17</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65E3394D" w14:textId="77777777" w:rsidR="00A75BD0" w:rsidRDefault="009D4DA5">
            <w:pPr>
              <w:jc w:val="center"/>
              <w:rPr>
                <w:b/>
                <w:sz w:val="18"/>
                <w:szCs w:val="18"/>
              </w:rPr>
            </w:pPr>
            <w:r>
              <w:rPr>
                <w:b/>
                <w:sz w:val="18"/>
                <w:szCs w:val="18"/>
              </w:rPr>
              <w:t>18</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91A289F" w14:textId="77777777" w:rsidR="00A75BD0" w:rsidRDefault="009D4DA5">
            <w:pPr>
              <w:jc w:val="center"/>
              <w:rPr>
                <w:b/>
                <w:sz w:val="18"/>
                <w:szCs w:val="18"/>
              </w:rPr>
            </w:pPr>
            <w:r>
              <w:rPr>
                <w:b/>
                <w:sz w:val="18"/>
                <w:szCs w:val="18"/>
              </w:rPr>
              <w:t>19</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B9539F2" w14:textId="77777777" w:rsidR="00A75BD0" w:rsidRDefault="009D4DA5">
            <w:pPr>
              <w:jc w:val="center"/>
              <w:rPr>
                <w:b/>
                <w:sz w:val="18"/>
                <w:szCs w:val="18"/>
              </w:rPr>
            </w:pPr>
            <w:r>
              <w:rPr>
                <w:b/>
                <w:sz w:val="18"/>
                <w:szCs w:val="18"/>
              </w:rPr>
              <w:t>20</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06DCDF1F" w14:textId="77777777" w:rsidR="00A75BD0" w:rsidRDefault="009D4DA5">
            <w:pPr>
              <w:jc w:val="center"/>
              <w:rPr>
                <w:b/>
                <w:sz w:val="18"/>
                <w:szCs w:val="18"/>
              </w:rPr>
            </w:pPr>
            <w:r>
              <w:rPr>
                <w:b/>
                <w:sz w:val="18"/>
                <w:szCs w:val="18"/>
              </w:rPr>
              <w:t>21</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62685272" w14:textId="77777777" w:rsidR="00A75BD0" w:rsidRDefault="009D4DA5">
            <w:pPr>
              <w:jc w:val="center"/>
              <w:rPr>
                <w:b/>
                <w:sz w:val="18"/>
                <w:szCs w:val="18"/>
              </w:rPr>
            </w:pPr>
            <w:r>
              <w:rPr>
                <w:b/>
                <w:sz w:val="18"/>
                <w:szCs w:val="18"/>
              </w:rPr>
              <w:t>22</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72FC35E" w14:textId="77777777" w:rsidR="00A75BD0" w:rsidRDefault="009D4DA5">
            <w:pPr>
              <w:jc w:val="center"/>
              <w:rPr>
                <w:b/>
                <w:sz w:val="18"/>
                <w:szCs w:val="18"/>
              </w:rPr>
            </w:pPr>
            <w:r>
              <w:rPr>
                <w:b/>
                <w:sz w:val="18"/>
                <w:szCs w:val="18"/>
              </w:rPr>
              <w:t>23</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E66D2D3" w14:textId="77777777" w:rsidR="00A75BD0" w:rsidRDefault="009D4DA5">
            <w:pPr>
              <w:jc w:val="center"/>
              <w:rPr>
                <w:b/>
                <w:sz w:val="18"/>
                <w:szCs w:val="18"/>
              </w:rPr>
            </w:pPr>
            <w:r>
              <w:rPr>
                <w:b/>
                <w:sz w:val="18"/>
                <w:szCs w:val="18"/>
              </w:rPr>
              <w:t>24</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29B2D526" w14:textId="77777777" w:rsidR="00A75BD0" w:rsidRDefault="009D4DA5">
            <w:pPr>
              <w:jc w:val="center"/>
              <w:rPr>
                <w:b/>
                <w:sz w:val="18"/>
                <w:szCs w:val="18"/>
              </w:rPr>
            </w:pPr>
            <w:r>
              <w:rPr>
                <w:b/>
                <w:sz w:val="18"/>
                <w:szCs w:val="18"/>
              </w:rPr>
              <w:t>25</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4CA7ED3E" w14:textId="77777777" w:rsidR="00A75BD0" w:rsidRDefault="009D4DA5">
            <w:pPr>
              <w:jc w:val="center"/>
              <w:rPr>
                <w:b/>
                <w:sz w:val="18"/>
                <w:szCs w:val="18"/>
              </w:rPr>
            </w:pPr>
            <w:r>
              <w:rPr>
                <w:b/>
                <w:sz w:val="18"/>
                <w:szCs w:val="18"/>
              </w:rPr>
              <w:t>26</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61454694" w14:textId="77777777" w:rsidR="00A75BD0" w:rsidRDefault="009D4DA5">
            <w:pPr>
              <w:jc w:val="center"/>
              <w:rPr>
                <w:b/>
                <w:sz w:val="18"/>
                <w:szCs w:val="18"/>
              </w:rPr>
            </w:pPr>
            <w:r>
              <w:rPr>
                <w:b/>
                <w:sz w:val="18"/>
                <w:szCs w:val="18"/>
              </w:rPr>
              <w:t>27</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39B17A8D" w14:textId="77777777" w:rsidR="00A75BD0" w:rsidRDefault="009D4DA5">
            <w:pPr>
              <w:jc w:val="center"/>
              <w:rPr>
                <w:b/>
                <w:sz w:val="18"/>
                <w:szCs w:val="18"/>
              </w:rPr>
            </w:pPr>
            <w:r>
              <w:rPr>
                <w:b/>
                <w:sz w:val="18"/>
                <w:szCs w:val="18"/>
              </w:rPr>
              <w:t>28</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68B74471" w14:textId="77777777" w:rsidR="00A75BD0" w:rsidRDefault="009D4DA5">
            <w:pPr>
              <w:jc w:val="center"/>
              <w:rPr>
                <w:b/>
                <w:sz w:val="18"/>
                <w:szCs w:val="18"/>
              </w:rPr>
            </w:pPr>
            <w:r>
              <w:rPr>
                <w:b/>
                <w:sz w:val="18"/>
                <w:szCs w:val="18"/>
              </w:rPr>
              <w:t>29</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59C99F5B" w14:textId="77777777" w:rsidR="00A75BD0" w:rsidRDefault="009D4DA5">
            <w:pPr>
              <w:jc w:val="center"/>
              <w:rPr>
                <w:b/>
                <w:sz w:val="18"/>
                <w:szCs w:val="18"/>
              </w:rPr>
            </w:pPr>
            <w:r>
              <w:rPr>
                <w:b/>
                <w:sz w:val="18"/>
                <w:szCs w:val="18"/>
              </w:rPr>
              <w:t>30</w:t>
            </w:r>
          </w:p>
        </w:tc>
        <w:tc>
          <w:tcPr>
            <w:tcW w:w="4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26F34D03" w14:textId="77777777" w:rsidR="00A75BD0" w:rsidRDefault="009D4DA5">
            <w:pPr>
              <w:jc w:val="center"/>
              <w:rPr>
                <w:b/>
                <w:sz w:val="18"/>
                <w:szCs w:val="18"/>
              </w:rPr>
            </w:pPr>
            <w:r>
              <w:rPr>
                <w:b/>
                <w:sz w:val="18"/>
                <w:szCs w:val="18"/>
              </w:rPr>
              <w:t>31</w:t>
            </w:r>
          </w:p>
        </w:tc>
      </w:tr>
      <w:tr w:rsidR="00A75BD0" w14:paraId="47EF7EDC" w14:textId="77777777" w:rsidTr="0BA40188">
        <w:tc>
          <w:tcPr>
            <w:tcW w:w="1267"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0DBAE954" w14:textId="77777777" w:rsidR="00A75BD0" w:rsidRDefault="009D4DA5">
            <w:pPr>
              <w:jc w:val="center"/>
              <w:rPr>
                <w:b/>
                <w:sz w:val="16"/>
                <w:szCs w:val="16"/>
              </w:rPr>
            </w:pPr>
            <w:r>
              <w:rPr>
                <w:b/>
                <w:sz w:val="16"/>
                <w:szCs w:val="16"/>
              </w:rPr>
              <w:t>Transfusion</w:t>
            </w:r>
          </w:p>
          <w:p w14:paraId="5695FE93" w14:textId="77777777" w:rsidR="00A75BD0" w:rsidRDefault="009D4DA5">
            <w:pPr>
              <w:jc w:val="center"/>
              <w:rPr>
                <w:b/>
                <w:sz w:val="16"/>
                <w:szCs w:val="16"/>
              </w:rPr>
            </w:pPr>
            <w:r>
              <w:rPr>
                <w:b/>
                <w:sz w:val="16"/>
                <w:szCs w:val="16"/>
              </w:rPr>
              <w:t>Nb CGR</w:t>
            </w: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53543D0B"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1B6C18F"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3B2C80BD"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35539AD1"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3671AB1"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0577DF2E"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2B9AA3F"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07C5181E"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2F3AF996"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0485BC4C"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19956A0E"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141268A4"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21450EFB"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715C7DE2"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04564AFB"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7D8726AB"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44E363C2"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276EA35"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0703E034"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3ABCE26A"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7B46C6D5"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546E0C6"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B29EE75"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42ADF93D"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273F6105"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4579B7B6"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989921D"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5DB749EF"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5B9C4923" w14:textId="77777777" w:rsidR="00A75BD0" w:rsidRDefault="00A75BD0">
            <w:pPr>
              <w:jc w:val="center"/>
              <w:rPr>
                <w:b/>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15AEB276" w14:textId="77777777" w:rsidR="00A75BD0" w:rsidRDefault="00A75BD0">
            <w:pPr>
              <w:jc w:val="center"/>
              <w:rPr>
                <w:b/>
                <w:color w:val="C0C0C0"/>
              </w:rPr>
            </w:pPr>
          </w:p>
        </w:tc>
        <w:tc>
          <w:tcPr>
            <w:tcW w:w="456"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A011E2C" w14:textId="77777777" w:rsidR="00A75BD0" w:rsidRDefault="00A75BD0">
            <w:pPr>
              <w:jc w:val="center"/>
            </w:pPr>
          </w:p>
        </w:tc>
      </w:tr>
      <w:tr w:rsidR="00A75BD0" w14:paraId="12E37BA6" w14:textId="77777777" w:rsidTr="0BA40188">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2A7F2" w14:textId="77777777" w:rsidR="00A75BD0" w:rsidRDefault="009D4DA5">
            <w:pPr>
              <w:ind w:left="-15879" w:firstLine="15879"/>
              <w:jc w:val="center"/>
              <w:rPr>
                <w:b/>
                <w:sz w:val="16"/>
                <w:szCs w:val="16"/>
              </w:rPr>
            </w:pPr>
            <w:r>
              <w:rPr>
                <w:b/>
                <w:sz w:val="16"/>
                <w:szCs w:val="16"/>
              </w:rPr>
              <w:t>Fer IV (mg)</w:t>
            </w: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1C995"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F045D"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473635"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76199"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81C52"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36BA7"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5B4DE"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C88244"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A2778"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090C58"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B7F6E"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C49BA5"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3C602"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015FD"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86DE3"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9C9BA5"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BDE48"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5B6C17"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4E729D"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FDD14"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1459E"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8BA41"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E331E"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BE822"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1518D9"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71505"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9E5900"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C93C54"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C2881"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A8300" w14:textId="77777777" w:rsidR="00A75BD0" w:rsidRDefault="00A75BD0">
            <w:pPr>
              <w:jc w:val="center"/>
              <w:rPr>
                <w:b/>
                <w:color w:val="C0C0C0"/>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90824D" w14:textId="77777777" w:rsidR="00A75BD0" w:rsidRDefault="00A75BD0">
            <w:pPr>
              <w:jc w:val="center"/>
            </w:pPr>
          </w:p>
        </w:tc>
      </w:tr>
      <w:tr w:rsidR="00A75BD0" w14:paraId="6865A412" w14:textId="77777777" w:rsidTr="0BA40188">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0B4135" w14:textId="77777777" w:rsidR="00A75BD0" w:rsidRDefault="009D4DA5" w:rsidP="0BA40188">
            <w:pPr>
              <w:ind w:left="-15879" w:firstLine="15879"/>
              <w:jc w:val="center"/>
              <w:rPr>
                <w:b/>
                <w:bCs/>
                <w:sz w:val="16"/>
                <w:szCs w:val="16"/>
                <w:lang w:val="fr-FR"/>
              </w:rPr>
            </w:pPr>
            <w:r w:rsidRPr="0BA40188">
              <w:rPr>
                <w:b/>
                <w:bCs/>
                <w:sz w:val="16"/>
                <w:szCs w:val="16"/>
                <w:lang w:val="fr-FR"/>
              </w:rPr>
              <w:t>Hemoglobine</w:t>
            </w: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D1670C"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6AF433"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27353F"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2A14F"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30B11"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C944C"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C1EAAB"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491C4"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68D88E"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89CF2"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B9D630"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AED52"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4F1C43"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BF607"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A5385"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2DB3A"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1059C"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0D45E"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BFD172"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D2DE34"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A337ED"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A53A12"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B17624"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0E265B"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264D2"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2BE7C"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9247A0"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2C840"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9144B" w14:textId="77777777" w:rsidR="00A75BD0" w:rsidRDefault="00A75BD0">
            <w:pPr>
              <w:jc w:val="center"/>
              <w:rPr>
                <w:b/>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6C614E" w14:textId="77777777" w:rsidR="00A75BD0" w:rsidRDefault="00A75BD0">
            <w:pPr>
              <w:jc w:val="center"/>
              <w:rPr>
                <w:b/>
                <w:color w:val="C0C0C0"/>
              </w:rPr>
            </w:pPr>
          </w:p>
        </w:tc>
        <w:tc>
          <w:tcPr>
            <w:tcW w:w="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DC1EE" w14:textId="77777777" w:rsidR="00A75BD0" w:rsidRDefault="00A75BD0">
            <w:pPr>
              <w:jc w:val="center"/>
            </w:pPr>
          </w:p>
        </w:tc>
      </w:tr>
    </w:tbl>
    <w:p w14:paraId="1E5433DD" w14:textId="77777777" w:rsidR="00A75BD0" w:rsidRDefault="00A75BD0">
      <w:pPr>
        <w:jc w:val="center"/>
        <w:rPr>
          <w:rFonts w:ascii="Arial" w:eastAsia="Arial" w:hAnsi="Arial" w:cs="Arial"/>
        </w:rPr>
      </w:pPr>
    </w:p>
    <w:p w14:paraId="1F56594A" w14:textId="77777777" w:rsidR="00A75BD0" w:rsidRDefault="009D4DA5">
      <w:pPr>
        <w:jc w:val="center"/>
        <w:rPr>
          <w:rFonts w:ascii="Arial" w:eastAsia="Arial" w:hAnsi="Arial" w:cs="Arial"/>
        </w:rPr>
      </w:pPr>
      <w:r>
        <w:rPr>
          <w:rFonts w:ascii="Arial" w:eastAsia="Arial" w:hAnsi="Arial" w:cs="Arial"/>
        </w:rPr>
        <w:t>Noter la liste des évènements que vous jugez importants survenus pendant cette période, la date de début et de fin, la prise d’autres traitements :</w:t>
      </w:r>
    </w:p>
    <w:tbl>
      <w:tblPr>
        <w:tblStyle w:val="afb"/>
        <w:tblW w:w="14144" w:type="dxa"/>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11059"/>
      </w:tblGrid>
      <w:tr w:rsidR="00A75BD0" w14:paraId="4C0480D4" w14:textId="77777777">
        <w:tc>
          <w:tcPr>
            <w:tcW w:w="3085" w:type="dxa"/>
          </w:tcPr>
          <w:p w14:paraId="4EAC219B" w14:textId="77777777" w:rsidR="00A75BD0" w:rsidRDefault="009D4DA5">
            <w:pPr>
              <w:jc w:val="center"/>
            </w:pPr>
            <w:r>
              <w:t>Date :</w:t>
            </w:r>
          </w:p>
        </w:tc>
        <w:tc>
          <w:tcPr>
            <w:tcW w:w="11059" w:type="dxa"/>
          </w:tcPr>
          <w:p w14:paraId="3C921A37" w14:textId="77777777" w:rsidR="00A75BD0" w:rsidRDefault="009D4DA5">
            <w:pPr>
              <w:jc w:val="center"/>
            </w:pPr>
            <w:r>
              <w:t xml:space="preserve">     Commentaire :</w:t>
            </w:r>
          </w:p>
        </w:tc>
      </w:tr>
      <w:tr w:rsidR="00A75BD0" w14:paraId="3E634D32" w14:textId="77777777">
        <w:tc>
          <w:tcPr>
            <w:tcW w:w="3085" w:type="dxa"/>
          </w:tcPr>
          <w:p w14:paraId="63CF1E7A" w14:textId="77777777" w:rsidR="00A75BD0" w:rsidRDefault="00A75BD0">
            <w:pPr>
              <w:jc w:val="center"/>
              <w:rPr>
                <w:sz w:val="12"/>
                <w:szCs w:val="12"/>
              </w:rPr>
            </w:pPr>
          </w:p>
          <w:p w14:paraId="1BD129E1" w14:textId="77777777" w:rsidR="00A75BD0" w:rsidRDefault="00A75BD0">
            <w:pPr>
              <w:jc w:val="center"/>
              <w:rPr>
                <w:sz w:val="12"/>
                <w:szCs w:val="12"/>
              </w:rPr>
            </w:pPr>
          </w:p>
        </w:tc>
        <w:tc>
          <w:tcPr>
            <w:tcW w:w="11059" w:type="dxa"/>
          </w:tcPr>
          <w:p w14:paraId="4240645F" w14:textId="77777777" w:rsidR="00A75BD0" w:rsidRDefault="00A75BD0">
            <w:pPr>
              <w:jc w:val="center"/>
              <w:rPr>
                <w:sz w:val="12"/>
                <w:szCs w:val="12"/>
              </w:rPr>
            </w:pPr>
          </w:p>
          <w:p w14:paraId="3B575CDD" w14:textId="77777777" w:rsidR="00A75BD0" w:rsidRDefault="00A75BD0">
            <w:pPr>
              <w:jc w:val="center"/>
              <w:rPr>
                <w:sz w:val="12"/>
                <w:szCs w:val="12"/>
              </w:rPr>
            </w:pPr>
          </w:p>
          <w:p w14:paraId="219267A6" w14:textId="77777777" w:rsidR="00A75BD0" w:rsidRDefault="00A75BD0">
            <w:pPr>
              <w:jc w:val="center"/>
              <w:rPr>
                <w:sz w:val="12"/>
                <w:szCs w:val="12"/>
              </w:rPr>
            </w:pPr>
          </w:p>
          <w:p w14:paraId="089F0B39" w14:textId="77777777" w:rsidR="00A75BD0" w:rsidRDefault="00A75BD0">
            <w:pPr>
              <w:jc w:val="center"/>
              <w:rPr>
                <w:sz w:val="12"/>
                <w:szCs w:val="12"/>
              </w:rPr>
            </w:pPr>
          </w:p>
          <w:p w14:paraId="587E3ADC" w14:textId="77777777" w:rsidR="00A75BD0" w:rsidRDefault="00A75BD0">
            <w:pPr>
              <w:jc w:val="center"/>
              <w:rPr>
                <w:sz w:val="12"/>
                <w:szCs w:val="12"/>
              </w:rPr>
            </w:pPr>
          </w:p>
          <w:p w14:paraId="7DA4E9C0" w14:textId="77777777" w:rsidR="00A75BD0" w:rsidRDefault="00A75BD0">
            <w:pPr>
              <w:jc w:val="center"/>
              <w:rPr>
                <w:sz w:val="12"/>
                <w:szCs w:val="12"/>
              </w:rPr>
            </w:pPr>
          </w:p>
          <w:p w14:paraId="3AA8772B" w14:textId="77777777" w:rsidR="00A75BD0" w:rsidRDefault="00A75BD0">
            <w:pPr>
              <w:jc w:val="center"/>
              <w:rPr>
                <w:sz w:val="12"/>
                <w:szCs w:val="12"/>
              </w:rPr>
            </w:pPr>
          </w:p>
          <w:p w14:paraId="6BF06F61" w14:textId="77777777" w:rsidR="00A75BD0" w:rsidRDefault="00A75BD0">
            <w:pPr>
              <w:jc w:val="center"/>
              <w:rPr>
                <w:sz w:val="12"/>
                <w:szCs w:val="12"/>
              </w:rPr>
            </w:pPr>
          </w:p>
          <w:p w14:paraId="01EDD660" w14:textId="77777777" w:rsidR="00A75BD0" w:rsidRDefault="00A75BD0">
            <w:pPr>
              <w:jc w:val="center"/>
              <w:rPr>
                <w:sz w:val="12"/>
                <w:szCs w:val="12"/>
              </w:rPr>
            </w:pPr>
          </w:p>
          <w:p w14:paraId="1C45D75A" w14:textId="77777777" w:rsidR="00A75BD0" w:rsidRDefault="00A75BD0">
            <w:pPr>
              <w:jc w:val="center"/>
              <w:rPr>
                <w:sz w:val="12"/>
                <w:szCs w:val="12"/>
              </w:rPr>
            </w:pPr>
          </w:p>
        </w:tc>
      </w:tr>
    </w:tbl>
    <w:p w14:paraId="02955C2C" w14:textId="77777777" w:rsidR="00A75BD0" w:rsidRDefault="009D4DA5">
      <w:pPr>
        <w:spacing w:after="120" w:line="240" w:lineRule="auto"/>
        <w:ind w:left="1701"/>
      </w:pPr>
      <w:r>
        <w:rPr>
          <w:rFonts w:ascii="Arial" w:eastAsia="Arial" w:hAnsi="Arial" w:cs="Arial"/>
          <w:i/>
          <w:sz w:val="16"/>
          <w:szCs w:val="16"/>
        </w:rPr>
        <w:t xml:space="preserve">Si l’évènement est considéré comme étant un EI, merci de le déclarer à votre CRPV ou sur le portail de signalement : signalement.social-sante.gouv.fr/. </w:t>
      </w:r>
    </w:p>
    <w:sectPr w:rsidR="00A75BD0">
      <w:headerReference w:type="even" r:id="rId75"/>
      <w:headerReference w:type="default" r:id="rId76"/>
      <w:footerReference w:type="default" r:id="rId77"/>
      <w:headerReference w:type="first" r:id="rId78"/>
      <w:footerReference w:type="first" r:id="rId79"/>
      <w:pgSz w:w="16840" w:h="11920" w:orient="landscape"/>
      <w:pgMar w:top="1678" w:right="1582" w:bottom="1100" w:left="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EB1F7" w14:textId="77777777" w:rsidR="00930681" w:rsidRDefault="00930681">
      <w:pPr>
        <w:spacing w:after="0" w:line="240" w:lineRule="auto"/>
      </w:pPr>
      <w:r>
        <w:separator/>
      </w:r>
    </w:p>
  </w:endnote>
  <w:endnote w:type="continuationSeparator" w:id="0">
    <w:p w14:paraId="456864AD" w14:textId="77777777" w:rsidR="00930681" w:rsidRDefault="00930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AAF5644-6CE0-4B16-A1A9-A20C91BD118E}"/>
    <w:embedBold r:id="rId2" w:fontKey="{2D653586-DAC3-4B21-B2E6-6A8E87F982C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ago">
    <w:altName w:val="Times New Roman"/>
    <w:charset w:val="00"/>
    <w:family w:val="auto"/>
    <w:pitch w:val="variable"/>
    <w:sig w:usb0="A00002AF" w:usb1="5000205B" w:usb2="00000000" w:usb3="00000000" w:csb0="0000019F" w:csb1="00000000"/>
    <w:embedRegular r:id="rId3" w:fontKey="{30669FF6-A2ED-41D5-B536-3E0B50C5F820}"/>
    <w:embedBold r:id="rId4" w:fontKey="{7DD0EDD1-8C65-4C96-957B-1E62C20DAC46}"/>
    <w:embedItalic r:id="rId5" w:fontKey="{F81915FD-1100-420F-B30F-C747CB29D687}"/>
  </w:font>
  <w:font w:name="Calibri">
    <w:panose1 w:val="020F0502020204030204"/>
    <w:charset w:val="00"/>
    <w:family w:val="swiss"/>
    <w:pitch w:val="variable"/>
    <w:sig w:usb0="E4002EFF" w:usb1="C200247B" w:usb2="00000009" w:usb3="00000000" w:csb0="000001FF" w:csb1="00000000"/>
    <w:embedRegular r:id="rId6" w:fontKey="{8036971B-7D49-46E6-9B00-124E48B3E756}"/>
    <w:embedBold r:id="rId7" w:fontKey="{B2F5F387-0DC1-4684-B8B3-2EB058137B16}"/>
    <w:embedItalic r:id="rId8" w:fontKey="{354AECBC-B6EF-4B01-A0A6-66A672378C0A}"/>
  </w:font>
  <w:font w:name="Cambria">
    <w:panose1 w:val="02040503050406030204"/>
    <w:charset w:val="00"/>
    <w:family w:val="roman"/>
    <w:pitch w:val="variable"/>
    <w:sig w:usb0="E00006FF" w:usb1="420024FF" w:usb2="02000000" w:usb3="00000000" w:csb0="0000019F" w:csb1="00000000"/>
    <w:embedRegular r:id="rId9" w:fontKey="{AC99E599-EF83-446B-AE7B-D2BF431A3AC6}"/>
  </w:font>
  <w:font w:name="Arial Narrow">
    <w:panose1 w:val="020B0606020202030204"/>
    <w:charset w:val="00"/>
    <w:family w:val="swiss"/>
    <w:pitch w:val="variable"/>
    <w:sig w:usb0="00000287" w:usb1="00000800" w:usb2="00000000" w:usb3="00000000" w:csb0="0000009F" w:csb1="00000000"/>
    <w:embedRegular r:id="rId10" w:fontKey="{FB028DE6-13FD-4C87-B4E6-B7980DCE7402}"/>
    <w:embedBold r:id="rId11" w:fontKey="{87C06218-B7B9-4854-8A34-DF087D7DC73A}"/>
  </w:font>
  <w:font w:name="Calibri Light">
    <w:panose1 w:val="020F0302020204030204"/>
    <w:charset w:val="00"/>
    <w:family w:val="swiss"/>
    <w:pitch w:val="variable"/>
    <w:sig w:usb0="E4002EFF" w:usb1="C200247B" w:usb2="00000009" w:usb3="00000000" w:csb0="000001FF" w:csb1="00000000"/>
    <w:embedRegular r:id="rId12" w:fontKey="{F10F4EE5-0B21-4F1D-97A7-2FB6F5C385D1}"/>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3" w:fontKey="{3587E3F2-C18B-4382-9ADD-F61964343027}"/>
    <w:embedBold r:id="rId14" w:fontKey="{657E12E3-2682-464A-94CE-CED4DE22FC15}"/>
  </w:font>
  <w:font w:name="Segoe UI">
    <w:panose1 w:val="020B0502040204020203"/>
    <w:charset w:val="00"/>
    <w:family w:val="swiss"/>
    <w:pitch w:val="variable"/>
    <w:sig w:usb0="E4002EFF" w:usb1="C000E47F" w:usb2="00000009" w:usb3="00000000" w:csb0="000001FF" w:csb1="00000000"/>
    <w:embedRegular r:id="rId15" w:fontKey="{58FFA18B-ECA1-4E91-B4CB-4253E067CEB8}"/>
  </w:font>
  <w:font w:name="MS Mincho">
    <w:altName w:val="ＭＳ 明朝"/>
    <w:panose1 w:val="02020609040205080304"/>
    <w:charset w:val="80"/>
    <w:family w:val="modern"/>
    <w:pitch w:val="fixed"/>
    <w:sig w:usb0="E00002FF" w:usb1="6AC7FDFB" w:usb2="08000012" w:usb3="00000000" w:csb0="0002009F" w:csb1="00000000"/>
  </w:font>
  <w:font w:name="Arial Nova Cond">
    <w:charset w:val="00"/>
    <w:family w:val="swiss"/>
    <w:pitch w:val="variable"/>
    <w:sig w:usb0="0000028F" w:usb1="00000002" w:usb2="00000000" w:usb3="00000000" w:csb0="0000019F" w:csb1="00000000"/>
    <w:embedRegular r:id="rId16" w:fontKey="{C2D20471-7662-482C-9593-69A192A45AC4}"/>
  </w:font>
  <w:font w:name="Tahoma">
    <w:panose1 w:val="020B0604030504040204"/>
    <w:charset w:val="00"/>
    <w:family w:val="swiss"/>
    <w:pitch w:val="variable"/>
    <w:sig w:usb0="E1002EFF" w:usb1="C000605B" w:usb2="00000029" w:usb3="00000000" w:csb0="000101FF" w:csb1="00000000"/>
    <w:embedRegular r:id="rId17" w:fontKey="{31F6841C-C81C-4007-ABD7-FC9E7B5CBB1C}"/>
    <w:embedBold r:id="rId18" w:fontKey="{336B74C2-44C5-4517-BA42-981D52731C82}"/>
  </w:font>
  <w:font w:name="Arial Unicode MS">
    <w:panose1 w:val="020B0604020202020204"/>
    <w:charset w:val="80"/>
    <w:family w:val="swiss"/>
    <w:pitch w:val="variable"/>
    <w:sig w:usb0="F7FFAFFF" w:usb1="E9DFFFFF" w:usb2="0000003F" w:usb3="00000000" w:csb0="003F01FF" w:csb1="00000000"/>
    <w:embedRegular r:id="rId19" w:subsetted="1" w:fontKey="{D6F1E1B6-6999-4AD2-A7A6-7E94DD8D4AE1}"/>
  </w:font>
  <w:font w:name="Minion">
    <w:charset w:val="00"/>
    <w:family w:val="roman"/>
    <w:pitch w:val="variable"/>
    <w:sig w:usb0="E00002AF" w:usb1="5000E07B" w:usb2="00000000" w:usb3="00000000" w:csb0="0000019F" w:csb1="00000000"/>
    <w:embedRegular r:id="rId20" w:fontKey="{624C5BF8-95BF-4011-AF59-971C07A258E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default"/>
  </w:font>
  <w:font w:name="Courier 10cp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embedRegular r:id="rId21" w:fontKey="{4F8AC3A8-64F9-4112-9B72-ED819D10BD12}"/>
  </w:font>
  <w:font w:name="Cambria Math">
    <w:panose1 w:val="02040503050406030204"/>
    <w:charset w:val="00"/>
    <w:family w:val="roman"/>
    <w:pitch w:val="variable"/>
    <w:sig w:usb0="E00006FF" w:usb1="420024FF" w:usb2="02000000" w:usb3="00000000" w:csb0="0000019F" w:csb1="00000000"/>
    <w:embedRegular r:id="rId22" w:fontKey="{704DD638-B8AB-45E9-9E64-24D04CAD4753}"/>
  </w:font>
  <w:font w:name="Bookman Old Style">
    <w:panose1 w:val="02050604050505020204"/>
    <w:charset w:val="00"/>
    <w:family w:val="roman"/>
    <w:pitch w:val="variable"/>
    <w:sig w:usb0="00000287" w:usb1="00000000" w:usb2="00000000" w:usb3="00000000" w:csb0="0000009F" w:csb1="00000000"/>
    <w:embedRegular r:id="rId23" w:fontKey="{F9D5D72E-4683-4F49-8E92-7314D2DC13BF}"/>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CC9E" w14:textId="608EF2F9" w:rsidR="00A75BD0" w:rsidRDefault="002F6A24">
    <w:pPr>
      <w:pBdr>
        <w:top w:val="nil"/>
        <w:left w:val="nil"/>
        <w:bottom w:val="nil"/>
        <w:right w:val="nil"/>
        <w:between w:val="nil"/>
      </w:pBdr>
      <w:tabs>
        <w:tab w:val="center" w:pos="4536"/>
        <w:tab w:val="right" w:pos="9072"/>
      </w:tabs>
      <w:spacing w:after="0" w:line="240" w:lineRule="auto"/>
      <w:rPr>
        <w:color w:val="000000"/>
      </w:rPr>
    </w:pPr>
    <w:r>
      <w:rPr>
        <w:noProof/>
        <w:color w:val="000000"/>
        <w:lang w:val="fr-FR"/>
      </w:rPr>
      <mc:AlternateContent>
        <mc:Choice Requires="wps">
          <w:drawing>
            <wp:anchor distT="0" distB="0" distL="0" distR="0" simplePos="0" relativeHeight="251657216" behindDoc="0" locked="0" layoutInCell="1" allowOverlap="1" wp14:anchorId="670C14E5" wp14:editId="379C1686">
              <wp:simplePos x="635" y="635"/>
              <wp:positionH relativeFrom="page">
                <wp:align>center</wp:align>
              </wp:positionH>
              <wp:positionV relativeFrom="page">
                <wp:align>bottom</wp:align>
              </wp:positionV>
              <wp:extent cx="2242820" cy="357505"/>
              <wp:effectExtent l="0" t="0" r="5080" b="0"/>
              <wp:wrapNone/>
              <wp:docPr id="2065804690" name="Zone de texte 2"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2820" cy="357505"/>
                      </a:xfrm>
                      <a:prstGeom prst="rect">
                        <a:avLst/>
                      </a:prstGeom>
                      <a:noFill/>
                      <a:ln>
                        <a:noFill/>
                      </a:ln>
                    </wps:spPr>
                    <wps:txbx>
                      <w:txbxContent>
                        <w:p w14:paraId="0F0D79B7" w14:textId="77777777" w:rsidR="002F6A24" w:rsidRPr="002F6A24" w:rsidRDefault="002F6A24" w:rsidP="002F6A24">
                          <w:pPr>
                            <w:spacing w:after="0"/>
                            <w:rPr>
                              <w:rFonts w:ascii="Aptos" w:eastAsia="Aptos" w:hAnsi="Aptos" w:cs="Aptos"/>
                              <w:noProof/>
                              <w:color w:val="000000"/>
                              <w:sz w:val="20"/>
                              <w:szCs w:val="20"/>
                              <w:lang w:val="en-US"/>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C14E5" id="_x0000_t202" coordsize="21600,21600" o:spt="202" path="m,l,21600r21600,l21600,xe">
              <v:stroke joinstyle="miter"/>
              <v:path gradientshapeok="t" o:connecttype="rect"/>
            </v:shapetype>
            <v:shape id="Zone de texte 2" o:spid="_x0000_s1028" type="#_x0000_t202" alt="Internal Use Only Ethics and Compliance" style="position:absolute;margin-left:0;margin-top:0;width:176.6pt;height:28.1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" filled="f" stroked="f">
              <v:textbox style="mso-fit-shape-to-text:t" inset="0,0,0,15pt">
                <w:txbxContent>
                  <w:p w14:paraId="0F0D79B7" w14:textId="77777777" w:rsidR="002F6A24" w:rsidRPr="002F6A24" w:rsidRDefault="002F6A24" w:rsidP="002F6A24">
                    <w:pPr>
                      <w:spacing w:after="0"/>
                      <w:rPr>
                        <w:rFonts w:ascii="Aptos" w:eastAsia="Aptos" w:hAnsi="Aptos" w:cs="Aptos"/>
                        <w:noProof/>
                        <w:color w:val="000000"/>
                        <w:sz w:val="20"/>
                        <w:szCs w:val="20"/>
                        <w:lang w:val="en-US"/>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1C1C" w14:textId="2AA24188" w:rsidR="00A75BD0" w:rsidRDefault="002F6A24" w:rsidP="0BA40188">
    <w:pPr>
      <w:pBdr>
        <w:top w:val="nil"/>
        <w:left w:val="nil"/>
        <w:bottom w:val="nil"/>
        <w:right w:val="nil"/>
        <w:between w:val="nil"/>
      </w:pBdr>
      <w:tabs>
        <w:tab w:val="center" w:pos="4536"/>
        <w:tab w:val="right" w:pos="9072"/>
      </w:tabs>
      <w:spacing w:after="0" w:line="240" w:lineRule="auto"/>
      <w:jc w:val="right"/>
      <w:rPr>
        <w:color w:val="000000"/>
        <w:lang w:val="fr-FR"/>
      </w:rPr>
    </w:pPr>
    <w:r>
      <w:rPr>
        <w:rFonts w:ascii="Arial" w:eastAsia="Arial" w:hAnsi="Arial" w:cs="Arial"/>
        <w:noProof/>
        <w:color w:val="000000"/>
        <w:sz w:val="20"/>
        <w:szCs w:val="20"/>
        <w:lang w:val="fr-FR"/>
      </w:rPr>
      <mc:AlternateContent>
        <mc:Choice Requires="wps">
          <w:drawing>
            <wp:anchor distT="0" distB="0" distL="0" distR="0" simplePos="0" relativeHeight="251658240" behindDoc="0" locked="0" layoutInCell="1" allowOverlap="1" wp14:anchorId="3A8E98D9" wp14:editId="56351D4D">
              <wp:simplePos x="1067435" y="9879965"/>
              <wp:positionH relativeFrom="page">
                <wp:align>center</wp:align>
              </wp:positionH>
              <wp:positionV relativeFrom="page">
                <wp:align>bottom</wp:align>
              </wp:positionV>
              <wp:extent cx="2242820" cy="357505"/>
              <wp:effectExtent l="0" t="0" r="5080" b="0"/>
              <wp:wrapNone/>
              <wp:docPr id="741934236" name="Zone de texte 3"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2820" cy="357505"/>
                      </a:xfrm>
                      <a:prstGeom prst="rect">
                        <a:avLst/>
                      </a:prstGeom>
                      <a:noFill/>
                      <a:ln>
                        <a:noFill/>
                      </a:ln>
                    </wps:spPr>
                    <wps:txbx>
                      <w:txbxContent>
                        <w:p w14:paraId="76C0DE43" w14:textId="77777777" w:rsidR="002F6A24" w:rsidRPr="002F6A24" w:rsidRDefault="002F6A24" w:rsidP="002F6A24">
                          <w:pPr>
                            <w:spacing w:after="0"/>
                            <w:rPr>
                              <w:rFonts w:ascii="Aptos" w:eastAsia="Aptos" w:hAnsi="Aptos" w:cs="Aptos"/>
                              <w:noProof/>
                              <w:color w:val="000000"/>
                              <w:sz w:val="20"/>
                              <w:szCs w:val="20"/>
                              <w:lang w:val="en-US"/>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8E98D9" id="_x0000_t202" coordsize="21600,21600" o:spt="202" path="m,l,21600r21600,l21600,xe">
              <v:stroke joinstyle="miter"/>
              <v:path gradientshapeok="t" o:connecttype="rect"/>
            </v:shapetype>
            <v:shape id="Zone de texte 3" o:spid="_x0000_s1029" type="#_x0000_t202" alt="Internal Use Only Ethics and Compliance" style="position:absolute;left:0;text-align:left;margin-left:0;margin-top:0;width:176.6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" filled="f" stroked="f">
              <v:textbox style="mso-fit-shape-to-text:t" inset="0,0,0,15pt">
                <w:txbxContent>
                  <w:p w14:paraId="76C0DE43" w14:textId="77777777" w:rsidR="002F6A24" w:rsidRPr="002F6A24" w:rsidRDefault="002F6A24" w:rsidP="002F6A24">
                    <w:pPr>
                      <w:spacing w:after="0"/>
                      <w:rPr>
                        <w:rFonts w:ascii="Aptos" w:eastAsia="Aptos" w:hAnsi="Aptos" w:cs="Aptos"/>
                        <w:noProof/>
                        <w:color w:val="000000"/>
                        <w:sz w:val="20"/>
                        <w:szCs w:val="20"/>
                        <w:lang w:val="en-US"/>
                      </w:rPr>
                    </w:pPr>
                  </w:p>
                </w:txbxContent>
              </v:textbox>
              <w10:wrap anchorx="page" anchory="page"/>
            </v:shape>
          </w:pict>
        </mc:Fallback>
      </mc:AlternateContent>
    </w:r>
    <w:r w:rsidR="0BA40188" w:rsidRPr="0BA40188">
      <w:rPr>
        <w:rFonts w:ascii="Arial" w:eastAsia="Arial" w:hAnsi="Arial" w:cs="Arial"/>
        <w:color w:val="000000"/>
        <w:sz w:val="20"/>
        <w:szCs w:val="20"/>
        <w:lang w:val="fr-FR"/>
      </w:rPr>
      <w:t xml:space="preserve">ANSM </w:t>
    </w:r>
    <w:r w:rsidR="009D4DA5">
      <w:rPr>
        <w:rFonts w:ascii="Arial" w:eastAsia="Arial" w:hAnsi="Arial" w:cs="Arial"/>
        <w:color w:val="000000"/>
        <w:sz w:val="20"/>
        <w:szCs w:val="20"/>
      </w:rPr>
      <w:tab/>
    </w:r>
    <w:r w:rsidR="0BA40188" w:rsidRPr="0BA40188">
      <w:rPr>
        <w:rFonts w:ascii="Arial" w:eastAsia="Arial" w:hAnsi="Arial" w:cs="Arial"/>
        <w:color w:val="000000"/>
        <w:sz w:val="20"/>
        <w:szCs w:val="20"/>
        <w:lang w:val="fr-FR"/>
      </w:rPr>
      <w:t>PUT-SP Bevacizumab</w:t>
    </w:r>
    <w:r w:rsidR="009D4DA5">
      <w:rPr>
        <w:rFonts w:ascii="Arial" w:eastAsia="Arial" w:hAnsi="Arial" w:cs="Arial"/>
        <w:color w:val="000000"/>
        <w:sz w:val="20"/>
        <w:szCs w:val="20"/>
      </w:rPr>
      <w:tab/>
    </w:r>
    <w:r w:rsidR="009D4DA5" w:rsidRPr="0BA40188">
      <w:rPr>
        <w:noProof/>
        <w:color w:val="000000"/>
        <w:sz w:val="24"/>
        <w:szCs w:val="24"/>
        <w:lang w:val="fr-FR"/>
      </w:rPr>
      <w:fldChar w:fldCharType="begin"/>
    </w:r>
    <w:r w:rsidR="009D4DA5">
      <w:rPr>
        <w:color w:val="000000"/>
        <w:sz w:val="24"/>
        <w:szCs w:val="24"/>
      </w:rPr>
      <w:instrText>PAGE</w:instrText>
    </w:r>
    <w:r w:rsidR="009D4DA5" w:rsidRPr="0BA40188">
      <w:rPr>
        <w:color w:val="000000"/>
        <w:sz w:val="24"/>
        <w:szCs w:val="24"/>
      </w:rPr>
      <w:fldChar w:fldCharType="separate"/>
    </w:r>
    <w:r w:rsidR="00B2087D">
      <w:rPr>
        <w:noProof/>
        <w:color w:val="000000"/>
        <w:sz w:val="24"/>
        <w:szCs w:val="24"/>
      </w:rPr>
      <w:t>4</w:t>
    </w:r>
    <w:r w:rsidR="009D4DA5" w:rsidRPr="0BA40188">
      <w:rPr>
        <w:noProof/>
        <w:color w:val="000000"/>
        <w:sz w:val="24"/>
        <w:szCs w:val="24"/>
        <w:lang w:val="fr-FR"/>
      </w:rPr>
      <w:fldChar w:fldCharType="end"/>
    </w:r>
    <w:r w:rsidR="0BA40188" w:rsidRPr="0BA40188">
      <w:rPr>
        <w:color w:val="000000"/>
        <w:lang w:val="fr-FR"/>
      </w:rPr>
      <w:t>/</w:t>
    </w:r>
    <w:r w:rsidR="009D4DA5" w:rsidRPr="0BA40188">
      <w:rPr>
        <w:noProof/>
        <w:color w:val="000000"/>
        <w:sz w:val="24"/>
        <w:szCs w:val="24"/>
        <w:lang w:val="fr-FR"/>
      </w:rPr>
      <w:fldChar w:fldCharType="begin"/>
    </w:r>
    <w:r w:rsidR="009D4DA5">
      <w:rPr>
        <w:color w:val="000000"/>
        <w:sz w:val="24"/>
        <w:szCs w:val="24"/>
      </w:rPr>
      <w:instrText>NUMPAGES</w:instrText>
    </w:r>
    <w:r w:rsidR="009D4DA5" w:rsidRPr="0BA40188">
      <w:rPr>
        <w:color w:val="000000"/>
        <w:sz w:val="24"/>
        <w:szCs w:val="24"/>
      </w:rPr>
      <w:fldChar w:fldCharType="separate"/>
    </w:r>
    <w:r w:rsidR="00B2087D">
      <w:rPr>
        <w:noProof/>
        <w:color w:val="000000"/>
        <w:sz w:val="24"/>
        <w:szCs w:val="24"/>
      </w:rPr>
      <w:t>45</w:t>
    </w:r>
    <w:r w:rsidR="009D4DA5" w:rsidRPr="0BA40188">
      <w:rPr>
        <w:noProof/>
        <w:color w:val="000000"/>
        <w:sz w:val="24"/>
        <w:szCs w:val="24"/>
        <w:lang w:val="fr-FR"/>
      </w:rPr>
      <w:fldChar w:fldCharType="end"/>
    </w:r>
  </w:p>
  <w:p w14:paraId="1AA931CB" w14:textId="77777777" w:rsidR="00A75BD0" w:rsidRDefault="00A75BD0">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528D" w14:textId="3E0D5E20" w:rsidR="00A75BD0" w:rsidRDefault="002F6A24">
    <w:pPr>
      <w:pBdr>
        <w:top w:val="nil"/>
        <w:left w:val="nil"/>
        <w:bottom w:val="nil"/>
        <w:right w:val="nil"/>
        <w:between w:val="nil"/>
      </w:pBdr>
      <w:tabs>
        <w:tab w:val="center" w:pos="4536"/>
        <w:tab w:val="right" w:pos="9072"/>
      </w:tabs>
      <w:spacing w:after="0" w:line="240" w:lineRule="auto"/>
      <w:rPr>
        <w:color w:val="000000"/>
      </w:rPr>
    </w:pPr>
    <w:r>
      <w:rPr>
        <w:noProof/>
        <w:color w:val="000000"/>
        <w:lang w:val="fr-FR"/>
      </w:rPr>
      <mc:AlternateContent>
        <mc:Choice Requires="wps">
          <w:drawing>
            <wp:anchor distT="0" distB="0" distL="0" distR="0" simplePos="0" relativeHeight="251656192" behindDoc="0" locked="0" layoutInCell="1" allowOverlap="1" wp14:anchorId="21E0D403" wp14:editId="3D266019">
              <wp:simplePos x="1064871" y="10064187"/>
              <wp:positionH relativeFrom="page">
                <wp:align>center</wp:align>
              </wp:positionH>
              <wp:positionV relativeFrom="page">
                <wp:align>bottom</wp:align>
              </wp:positionV>
              <wp:extent cx="2242820" cy="357505"/>
              <wp:effectExtent l="0" t="0" r="5080" b="0"/>
              <wp:wrapNone/>
              <wp:docPr id="2009516784" name="Zone de texte 1"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2820" cy="357505"/>
                      </a:xfrm>
                      <a:prstGeom prst="rect">
                        <a:avLst/>
                      </a:prstGeom>
                      <a:noFill/>
                      <a:ln>
                        <a:noFill/>
                      </a:ln>
                    </wps:spPr>
                    <wps:txbx>
                      <w:txbxContent>
                        <w:p w14:paraId="26132670" w14:textId="77777777" w:rsidR="002F6A24" w:rsidRPr="002F6A24" w:rsidRDefault="002F6A24" w:rsidP="002F6A24">
                          <w:pPr>
                            <w:spacing w:after="0"/>
                            <w:rPr>
                              <w:rFonts w:ascii="Aptos" w:eastAsia="Aptos" w:hAnsi="Aptos" w:cs="Aptos"/>
                              <w:noProof/>
                              <w:color w:val="000000"/>
                              <w:sz w:val="20"/>
                              <w:szCs w:val="20"/>
                              <w:lang w:val="en-US"/>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0D403" id="_x0000_t202" coordsize="21600,21600" o:spt="202" path="m,l,21600r21600,l21600,xe">
              <v:stroke joinstyle="miter"/>
              <v:path gradientshapeok="t" o:connecttype="rect"/>
            </v:shapetype>
            <v:shape id="Zone de texte 1" o:spid="_x0000_s1030" type="#_x0000_t202" alt="Internal Use Only Ethics and Compliance" style="position:absolute;margin-left:0;margin-top:0;width:176.6pt;height:28.1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" filled="f" stroked="f">
              <v:textbox style="mso-fit-shape-to-text:t" inset="0,0,0,15pt">
                <w:txbxContent>
                  <w:p w14:paraId="26132670" w14:textId="77777777" w:rsidR="002F6A24" w:rsidRPr="002F6A24" w:rsidRDefault="002F6A24" w:rsidP="002F6A24">
                    <w:pPr>
                      <w:spacing w:after="0"/>
                      <w:rPr>
                        <w:rFonts w:ascii="Aptos" w:eastAsia="Aptos" w:hAnsi="Aptos" w:cs="Aptos"/>
                        <w:noProof/>
                        <w:color w:val="000000"/>
                        <w:sz w:val="20"/>
                        <w:szCs w:val="20"/>
                        <w:lang w:val="en-US"/>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D773" w14:textId="6D3E1730" w:rsidR="00A75BD0" w:rsidRDefault="002F6A24" w:rsidP="0BA40188">
    <w:pPr>
      <w:pBdr>
        <w:top w:val="nil"/>
        <w:left w:val="nil"/>
        <w:bottom w:val="nil"/>
        <w:right w:val="nil"/>
        <w:between w:val="nil"/>
      </w:pBdr>
      <w:tabs>
        <w:tab w:val="center" w:pos="4536"/>
        <w:tab w:val="right" w:pos="9072"/>
      </w:tabs>
      <w:spacing w:after="0" w:line="240" w:lineRule="auto"/>
      <w:rPr>
        <w:color w:val="000000"/>
        <w:lang w:val="fr-FR"/>
      </w:rPr>
    </w:pPr>
    <w:r>
      <w:rPr>
        <w:rFonts w:ascii="Arial" w:eastAsia="Arial" w:hAnsi="Arial" w:cs="Arial"/>
        <w:noProof/>
        <w:color w:val="000000"/>
        <w:sz w:val="20"/>
        <w:szCs w:val="20"/>
        <w:lang w:val="fr-FR"/>
      </w:rPr>
      <mc:AlternateContent>
        <mc:Choice Requires="wps">
          <w:drawing>
            <wp:anchor distT="0" distB="0" distL="0" distR="0" simplePos="0" relativeHeight="251660288" behindDoc="0" locked="0" layoutInCell="1" allowOverlap="1" wp14:anchorId="5E10492D" wp14:editId="056FD4F0">
              <wp:simplePos x="635" y="635"/>
              <wp:positionH relativeFrom="page">
                <wp:align>center</wp:align>
              </wp:positionH>
              <wp:positionV relativeFrom="page">
                <wp:align>bottom</wp:align>
              </wp:positionV>
              <wp:extent cx="2242820" cy="357505"/>
              <wp:effectExtent l="0" t="0" r="5080" b="0"/>
              <wp:wrapNone/>
              <wp:docPr id="80998643" name="Zone de texte 5"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2820" cy="357505"/>
                      </a:xfrm>
                      <a:prstGeom prst="rect">
                        <a:avLst/>
                      </a:prstGeom>
                      <a:noFill/>
                      <a:ln>
                        <a:noFill/>
                      </a:ln>
                    </wps:spPr>
                    <wps:txbx>
                      <w:txbxContent>
                        <w:p w14:paraId="112B0F04" w14:textId="77777777" w:rsidR="002F6A24" w:rsidRPr="002F6A24" w:rsidRDefault="002F6A24" w:rsidP="002F6A24">
                          <w:pPr>
                            <w:spacing w:after="0"/>
                            <w:rPr>
                              <w:rFonts w:ascii="Aptos" w:eastAsia="Aptos" w:hAnsi="Aptos" w:cs="Aptos"/>
                              <w:noProof/>
                              <w:color w:val="000000"/>
                              <w:sz w:val="20"/>
                              <w:szCs w:val="20"/>
                              <w:lang w:val="en-US"/>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10492D" id="_x0000_t202" coordsize="21600,21600" o:spt="202" path="m,l,21600r21600,l21600,xe">
              <v:stroke joinstyle="miter"/>
              <v:path gradientshapeok="t" o:connecttype="rect"/>
            </v:shapetype>
            <v:shape id="Zone de texte 5" o:spid="_x0000_s1035" type="#_x0000_t202" alt="Internal Use Only Ethics and Compliance" style="position:absolute;margin-left:0;margin-top:0;width:176.6pt;height:28.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" filled="f" stroked="f">
              <v:textbox style="mso-fit-shape-to-text:t" inset="0,0,0,15pt">
                <w:txbxContent>
                  <w:p w14:paraId="112B0F04" w14:textId="77777777" w:rsidR="002F6A24" w:rsidRPr="002F6A24" w:rsidRDefault="002F6A24" w:rsidP="002F6A24">
                    <w:pPr>
                      <w:spacing w:after="0"/>
                      <w:rPr>
                        <w:rFonts w:ascii="Aptos" w:eastAsia="Aptos" w:hAnsi="Aptos" w:cs="Aptos"/>
                        <w:noProof/>
                        <w:color w:val="000000"/>
                        <w:sz w:val="20"/>
                        <w:szCs w:val="20"/>
                        <w:lang w:val="en-US"/>
                      </w:rPr>
                    </w:pPr>
                  </w:p>
                </w:txbxContent>
              </v:textbox>
              <w10:wrap anchorx="page" anchory="page"/>
            </v:shape>
          </w:pict>
        </mc:Fallback>
      </mc:AlternateContent>
    </w:r>
    <w:r w:rsidR="0BA40188" w:rsidRPr="0BA40188">
      <w:rPr>
        <w:rFonts w:ascii="Arial" w:eastAsia="Arial" w:hAnsi="Arial" w:cs="Arial"/>
        <w:color w:val="000000"/>
        <w:sz w:val="20"/>
        <w:szCs w:val="20"/>
        <w:lang w:val="fr-FR"/>
      </w:rPr>
      <w:t xml:space="preserve">ANSM </w:t>
    </w:r>
    <w:r w:rsidR="009D4DA5">
      <w:rPr>
        <w:rFonts w:ascii="Arial" w:eastAsia="Arial" w:hAnsi="Arial" w:cs="Arial"/>
        <w:color w:val="000000"/>
        <w:sz w:val="20"/>
        <w:szCs w:val="20"/>
      </w:rPr>
      <w:tab/>
    </w:r>
    <w:r w:rsidR="0BA40188" w:rsidRPr="0BA40188">
      <w:rPr>
        <w:rFonts w:ascii="Arial" w:eastAsia="Arial" w:hAnsi="Arial" w:cs="Arial"/>
        <w:color w:val="000000"/>
        <w:sz w:val="20"/>
        <w:szCs w:val="20"/>
        <w:lang w:val="fr-FR"/>
      </w:rPr>
      <w:t>PUT-SP Bevacizumab</w:t>
    </w:r>
    <w:r w:rsidR="009D4DA5">
      <w:rPr>
        <w:rFonts w:ascii="Arial" w:eastAsia="Arial" w:hAnsi="Arial" w:cs="Arial"/>
        <w:color w:val="000000"/>
        <w:sz w:val="20"/>
        <w:szCs w:val="20"/>
      </w:rPr>
      <w:tab/>
    </w:r>
    <w:r w:rsidR="0BA40188" w:rsidRPr="0BA40188">
      <w:rPr>
        <w:rFonts w:ascii="Arial" w:eastAsia="Arial" w:hAnsi="Arial" w:cs="Arial"/>
        <w:color w:val="000000"/>
        <w:sz w:val="20"/>
        <w:szCs w:val="20"/>
        <w:lang w:val="fr-FR"/>
      </w:rPr>
      <w:t xml:space="preserve">  </w:t>
    </w:r>
    <w:r w:rsidR="009D4DA5" w:rsidRPr="0BA40188">
      <w:rPr>
        <w:rFonts w:ascii="Arial" w:eastAsia="Arial" w:hAnsi="Arial" w:cs="Arial"/>
        <w:noProof/>
        <w:color w:val="000000"/>
        <w:sz w:val="20"/>
        <w:szCs w:val="20"/>
        <w:lang w:val="fr-FR"/>
      </w:rPr>
      <w:fldChar w:fldCharType="begin"/>
    </w:r>
    <w:r w:rsidR="009D4DA5">
      <w:rPr>
        <w:rFonts w:ascii="Arial" w:eastAsia="Arial" w:hAnsi="Arial" w:cs="Arial"/>
        <w:color w:val="000000"/>
        <w:sz w:val="20"/>
        <w:szCs w:val="20"/>
      </w:rPr>
      <w:instrText>PAGE</w:instrText>
    </w:r>
    <w:r w:rsidR="009D4DA5" w:rsidRPr="0BA40188">
      <w:rPr>
        <w:rFonts w:ascii="Arial" w:eastAsia="Arial" w:hAnsi="Arial" w:cs="Arial"/>
        <w:color w:val="000000"/>
        <w:sz w:val="20"/>
        <w:szCs w:val="20"/>
      </w:rPr>
      <w:fldChar w:fldCharType="separate"/>
    </w:r>
    <w:r w:rsidR="00B2087D">
      <w:rPr>
        <w:rFonts w:ascii="Arial" w:eastAsia="Arial" w:hAnsi="Arial" w:cs="Arial"/>
        <w:noProof/>
        <w:color w:val="000000"/>
        <w:sz w:val="20"/>
        <w:szCs w:val="20"/>
      </w:rPr>
      <w:t>45</w:t>
    </w:r>
    <w:r w:rsidR="009D4DA5" w:rsidRPr="0BA40188">
      <w:rPr>
        <w:rFonts w:ascii="Arial" w:eastAsia="Arial" w:hAnsi="Arial" w:cs="Arial"/>
        <w:noProof/>
        <w:color w:val="000000"/>
        <w:sz w:val="20"/>
        <w:szCs w:val="20"/>
        <w:lang w:val="fr-FR"/>
      </w:rPr>
      <w:fldChar w:fldCharType="end"/>
    </w:r>
    <w:r w:rsidR="0BA40188" w:rsidRPr="0BA40188">
      <w:rPr>
        <w:rFonts w:ascii="Arial" w:eastAsia="Arial" w:hAnsi="Arial" w:cs="Arial"/>
        <w:color w:val="000000"/>
        <w:sz w:val="20"/>
        <w:szCs w:val="20"/>
        <w:lang w:val="fr-FR"/>
      </w:rPr>
      <w:t>/</w:t>
    </w:r>
    <w:r w:rsidR="009D4DA5" w:rsidRPr="0BA40188">
      <w:rPr>
        <w:rFonts w:ascii="Arial" w:eastAsia="Arial" w:hAnsi="Arial" w:cs="Arial"/>
        <w:noProof/>
        <w:color w:val="000000"/>
        <w:sz w:val="20"/>
        <w:szCs w:val="20"/>
        <w:lang w:val="fr-FR"/>
      </w:rPr>
      <w:fldChar w:fldCharType="begin"/>
    </w:r>
    <w:r w:rsidR="009D4DA5">
      <w:rPr>
        <w:rFonts w:ascii="Arial" w:eastAsia="Arial" w:hAnsi="Arial" w:cs="Arial"/>
        <w:color w:val="000000"/>
        <w:sz w:val="20"/>
        <w:szCs w:val="20"/>
      </w:rPr>
      <w:instrText>NUMPAGES</w:instrText>
    </w:r>
    <w:r w:rsidR="009D4DA5" w:rsidRPr="0BA40188">
      <w:rPr>
        <w:rFonts w:ascii="Arial" w:eastAsia="Arial" w:hAnsi="Arial" w:cs="Arial"/>
        <w:color w:val="000000"/>
        <w:sz w:val="20"/>
        <w:szCs w:val="20"/>
      </w:rPr>
      <w:fldChar w:fldCharType="separate"/>
    </w:r>
    <w:r w:rsidR="00B2087D">
      <w:rPr>
        <w:rFonts w:ascii="Arial" w:eastAsia="Arial" w:hAnsi="Arial" w:cs="Arial"/>
        <w:noProof/>
        <w:color w:val="000000"/>
        <w:sz w:val="20"/>
        <w:szCs w:val="20"/>
      </w:rPr>
      <w:t>45</w:t>
    </w:r>
    <w:r w:rsidR="009D4DA5" w:rsidRPr="0BA40188">
      <w:rPr>
        <w:rFonts w:ascii="Arial" w:eastAsia="Arial" w:hAnsi="Arial" w:cs="Arial"/>
        <w:noProof/>
        <w:color w:val="000000"/>
        <w:sz w:val="20"/>
        <w:szCs w:val="20"/>
        <w:lang w:val="fr-FR"/>
      </w:rPr>
      <w:fldChar w:fldCharType="end"/>
    </w:r>
  </w:p>
  <w:p w14:paraId="3C714213" w14:textId="77777777" w:rsidR="00A75BD0" w:rsidRDefault="00A75BD0">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96AB" w14:textId="1BA5AFED" w:rsidR="00A75BD0" w:rsidRDefault="002F6A24" w:rsidP="0BA40188">
    <w:pPr>
      <w:pBdr>
        <w:top w:val="nil"/>
        <w:left w:val="nil"/>
        <w:bottom w:val="nil"/>
        <w:right w:val="nil"/>
        <w:between w:val="nil"/>
      </w:pBdr>
      <w:tabs>
        <w:tab w:val="center" w:pos="4536"/>
        <w:tab w:val="right" w:pos="9072"/>
        <w:tab w:val="right" w:pos="15026"/>
      </w:tabs>
      <w:spacing w:after="0" w:line="240" w:lineRule="auto"/>
      <w:rPr>
        <w:color w:val="000000"/>
        <w:lang w:val="fr-FR"/>
      </w:rPr>
    </w:pPr>
    <w:r>
      <w:rPr>
        <w:noProof/>
        <w:color w:val="000000"/>
        <w:lang w:val="fr-FR"/>
      </w:rPr>
      <mc:AlternateContent>
        <mc:Choice Requires="wps">
          <w:drawing>
            <wp:anchor distT="0" distB="0" distL="0" distR="0" simplePos="0" relativeHeight="251659264" behindDoc="0" locked="0" layoutInCell="1" allowOverlap="1" wp14:anchorId="3E5AD451" wp14:editId="6287FCCC">
              <wp:simplePos x="635" y="635"/>
              <wp:positionH relativeFrom="page">
                <wp:align>center</wp:align>
              </wp:positionH>
              <wp:positionV relativeFrom="page">
                <wp:align>bottom</wp:align>
              </wp:positionV>
              <wp:extent cx="2242820" cy="357505"/>
              <wp:effectExtent l="0" t="0" r="5080" b="0"/>
              <wp:wrapNone/>
              <wp:docPr id="1955784160" name="Zone de texte 4"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2820" cy="357505"/>
                      </a:xfrm>
                      <a:prstGeom prst="rect">
                        <a:avLst/>
                      </a:prstGeom>
                      <a:noFill/>
                      <a:ln>
                        <a:noFill/>
                      </a:ln>
                    </wps:spPr>
                    <wps:txbx>
                      <w:txbxContent>
                        <w:p w14:paraId="6BA0EA3D" w14:textId="77777777" w:rsidR="002F6A24" w:rsidRPr="002F6A24" w:rsidRDefault="002F6A24" w:rsidP="002F6A24">
                          <w:pPr>
                            <w:spacing w:after="0"/>
                            <w:rPr>
                              <w:rFonts w:ascii="Aptos" w:eastAsia="Aptos" w:hAnsi="Aptos" w:cs="Aptos"/>
                              <w:noProof/>
                              <w:color w:val="000000"/>
                              <w:sz w:val="20"/>
                              <w:szCs w:val="20"/>
                              <w:lang w:val="en-US"/>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AD451" id="_x0000_t202" coordsize="21600,21600" o:spt="202" path="m,l,21600r21600,l21600,xe">
              <v:stroke joinstyle="miter"/>
              <v:path gradientshapeok="t" o:connecttype="rect"/>
            </v:shapetype>
            <v:shape id="Zone de texte 4" o:spid="_x0000_s1038" type="#_x0000_t202" alt="Internal Use Only Ethics and Compliance" style="position:absolute;margin-left:0;margin-top:0;width:176.6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" filled="f" stroked="f">
              <v:textbox style="mso-fit-shape-to-text:t" inset="0,0,0,15pt">
                <w:txbxContent>
                  <w:p w14:paraId="6BA0EA3D" w14:textId="77777777" w:rsidR="002F6A24" w:rsidRPr="002F6A24" w:rsidRDefault="002F6A24" w:rsidP="002F6A24">
                    <w:pPr>
                      <w:spacing w:after="0"/>
                      <w:rPr>
                        <w:rFonts w:ascii="Aptos" w:eastAsia="Aptos" w:hAnsi="Aptos" w:cs="Aptos"/>
                        <w:noProof/>
                        <w:color w:val="000000"/>
                        <w:sz w:val="20"/>
                        <w:szCs w:val="20"/>
                        <w:lang w:val="en-US"/>
                      </w:rPr>
                    </w:pPr>
                  </w:p>
                </w:txbxContent>
              </v:textbox>
              <w10:wrap anchorx="page" anchory="page"/>
            </v:shape>
          </w:pict>
        </mc:Fallback>
      </mc:AlternateContent>
    </w:r>
    <w:r w:rsidR="0BA40188" w:rsidRPr="0BA40188">
      <w:rPr>
        <w:color w:val="000000"/>
        <w:lang w:val="fr-FR"/>
      </w:rPr>
      <w:t xml:space="preserve">ANSM </w:t>
    </w:r>
    <w:r w:rsidR="009D4DA5">
      <w:rPr>
        <w:color w:val="000000"/>
      </w:rPr>
      <w:tab/>
    </w:r>
    <w:r w:rsidR="0BA40188" w:rsidRPr="0BA40188">
      <w:rPr>
        <w:rFonts w:ascii="Arial" w:eastAsia="Arial" w:hAnsi="Arial" w:cs="Arial"/>
        <w:color w:val="000000"/>
        <w:sz w:val="20"/>
        <w:szCs w:val="20"/>
        <w:lang w:val="fr-FR"/>
      </w:rPr>
      <w:t>PUT-SP Bévacizumab</w:t>
    </w:r>
    <w:r w:rsidR="009D4DA5">
      <w:rPr>
        <w:color w:val="000000"/>
        <w:sz w:val="16"/>
        <w:szCs w:val="16"/>
      </w:rPr>
      <w:tab/>
    </w:r>
    <w:r w:rsidR="009D4DA5" w:rsidRPr="0BA40188">
      <w:rPr>
        <w:rFonts w:ascii="Arial" w:eastAsia="Arial" w:hAnsi="Arial" w:cs="Arial"/>
        <w:color w:val="000000"/>
        <w:sz w:val="20"/>
        <w:szCs w:val="20"/>
        <w:lang w:val="fr-FR"/>
      </w:rPr>
      <w:fldChar w:fldCharType="begin"/>
    </w:r>
    <w:r w:rsidR="009D4DA5">
      <w:rPr>
        <w:rFonts w:ascii="Arial" w:eastAsia="Arial" w:hAnsi="Arial" w:cs="Arial"/>
        <w:color w:val="000000"/>
        <w:sz w:val="20"/>
        <w:szCs w:val="20"/>
      </w:rPr>
      <w:instrText>PAGE</w:instrText>
    </w:r>
    <w:r w:rsidR="009D4DA5" w:rsidRPr="0BA40188">
      <w:rPr>
        <w:rFonts w:ascii="Arial" w:eastAsia="Arial" w:hAnsi="Arial" w:cs="Arial"/>
        <w:color w:val="000000"/>
        <w:sz w:val="20"/>
        <w:szCs w:val="20"/>
        <w:lang w:val="fr-FR"/>
      </w:rPr>
      <w:fldChar w:fldCharType="end"/>
    </w:r>
    <w:r w:rsidR="0BA40188" w:rsidRPr="0BA40188">
      <w:rPr>
        <w:rFonts w:ascii="Arial" w:eastAsia="Arial" w:hAnsi="Arial" w:cs="Arial"/>
        <w:color w:val="000000"/>
        <w:sz w:val="20"/>
        <w:szCs w:val="20"/>
        <w:lang w:val="fr-FR"/>
      </w:rPr>
      <w:t>/</w:t>
    </w:r>
    <w:r w:rsidR="009D4DA5" w:rsidRPr="0BA40188">
      <w:rPr>
        <w:color w:val="000000"/>
        <w:lang w:val="fr-FR"/>
      </w:rPr>
      <w:fldChar w:fldCharType="begin"/>
    </w:r>
    <w:r w:rsidR="009D4DA5">
      <w:rPr>
        <w:color w:val="000000"/>
      </w:rPr>
      <w:instrText>NUMPAGES</w:instrText>
    </w:r>
    <w:r w:rsidR="009D4DA5" w:rsidRPr="0BA40188">
      <w:rPr>
        <w:color w:val="000000"/>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E0484" w14:textId="77777777" w:rsidR="00930681" w:rsidRDefault="00930681">
      <w:pPr>
        <w:spacing w:after="0" w:line="240" w:lineRule="auto"/>
      </w:pPr>
      <w:r>
        <w:separator/>
      </w:r>
    </w:p>
  </w:footnote>
  <w:footnote w:type="continuationSeparator" w:id="0">
    <w:p w14:paraId="0B41E7BC" w14:textId="77777777" w:rsidR="00930681" w:rsidRDefault="00930681">
      <w:pPr>
        <w:spacing w:after="0" w:line="240" w:lineRule="auto"/>
      </w:pPr>
      <w:r>
        <w:continuationSeparator/>
      </w:r>
    </w:p>
  </w:footnote>
  <w:footnote w:id="1">
    <w:p w14:paraId="49A89F21" w14:textId="77777777" w:rsidR="00A75BD0" w:rsidRDefault="009D4DA5">
      <w:pPr>
        <w:pBdr>
          <w:top w:val="nil"/>
          <w:left w:val="nil"/>
          <w:bottom w:val="nil"/>
          <w:right w:val="nil"/>
          <w:between w:val="nil"/>
        </w:pBdr>
        <w:spacing w:after="40" w:line="240" w:lineRule="auto"/>
        <w:rPr>
          <w:rFonts w:ascii="Arial" w:eastAsia="Arial" w:hAnsi="Arial" w:cs="Arial"/>
          <w:color w:val="404040"/>
          <w:sz w:val="17"/>
          <w:szCs w:val="17"/>
        </w:rPr>
      </w:pPr>
      <w:r>
        <w:rPr>
          <w:rStyle w:val="Appelnotedebasdep"/>
        </w:rPr>
        <w:footnoteRef/>
      </w:r>
      <w:r>
        <w:rPr>
          <w:rFonts w:ascii="Arial" w:eastAsia="Arial" w:hAnsi="Arial" w:cs="Arial"/>
          <w:color w:val="404040"/>
          <w:sz w:val="17"/>
          <w:szCs w:val="17"/>
        </w:rPr>
        <w:t xml:space="preserve"> 4 critères de Curaçao : </w:t>
      </w:r>
      <w:r>
        <w:rPr>
          <w:rFonts w:ascii="Arial" w:eastAsia="Arial" w:hAnsi="Arial" w:cs="Arial"/>
          <w:color w:val="404040"/>
          <w:sz w:val="16"/>
          <w:szCs w:val="16"/>
        </w:rPr>
        <w:t>épistaxis récidivantes, télangiectasies cutanéo-muqueuses, atteinte viscérale, un parent au premier degré atteint de Télangiectasie Hémorragique Héréditaire (THH)</w:t>
      </w:r>
    </w:p>
  </w:footnote>
  <w:footnote w:id="2">
    <w:p w14:paraId="64ED9FFC" w14:textId="77777777" w:rsidR="00A75BD0" w:rsidRDefault="009D4DA5">
      <w:pPr>
        <w:pBdr>
          <w:top w:val="nil"/>
          <w:left w:val="nil"/>
          <w:bottom w:val="nil"/>
          <w:right w:val="nil"/>
          <w:between w:val="nil"/>
        </w:pBdr>
        <w:spacing w:line="240" w:lineRule="auto"/>
        <w:rPr>
          <w:color w:val="000000"/>
          <w:sz w:val="20"/>
          <w:szCs w:val="20"/>
        </w:rPr>
      </w:pPr>
      <w:r>
        <w:rPr>
          <w:rStyle w:val="Appelnotedebasdep"/>
        </w:rPr>
        <w:footnoteRef/>
      </w:r>
      <w:r>
        <w:rPr>
          <w:color w:val="000000"/>
          <w:sz w:val="20"/>
          <w:szCs w:val="20"/>
        </w:rPr>
        <w:t xml:space="preserve"> </w:t>
      </w:r>
      <w:hyperlink r:id="rId1">
        <w:r>
          <w:rPr>
            <w:color w:val="0563C1"/>
            <w:sz w:val="16"/>
            <w:szCs w:val="16"/>
            <w:u w:val="single"/>
          </w:rPr>
          <w:t>https://www.chu-tours.fr/recherche-et-innovation/recherche-professionnels/recherche-clinique-et-translationnelle/organisation/iv-la-plateforme-recherche/centre-pilote-de-suivi-biologique-des-traitements-par-anticorps-cepibac/</w:t>
        </w:r>
      </w:hyperlink>
    </w:p>
    <w:p w14:paraId="0B1F6F13" w14:textId="77777777" w:rsidR="00A75BD0" w:rsidRDefault="00A75BD0">
      <w:pPr>
        <w:pBdr>
          <w:top w:val="nil"/>
          <w:left w:val="nil"/>
          <w:bottom w:val="nil"/>
          <w:right w:val="nil"/>
          <w:between w:val="nil"/>
        </w:pBdr>
        <w:spacing w:after="40" w:line="240" w:lineRule="auto"/>
        <w:rPr>
          <w:rFonts w:ascii="Arial" w:eastAsia="Arial" w:hAnsi="Arial" w:cs="Arial"/>
          <w:color w:val="404040"/>
          <w:sz w:val="17"/>
          <w:szCs w:val="17"/>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FD0C" w14:textId="2255C939" w:rsidR="00A75BD0" w:rsidRDefault="009D4DA5">
    <w:pPr>
      <w:rPr>
        <w:color w:val="000000"/>
      </w:rPr>
    </w:pPr>
    <w:r>
      <w:rPr>
        <w:noProof/>
        <w:color w:val="000000"/>
        <w:lang w:val="fr-FR"/>
      </w:rPr>
      <mc:AlternateContent>
        <mc:Choice Requires="wps">
          <w:drawing>
            <wp:anchor distT="0" distB="0" distL="0" distR="0" simplePos="0" relativeHeight="251649024" behindDoc="0" locked="0" layoutInCell="1" hidden="0" allowOverlap="1" wp14:anchorId="2B7E4F74" wp14:editId="27BADD13">
              <wp:simplePos x="0" y="0"/>
              <wp:positionH relativeFrom="page">
                <wp:align>left</wp:align>
              </wp:positionH>
              <wp:positionV relativeFrom="page">
                <wp:align>top</wp:align>
              </wp:positionV>
              <wp:extent cx="1769745" cy="486410"/>
              <wp:effectExtent l="0" t="0" r="0" b="0"/>
              <wp:wrapNone/>
              <wp:docPr id="2146653936" name="Rectangle 2146653936" descr="[Organon] Confidential"/>
              <wp:cNvGraphicFramePr/>
              <a:graphic xmlns:a="http://schemas.openxmlformats.org/drawingml/2006/main">
                <a:graphicData uri="http://schemas.microsoft.com/office/word/2010/wordprocessingShape">
                  <wps:wsp>
                    <wps:cNvSpPr/>
                    <wps:spPr>
                      <a:xfrm>
                        <a:off x="4508753" y="3584420"/>
                        <a:ext cx="1674495" cy="391160"/>
                      </a:xfrm>
                      <a:prstGeom prst="rect">
                        <a:avLst/>
                      </a:prstGeom>
                      <a:noFill/>
                      <a:ln>
                        <a:noFill/>
                      </a:ln>
                    </wps:spPr>
                    <wps:txbx>
                      <w:txbxContent>
                        <w:p w14:paraId="48C63552" w14:textId="77777777" w:rsidR="00A75BD0" w:rsidRDefault="009D4DA5">
                          <w:pPr>
                            <w:spacing w:after="0" w:line="258" w:lineRule="auto"/>
                            <w:textDirection w:val="btLr"/>
                          </w:pPr>
                          <w:r>
                            <w:rPr>
                              <w:color w:val="FFD700"/>
                              <w:sz w:val="24"/>
                            </w:rPr>
                            <w:t>[Organon] Confidential</w:t>
                          </w:r>
                        </w:p>
                      </w:txbxContent>
                    </wps:txbx>
                    <wps:bodyPr spcFirstLastPara="1" wrap="square" lIns="254000" tIns="190500" rIns="0" bIns="0" anchor="t" anchorCtr="0">
                      <a:noAutofit/>
                    </wps:bodyPr>
                  </wps:wsp>
                </a:graphicData>
              </a:graphic>
            </wp:anchor>
          </w:drawing>
        </mc:Choice>
        <mc:Fallback>
          <w:pict>
            <v:rect w14:anchorId="2B7E4F74" id="Rectangle 2146653936" o:spid="_x0000_s1027" alt="[Organon] Confidential" style="position:absolute;margin-left:0;margin-top:0;width:139.35pt;height:38.3pt;z-index:251649024;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" filled="f" stroked="f">
              <v:textbox inset="20pt,15pt,0,0">
                <w:txbxContent>
                  <w:p w14:paraId="48C63552" w14:textId="77777777" w:rsidR="00A75BD0" w:rsidRDefault="009D4DA5">
                    <w:pPr>
                      <w:spacing w:after="0" w:line="258" w:lineRule="auto"/>
                      <w:textDirection w:val="btLr"/>
                    </w:pPr>
                    <w:r>
                      <w:rPr>
                        <w:color w:val="FFD700"/>
                        <w:sz w:val="24"/>
                      </w:rPr>
                      <w:t>[Organon] Confidential</w:t>
                    </w:r>
                  </w:p>
                </w:txbxContent>
              </v:textbox>
              <w10:wrap anchorx="page" anchory="page"/>
            </v:rect>
          </w:pict>
        </mc:Fallback>
      </mc:AlternateContent>
    </w:r>
  </w:p>
  <w:p w14:paraId="298C8E3A" w14:textId="77777777" w:rsidR="00A75BD0" w:rsidRDefault="00A75B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4256" w14:textId="5015491A" w:rsidR="00A75BD0" w:rsidRDefault="00A75B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4694E" w14:textId="1981C456" w:rsidR="00A75BD0" w:rsidRDefault="00A75BD0">
    <w:pPr>
      <w:pBdr>
        <w:top w:val="nil"/>
        <w:left w:val="nil"/>
        <w:bottom w:val="nil"/>
        <w:right w:val="nil"/>
        <w:between w:val="nil"/>
      </w:pBdr>
      <w:tabs>
        <w:tab w:val="center" w:pos="4536"/>
        <w:tab w:val="right" w:pos="9072"/>
      </w:tabs>
      <w:spacing w:after="0" w:line="240" w:lineRule="auto"/>
      <w:rPr>
        <w:color w:val="000000"/>
      </w:rPr>
    </w:pPr>
  </w:p>
  <w:p w14:paraId="4BF8AAD4" w14:textId="77777777" w:rsidR="00A75BD0" w:rsidRDefault="00A75B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A208" w14:textId="7BEBAD23" w:rsidR="00A75BD0" w:rsidRDefault="009D4DA5">
    <w:pPr>
      <w:rPr>
        <w:color w:val="000000"/>
      </w:rPr>
    </w:pPr>
    <w:r>
      <w:rPr>
        <w:noProof/>
        <w:color w:val="000000"/>
        <w:lang w:val="fr-FR"/>
      </w:rPr>
      <mc:AlternateContent>
        <mc:Choice Requires="wps">
          <w:drawing>
            <wp:anchor distT="0" distB="0" distL="0" distR="0" simplePos="0" relativeHeight="251654144" behindDoc="0" locked="0" layoutInCell="1" hidden="0" allowOverlap="1" wp14:anchorId="46BFE3C4" wp14:editId="4A91A314">
              <wp:simplePos x="0" y="0"/>
              <wp:positionH relativeFrom="page">
                <wp:align>left</wp:align>
              </wp:positionH>
              <wp:positionV relativeFrom="page">
                <wp:align>top</wp:align>
              </wp:positionV>
              <wp:extent cx="1769745" cy="486410"/>
              <wp:effectExtent l="0" t="0" r="0" b="0"/>
              <wp:wrapNone/>
              <wp:docPr id="2146653938" name="Rectangle 2146653938" descr="[Organon] Confidential"/>
              <wp:cNvGraphicFramePr/>
              <a:graphic xmlns:a="http://schemas.openxmlformats.org/drawingml/2006/main">
                <a:graphicData uri="http://schemas.microsoft.com/office/word/2010/wordprocessingShape">
                  <wps:wsp>
                    <wps:cNvSpPr/>
                    <wps:spPr>
                      <a:xfrm>
                        <a:off x="4508753" y="3584420"/>
                        <a:ext cx="1674495" cy="391160"/>
                      </a:xfrm>
                      <a:prstGeom prst="rect">
                        <a:avLst/>
                      </a:prstGeom>
                      <a:noFill/>
                      <a:ln>
                        <a:noFill/>
                      </a:ln>
                    </wps:spPr>
                    <wps:txbx>
                      <w:txbxContent>
                        <w:p w14:paraId="274A5553" w14:textId="77777777" w:rsidR="00A75BD0" w:rsidRDefault="009D4DA5">
                          <w:pPr>
                            <w:spacing w:after="0" w:line="258" w:lineRule="auto"/>
                            <w:textDirection w:val="btLr"/>
                          </w:pPr>
                          <w:r>
                            <w:rPr>
                              <w:color w:val="FFD700"/>
                              <w:sz w:val="24"/>
                            </w:rPr>
                            <w:t>[Organon] Confidential</w:t>
                          </w:r>
                        </w:p>
                      </w:txbxContent>
                    </wps:txbx>
                    <wps:bodyPr spcFirstLastPara="1" wrap="square" lIns="254000" tIns="190500" rIns="0" bIns="0" anchor="t" anchorCtr="0">
                      <a:noAutofit/>
                    </wps:bodyPr>
                  </wps:wsp>
                </a:graphicData>
              </a:graphic>
            </wp:anchor>
          </w:drawing>
        </mc:Choice>
        <mc:Fallback>
          <w:pict>
            <v:rect w14:anchorId="46BFE3C4" id="Rectangle 2146653938" o:spid="_x0000_s1031" alt="[Organon] Confidential" style="position:absolute;margin-left:0;margin-top:0;width:139.35pt;height:38.3pt;z-index:251654144;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" filled="f" stroked="f">
              <v:textbox inset="20pt,15pt,0,0">
                <w:txbxContent>
                  <w:p w14:paraId="274A5553" w14:textId="77777777" w:rsidR="00A75BD0" w:rsidRDefault="009D4DA5">
                    <w:pPr>
                      <w:spacing w:after="0" w:line="258" w:lineRule="auto"/>
                      <w:textDirection w:val="btLr"/>
                    </w:pPr>
                    <w:r>
                      <w:rPr>
                        <w:color w:val="FFD700"/>
                        <w:sz w:val="24"/>
                      </w:rPr>
                      <w:t>[Organon] Confidential</w:t>
                    </w:r>
                  </w:p>
                </w:txbxContent>
              </v:textbox>
              <w10:wrap anchorx="page" anchory="page"/>
            </v:rect>
          </w:pict>
        </mc:Fallback>
      </mc:AlternateContent>
    </w:r>
    <w:r>
      <w:rPr>
        <w:noProof/>
        <w:color w:val="000000"/>
        <w:lang w:val="fr-FR"/>
      </w:rPr>
      <mc:AlternateContent>
        <mc:Choice Requires="wps">
          <w:drawing>
            <wp:anchor distT="0" distB="0" distL="0" distR="0" simplePos="0" relativeHeight="251655168" behindDoc="1" locked="0" layoutInCell="1" hidden="0" allowOverlap="1" wp14:anchorId="502A1E0A" wp14:editId="7ACF556C">
              <wp:simplePos x="0" y="0"/>
              <wp:positionH relativeFrom="margin">
                <wp:align>center</wp:align>
              </wp:positionH>
              <wp:positionV relativeFrom="margin">
                <wp:align>center</wp:align>
              </wp:positionV>
              <wp:extent cx="186188171" cy="186188171"/>
              <wp:effectExtent l="0" t="0" r="0" b="0"/>
              <wp:wrapNone/>
              <wp:docPr id="2146653935" name="Rectangle 2146653935"/>
              <wp:cNvGraphicFramePr/>
              <a:graphic xmlns:a="http://schemas.openxmlformats.org/drawingml/2006/main">
                <a:graphicData uri="http://schemas.microsoft.com/office/word/2010/wordprocessingShape">
                  <wps:wsp>
                    <wps:cNvSpPr/>
                    <wps:spPr>
                      <a:xfrm rot="-2700000">
                        <a:off x="2284030" y="2759555"/>
                        <a:ext cx="6123940" cy="2040890"/>
                      </a:xfrm>
                      <a:prstGeom prst="rect">
                        <a:avLst/>
                      </a:prstGeom>
                      <a:noFill/>
                      <a:ln>
                        <a:noFill/>
                      </a:ln>
                    </wps:spPr>
                    <wps:txbx>
                      <w:txbxContent>
                        <w:p w14:paraId="56C6C16E" w14:textId="77777777" w:rsidR="00A75BD0" w:rsidRDefault="009D4DA5">
                          <w:pPr>
                            <w:spacing w:after="0" w:line="240" w:lineRule="auto"/>
                            <w:jc w:val="center"/>
                            <w:textDirection w:val="btLr"/>
                          </w:pPr>
                          <w:r>
                            <w:rPr>
                              <w:rFonts w:ascii="Imago" w:eastAsia="Imago" w:hAnsi="Imago" w:cs="Imago"/>
                              <w:color w:val="C0C0C0"/>
                              <w:sz w:val="144"/>
                            </w:rPr>
                            <w:t>PROJET</w:t>
                          </w:r>
                        </w:p>
                      </w:txbxContent>
                    </wps:txbx>
                    <wps:bodyPr spcFirstLastPara="1" wrap="square" lIns="91425" tIns="91425" rIns="91425" bIns="91425" anchor="ctr" anchorCtr="0">
                      <a:noAutofit/>
                    </wps:bodyPr>
                  </wps:wsp>
                </a:graphicData>
              </a:graphic>
            </wp:anchor>
          </w:drawing>
        </mc:Choice>
        <mc:Fallback>
          <w:pict>
            <v:rect w14:anchorId="502A1E0A" id="Rectangle 2146653935" o:spid="_x0000_s1032" style="position:absolute;margin-left:0;margin-top:0;width:14660.5pt;height:14660.5pt;rotation:-45;z-index:-25166131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" filled="f" stroked="f">
              <v:textbox inset="2.53958mm,2.53958mm,2.53958mm,2.53958mm">
                <w:txbxContent>
                  <w:p w14:paraId="56C6C16E" w14:textId="77777777" w:rsidR="00A75BD0" w:rsidRDefault="009D4DA5">
                    <w:pPr>
                      <w:spacing w:after="0" w:line="240" w:lineRule="auto"/>
                      <w:jc w:val="center"/>
                      <w:textDirection w:val="btLr"/>
                    </w:pPr>
                    <w:r>
                      <w:rPr>
                        <w:rFonts w:ascii="Imago" w:eastAsia="Imago" w:hAnsi="Imago" w:cs="Imago"/>
                        <w:color w:val="C0C0C0"/>
                        <w:sz w:val="144"/>
                      </w:rPr>
                      <w:t>PROJET</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2AAF" w14:textId="1B5E038A" w:rsidR="00A75BD0" w:rsidRDefault="009D4DA5">
    <w:pPr>
      <w:pBdr>
        <w:top w:val="nil"/>
        <w:left w:val="nil"/>
        <w:bottom w:val="nil"/>
        <w:right w:val="nil"/>
        <w:between w:val="nil"/>
      </w:pBdr>
      <w:tabs>
        <w:tab w:val="center" w:pos="4536"/>
        <w:tab w:val="right" w:pos="9072"/>
      </w:tabs>
      <w:spacing w:after="0" w:line="240" w:lineRule="auto"/>
      <w:rPr>
        <w:color w:val="000000"/>
      </w:rPr>
    </w:pPr>
    <w:r>
      <w:rPr>
        <w:noProof/>
        <w:color w:val="000000"/>
        <w:lang w:val="fr-FR"/>
      </w:rPr>
      <mc:AlternateContent>
        <mc:Choice Requires="wps">
          <w:drawing>
            <wp:anchor distT="0" distB="0" distL="0" distR="0" simplePos="0" relativeHeight="251650048" behindDoc="0" locked="0" layoutInCell="1" hidden="0" allowOverlap="1" wp14:anchorId="7F0D10BC" wp14:editId="3347E9EB">
              <wp:simplePos x="0" y="0"/>
              <wp:positionH relativeFrom="page">
                <wp:align>left</wp:align>
              </wp:positionH>
              <wp:positionV relativeFrom="page">
                <wp:align>top</wp:align>
              </wp:positionV>
              <wp:extent cx="1769745" cy="486410"/>
              <wp:effectExtent l="0" t="0" r="0" b="0"/>
              <wp:wrapNone/>
              <wp:docPr id="2146653933" name="Rectangle 2146653933" descr="[Organon] Confidential"/>
              <wp:cNvGraphicFramePr/>
              <a:graphic xmlns:a="http://schemas.openxmlformats.org/drawingml/2006/main">
                <a:graphicData uri="http://schemas.microsoft.com/office/word/2010/wordprocessingShape">
                  <wps:wsp>
                    <wps:cNvSpPr/>
                    <wps:spPr>
                      <a:xfrm>
                        <a:off x="4508753" y="3584420"/>
                        <a:ext cx="1674495" cy="391160"/>
                      </a:xfrm>
                      <a:prstGeom prst="rect">
                        <a:avLst/>
                      </a:prstGeom>
                      <a:noFill/>
                      <a:ln>
                        <a:noFill/>
                      </a:ln>
                    </wps:spPr>
                    <wps:txbx>
                      <w:txbxContent>
                        <w:p w14:paraId="67F47801" w14:textId="77777777" w:rsidR="00A75BD0" w:rsidRDefault="00A75BD0">
                          <w:pPr>
                            <w:spacing w:after="0" w:line="258" w:lineRule="auto"/>
                            <w:textDirection w:val="btLr"/>
                          </w:pPr>
                        </w:p>
                      </w:txbxContent>
                    </wps:txbx>
                    <wps:bodyPr spcFirstLastPara="1" wrap="square" lIns="254000" tIns="190500" rIns="0" bIns="0" anchor="t" anchorCtr="0">
                      <a:noAutofit/>
                    </wps:bodyPr>
                  </wps:wsp>
                </a:graphicData>
              </a:graphic>
            </wp:anchor>
          </w:drawing>
        </mc:Choice>
        <mc:Fallback>
          <w:pict>
            <v:rect w14:anchorId="7F0D10BC" id="Rectangle 2146653933" o:spid="_x0000_s1033" alt="[Organon] Confidential" style="position:absolute;margin-left:0;margin-top:0;width:139.35pt;height:38.3pt;z-index:251650048;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" filled="f" stroked="f">
              <v:textbox inset="20pt,15pt,0,0">
                <w:txbxContent>
                  <w:p w14:paraId="67F47801" w14:textId="77777777" w:rsidR="00A75BD0" w:rsidRDefault="00A75BD0">
                    <w:pPr>
                      <w:spacing w:after="0" w:line="258" w:lineRule="auto"/>
                      <w:textDirection w:val="btLr"/>
                    </w:pPr>
                  </w:p>
                </w:txbxContent>
              </v:textbox>
              <w10:wrap anchorx="page" anchory="page"/>
            </v:rect>
          </w:pict>
        </mc:Fallback>
      </mc:AlternateContent>
    </w:r>
    <w:r>
      <w:rPr>
        <w:noProof/>
        <w:color w:val="000000"/>
        <w:lang w:val="fr-FR"/>
      </w:rPr>
      <mc:AlternateContent>
        <mc:Choice Requires="wps">
          <w:drawing>
            <wp:anchor distT="0" distB="0" distL="0" distR="0" simplePos="0" relativeHeight="251651072" behindDoc="1" locked="0" layoutInCell="1" hidden="0" allowOverlap="1" wp14:anchorId="68E5AC51" wp14:editId="4E10985C">
              <wp:simplePos x="0" y="0"/>
              <wp:positionH relativeFrom="margin">
                <wp:align>center</wp:align>
              </wp:positionH>
              <wp:positionV relativeFrom="margin">
                <wp:align>center</wp:align>
              </wp:positionV>
              <wp:extent cx="186188171" cy="186188171"/>
              <wp:effectExtent l="0" t="0" r="0" b="0"/>
              <wp:wrapNone/>
              <wp:docPr id="2146653939" name="Rectangle 2146653939"/>
              <wp:cNvGraphicFramePr/>
              <a:graphic xmlns:a="http://schemas.openxmlformats.org/drawingml/2006/main">
                <a:graphicData uri="http://schemas.microsoft.com/office/word/2010/wordprocessingShape">
                  <wps:wsp>
                    <wps:cNvSpPr/>
                    <wps:spPr>
                      <a:xfrm rot="-2700000">
                        <a:off x="2284030" y="2759555"/>
                        <a:ext cx="6123940" cy="2040890"/>
                      </a:xfrm>
                      <a:prstGeom prst="rect">
                        <a:avLst/>
                      </a:prstGeom>
                      <a:noFill/>
                      <a:ln>
                        <a:noFill/>
                      </a:ln>
                    </wps:spPr>
                    <wps:txbx>
                      <w:txbxContent>
                        <w:p w14:paraId="0393AF52" w14:textId="77777777" w:rsidR="00A75BD0" w:rsidRDefault="00A75BD0">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8E5AC51" id="Rectangle 2146653939" o:spid="_x0000_s1034" style="position:absolute;margin-left:0;margin-top:0;width:14660.5pt;height:14660.5pt;rotation:-45;z-index:-25166540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" filled="f" stroked="f">
              <v:textbox inset="2.53958mm,2.53958mm,2.53958mm,2.53958mm">
                <w:txbxContent>
                  <w:p w14:paraId="0393AF52" w14:textId="77777777" w:rsidR="00A75BD0" w:rsidRDefault="00A75BD0">
                    <w:pPr>
                      <w:spacing w:after="0" w:line="240" w:lineRule="auto"/>
                      <w:jc w:val="center"/>
                      <w:textDirection w:val="btLr"/>
                    </w:pP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BF75" w14:textId="5BA24987" w:rsidR="00A75BD0" w:rsidRDefault="009D4DA5">
    <w:pPr>
      <w:pBdr>
        <w:top w:val="nil"/>
        <w:left w:val="nil"/>
        <w:bottom w:val="nil"/>
        <w:right w:val="nil"/>
        <w:between w:val="nil"/>
      </w:pBdr>
      <w:tabs>
        <w:tab w:val="center" w:pos="4536"/>
        <w:tab w:val="right" w:pos="9072"/>
      </w:tabs>
      <w:spacing w:after="0" w:line="240" w:lineRule="auto"/>
      <w:rPr>
        <w:color w:val="000000"/>
      </w:rPr>
    </w:pPr>
    <w:r>
      <w:rPr>
        <w:noProof/>
        <w:color w:val="000000"/>
        <w:lang w:val="fr-FR"/>
      </w:rPr>
      <mc:AlternateContent>
        <mc:Choice Requires="wps">
          <w:drawing>
            <wp:anchor distT="0" distB="0" distL="0" distR="0" simplePos="0" relativeHeight="251652096" behindDoc="0" locked="0" layoutInCell="1" hidden="0" allowOverlap="1" wp14:anchorId="6DB1E1B4" wp14:editId="5C2C9FE3">
              <wp:simplePos x="0" y="0"/>
              <wp:positionH relativeFrom="page">
                <wp:align>left</wp:align>
              </wp:positionH>
              <wp:positionV relativeFrom="page">
                <wp:align>top</wp:align>
              </wp:positionV>
              <wp:extent cx="1769745" cy="486410"/>
              <wp:effectExtent l="0" t="0" r="0" b="0"/>
              <wp:wrapNone/>
              <wp:docPr id="2146653937" name="Rectangle 2146653937" descr="[Organon] Confidential"/>
              <wp:cNvGraphicFramePr/>
              <a:graphic xmlns:a="http://schemas.openxmlformats.org/drawingml/2006/main">
                <a:graphicData uri="http://schemas.microsoft.com/office/word/2010/wordprocessingShape">
                  <wps:wsp>
                    <wps:cNvSpPr/>
                    <wps:spPr>
                      <a:xfrm>
                        <a:off x="4508753" y="3584420"/>
                        <a:ext cx="1674495" cy="391160"/>
                      </a:xfrm>
                      <a:prstGeom prst="rect">
                        <a:avLst/>
                      </a:prstGeom>
                      <a:noFill/>
                      <a:ln>
                        <a:noFill/>
                      </a:ln>
                    </wps:spPr>
                    <wps:txbx>
                      <w:txbxContent>
                        <w:p w14:paraId="52B33F86" w14:textId="77777777" w:rsidR="00A75BD0" w:rsidRDefault="00A75BD0">
                          <w:pPr>
                            <w:spacing w:after="0" w:line="258" w:lineRule="auto"/>
                            <w:textDirection w:val="btLr"/>
                          </w:pPr>
                        </w:p>
                      </w:txbxContent>
                    </wps:txbx>
                    <wps:bodyPr spcFirstLastPara="1" wrap="square" lIns="254000" tIns="190500" rIns="0" bIns="0" anchor="t" anchorCtr="0">
                      <a:noAutofit/>
                    </wps:bodyPr>
                  </wps:wsp>
                </a:graphicData>
              </a:graphic>
            </wp:anchor>
          </w:drawing>
        </mc:Choice>
        <mc:Fallback>
          <w:pict>
            <v:rect w14:anchorId="6DB1E1B4" id="Rectangle 2146653937" o:spid="_x0000_s1036" alt="[Organon] Confidential" style="position:absolute;margin-left:0;margin-top:0;width:139.35pt;height:38.3pt;z-index:251652096;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" filled="f" stroked="f">
              <v:textbox inset="20pt,15pt,0,0">
                <w:txbxContent>
                  <w:p w14:paraId="52B33F86" w14:textId="77777777" w:rsidR="00A75BD0" w:rsidRDefault="00A75BD0">
                    <w:pPr>
                      <w:spacing w:after="0" w:line="258" w:lineRule="auto"/>
                      <w:textDirection w:val="btLr"/>
                    </w:pPr>
                  </w:p>
                </w:txbxContent>
              </v:textbox>
              <w10:wrap anchorx="page" anchory="page"/>
            </v:rect>
          </w:pict>
        </mc:Fallback>
      </mc:AlternateContent>
    </w:r>
    <w:r>
      <w:rPr>
        <w:noProof/>
        <w:color w:val="000000"/>
        <w:lang w:val="fr-FR"/>
      </w:rPr>
      <mc:AlternateContent>
        <mc:Choice Requires="wps">
          <w:drawing>
            <wp:anchor distT="0" distB="0" distL="0" distR="0" simplePos="0" relativeHeight="251653120" behindDoc="1" locked="0" layoutInCell="1" hidden="0" allowOverlap="1" wp14:anchorId="36FEBE14" wp14:editId="65CECD58">
              <wp:simplePos x="0" y="0"/>
              <wp:positionH relativeFrom="margin">
                <wp:align>center</wp:align>
              </wp:positionH>
              <wp:positionV relativeFrom="margin">
                <wp:align>center</wp:align>
              </wp:positionV>
              <wp:extent cx="186188171" cy="186188171"/>
              <wp:effectExtent l="0" t="0" r="0" b="0"/>
              <wp:wrapNone/>
              <wp:docPr id="2146653934" name="Rectangle 2146653934"/>
              <wp:cNvGraphicFramePr/>
              <a:graphic xmlns:a="http://schemas.openxmlformats.org/drawingml/2006/main">
                <a:graphicData uri="http://schemas.microsoft.com/office/word/2010/wordprocessingShape">
                  <wps:wsp>
                    <wps:cNvSpPr/>
                    <wps:spPr>
                      <a:xfrm rot="-2700000">
                        <a:off x="2284030" y="2759555"/>
                        <a:ext cx="6123940" cy="2040890"/>
                      </a:xfrm>
                      <a:prstGeom prst="rect">
                        <a:avLst/>
                      </a:prstGeom>
                      <a:noFill/>
                      <a:ln>
                        <a:noFill/>
                      </a:ln>
                    </wps:spPr>
                    <wps:txbx>
                      <w:txbxContent>
                        <w:p w14:paraId="21458EFD" w14:textId="77777777" w:rsidR="00A75BD0" w:rsidRDefault="00A75BD0">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6FEBE14" id="Rectangle 2146653934" o:spid="_x0000_s1037" style="position:absolute;margin-left:0;margin-top:0;width:14660.5pt;height:14660.5pt;rotation:-45;z-index:-25166336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" filled="f" stroked="f">
              <v:textbox inset="2.53958mm,2.53958mm,2.53958mm,2.53958mm">
                <w:txbxContent>
                  <w:p w14:paraId="21458EFD" w14:textId="77777777" w:rsidR="00A75BD0" w:rsidRDefault="00A75BD0">
                    <w:pPr>
                      <w:spacing w:after="0" w:line="240" w:lineRule="auto"/>
                      <w:jc w:val="center"/>
                      <w:textDirection w:val="btLr"/>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B99"/>
    <w:multiLevelType w:val="multilevel"/>
    <w:tmpl w:val="D1FA22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o"/>
      <w:lvlJc w:val="left"/>
      <w:pPr>
        <w:ind w:left="1800" w:hanging="360"/>
      </w:pPr>
      <w:rPr>
        <w:rFonts w:ascii="Courier New" w:eastAsia="Courier New" w:hAnsi="Courier New" w:cs="Courier New"/>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o"/>
      <w:lvlJc w:val="left"/>
      <w:pPr>
        <w:ind w:left="3960" w:hanging="360"/>
      </w:pPr>
      <w:rPr>
        <w:rFonts w:ascii="Courier New" w:eastAsia="Courier New" w:hAnsi="Courier New" w:cs="Courier New"/>
      </w:rPr>
    </w:lvl>
    <w:lvl w:ilvl="8">
      <w:start w:val="1"/>
      <w:numFmt w:val="bullet"/>
      <w:lvlText w:val="▪"/>
      <w:lvlJc w:val="left"/>
      <w:pPr>
        <w:ind w:left="4680" w:hanging="360"/>
      </w:pPr>
      <w:rPr>
        <w:rFonts w:ascii="Noto Sans Symbols" w:eastAsia="Noto Sans Symbols" w:hAnsi="Noto Sans Symbols" w:cs="Noto Sans Symbols"/>
      </w:rPr>
    </w:lvl>
  </w:abstractNum>
  <w:abstractNum w:abstractNumId="1" w15:restartNumberingAfterBreak="0">
    <w:nsid w:val="02A94761"/>
    <w:multiLevelType w:val="multilevel"/>
    <w:tmpl w:val="4F562F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B14B96"/>
    <w:multiLevelType w:val="multilevel"/>
    <w:tmpl w:val="1BDE9E80"/>
    <w:lvl w:ilvl="0">
      <w:start w:val="1"/>
      <w:numFmt w:val="bullet"/>
      <w:pStyle w:val="Listenumro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4C94AE0"/>
    <w:multiLevelType w:val="multilevel"/>
    <w:tmpl w:val="81448620"/>
    <w:lvl w:ilvl="0">
      <w:start w:val="1"/>
      <w:numFmt w:val="bullet"/>
      <w:lvlText w:val="‒"/>
      <w:lvlJc w:val="left"/>
      <w:pPr>
        <w:ind w:left="680" w:hanging="362"/>
      </w:pPr>
      <w:rPr>
        <w:rFonts w:ascii="Arial" w:eastAsia="Arial" w:hAnsi="Arial" w:cs="Arial"/>
        <w:b w:val="0"/>
        <w:i w:val="0"/>
        <w:color w:val="000000"/>
        <w:sz w:val="22"/>
        <w:szCs w:val="22"/>
      </w:rPr>
    </w:lvl>
    <w:lvl w:ilvl="1">
      <w:start w:val="1"/>
      <w:numFmt w:val="bullet"/>
      <w:lvlText w:val="●"/>
      <w:lvlJc w:val="left"/>
      <w:pPr>
        <w:ind w:left="964" w:hanging="284"/>
      </w:pPr>
      <w:rPr>
        <w:rFonts w:ascii="Noto Sans Symbols" w:eastAsia="Noto Sans Symbols" w:hAnsi="Noto Sans Symbols" w:cs="Noto Sans Symbols"/>
        <w:b/>
        <w:color w:val="808080"/>
      </w:rPr>
    </w:lvl>
    <w:lvl w:ilvl="2">
      <w:start w:val="1"/>
      <w:numFmt w:val="bullet"/>
      <w:lvlText w:val="-"/>
      <w:lvlJc w:val="left"/>
      <w:pPr>
        <w:ind w:left="1247" w:hanging="283"/>
      </w:pPr>
      <w:rPr>
        <w:rFonts w:ascii="Arial" w:eastAsia="Arial" w:hAnsi="Arial" w:cs="Arial"/>
        <w:b w:val="0"/>
        <w:i w:val="0"/>
        <w:color w:val="808080"/>
        <w:sz w:val="22"/>
        <w:szCs w:val="22"/>
      </w:rPr>
    </w:lvl>
    <w:lvl w:ilvl="3">
      <w:start w:val="1"/>
      <w:numFmt w:val="bullet"/>
      <w:lvlText w:val="o"/>
      <w:lvlJc w:val="left"/>
      <w:pPr>
        <w:ind w:left="1871" w:hanging="567"/>
      </w:pPr>
      <w:rPr>
        <w:rFonts w:ascii="Courier New" w:eastAsia="Courier New" w:hAnsi="Courier New" w:cs="Courier New"/>
        <w:color w:val="80808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1451DA"/>
    <w:multiLevelType w:val="multilevel"/>
    <w:tmpl w:val="C820005E"/>
    <w:lvl w:ilvl="0">
      <w:start w:val="1"/>
      <w:numFmt w:val="decimal"/>
      <w:lvlText w:val="%1."/>
      <w:lvlJc w:val="left"/>
      <w:pPr>
        <w:ind w:left="739" w:hanging="502"/>
      </w:pPr>
      <w:rPr>
        <w:rFonts w:ascii="Times New Roman" w:eastAsia="Times New Roman" w:hAnsi="Times New Roman" w:cs="Times New Roman"/>
        <w:sz w:val="20"/>
        <w:szCs w:val="20"/>
      </w:rPr>
    </w:lvl>
    <w:lvl w:ilvl="1">
      <w:numFmt w:val="bullet"/>
      <w:lvlText w:val="●"/>
      <w:lvlJc w:val="left"/>
      <w:pPr>
        <w:ind w:left="804" w:hanging="286"/>
      </w:pPr>
      <w:rPr>
        <w:rFonts w:ascii="Noto Sans Symbols" w:eastAsia="Noto Sans Symbols" w:hAnsi="Noto Sans Symbols" w:cs="Noto Sans Symbols"/>
        <w:sz w:val="24"/>
        <w:szCs w:val="24"/>
      </w:rPr>
    </w:lvl>
    <w:lvl w:ilvl="2">
      <w:numFmt w:val="bullet"/>
      <w:lvlText w:val="•"/>
      <w:lvlJc w:val="left"/>
      <w:pPr>
        <w:ind w:left="1784" w:hanging="286"/>
      </w:pPr>
    </w:lvl>
    <w:lvl w:ilvl="3">
      <w:numFmt w:val="bullet"/>
      <w:lvlText w:val="•"/>
      <w:lvlJc w:val="left"/>
      <w:pPr>
        <w:ind w:left="2768" w:hanging="286"/>
      </w:pPr>
    </w:lvl>
    <w:lvl w:ilvl="4">
      <w:numFmt w:val="bullet"/>
      <w:lvlText w:val="•"/>
      <w:lvlJc w:val="left"/>
      <w:pPr>
        <w:ind w:left="3753" w:hanging="286"/>
      </w:pPr>
    </w:lvl>
    <w:lvl w:ilvl="5">
      <w:numFmt w:val="bullet"/>
      <w:lvlText w:val="•"/>
      <w:lvlJc w:val="left"/>
      <w:pPr>
        <w:ind w:left="4737" w:hanging="286"/>
      </w:pPr>
    </w:lvl>
    <w:lvl w:ilvl="6">
      <w:numFmt w:val="bullet"/>
      <w:lvlText w:val="•"/>
      <w:lvlJc w:val="left"/>
      <w:pPr>
        <w:ind w:left="5722" w:hanging="286"/>
      </w:pPr>
    </w:lvl>
    <w:lvl w:ilvl="7">
      <w:numFmt w:val="bullet"/>
      <w:lvlText w:val="•"/>
      <w:lvlJc w:val="left"/>
      <w:pPr>
        <w:ind w:left="6706" w:hanging="286"/>
      </w:pPr>
    </w:lvl>
    <w:lvl w:ilvl="8">
      <w:numFmt w:val="bullet"/>
      <w:lvlText w:val="•"/>
      <w:lvlJc w:val="left"/>
      <w:pPr>
        <w:ind w:left="7691" w:hanging="286"/>
      </w:pPr>
    </w:lvl>
  </w:abstractNum>
  <w:abstractNum w:abstractNumId="5" w15:restartNumberingAfterBreak="0">
    <w:nsid w:val="0E8E09CD"/>
    <w:multiLevelType w:val="multilevel"/>
    <w:tmpl w:val="5C26B366"/>
    <w:lvl w:ilvl="0">
      <w:start w:val="1"/>
      <w:numFmt w:val="bullet"/>
      <w:pStyle w:val="Listepuces5"/>
      <w:lvlText w:val="●"/>
      <w:lvlJc w:val="left"/>
      <w:pPr>
        <w:ind w:left="480" w:hanging="360"/>
      </w:pPr>
      <w:rPr>
        <w:rFonts w:ascii="Noto Sans Symbols" w:eastAsia="Noto Sans Symbols" w:hAnsi="Noto Sans Symbols" w:cs="Noto Sans Symbols"/>
      </w:rPr>
    </w:lvl>
    <w:lvl w:ilvl="1">
      <w:start w:val="1"/>
      <w:numFmt w:val="bullet"/>
      <w:lvlText w:val="o"/>
      <w:lvlJc w:val="left"/>
      <w:pPr>
        <w:ind w:left="120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640" w:hanging="360"/>
      </w:pPr>
      <w:rPr>
        <w:rFonts w:ascii="Noto Sans Symbols" w:eastAsia="Noto Sans Symbols" w:hAnsi="Noto Sans Symbols" w:cs="Noto Sans Symbols"/>
      </w:rPr>
    </w:lvl>
    <w:lvl w:ilvl="4">
      <w:start w:val="1"/>
      <w:numFmt w:val="bullet"/>
      <w:lvlText w:val="o"/>
      <w:lvlJc w:val="left"/>
      <w:pPr>
        <w:ind w:left="3360" w:hanging="360"/>
      </w:pPr>
      <w:rPr>
        <w:rFonts w:ascii="Courier New" w:eastAsia="Courier New" w:hAnsi="Courier New" w:cs="Courier New"/>
      </w:rPr>
    </w:lvl>
    <w:lvl w:ilvl="5">
      <w:start w:val="1"/>
      <w:numFmt w:val="bullet"/>
      <w:lvlText w:val="▪"/>
      <w:lvlJc w:val="left"/>
      <w:pPr>
        <w:ind w:left="4080" w:hanging="360"/>
      </w:pPr>
      <w:rPr>
        <w:rFonts w:ascii="Noto Sans Symbols" w:eastAsia="Noto Sans Symbols" w:hAnsi="Noto Sans Symbols" w:cs="Noto Sans Symbols"/>
      </w:rPr>
    </w:lvl>
    <w:lvl w:ilvl="6">
      <w:start w:val="1"/>
      <w:numFmt w:val="bullet"/>
      <w:lvlText w:val="●"/>
      <w:lvlJc w:val="left"/>
      <w:pPr>
        <w:ind w:left="4800" w:hanging="360"/>
      </w:pPr>
      <w:rPr>
        <w:rFonts w:ascii="Noto Sans Symbols" w:eastAsia="Noto Sans Symbols" w:hAnsi="Noto Sans Symbols" w:cs="Noto Sans Symbols"/>
      </w:rPr>
    </w:lvl>
    <w:lvl w:ilvl="7">
      <w:start w:val="1"/>
      <w:numFmt w:val="bullet"/>
      <w:lvlText w:val="o"/>
      <w:lvlJc w:val="left"/>
      <w:pPr>
        <w:ind w:left="5520" w:hanging="360"/>
      </w:pPr>
      <w:rPr>
        <w:rFonts w:ascii="Courier New" w:eastAsia="Courier New" w:hAnsi="Courier New" w:cs="Courier New"/>
      </w:rPr>
    </w:lvl>
    <w:lvl w:ilvl="8">
      <w:start w:val="1"/>
      <w:numFmt w:val="bullet"/>
      <w:lvlText w:val="▪"/>
      <w:lvlJc w:val="left"/>
      <w:pPr>
        <w:ind w:left="6240" w:hanging="360"/>
      </w:pPr>
      <w:rPr>
        <w:rFonts w:ascii="Noto Sans Symbols" w:eastAsia="Noto Sans Symbols" w:hAnsi="Noto Sans Symbols" w:cs="Noto Sans Symbols"/>
      </w:rPr>
    </w:lvl>
  </w:abstractNum>
  <w:abstractNum w:abstractNumId="6" w15:restartNumberingAfterBreak="0">
    <w:nsid w:val="0F847CAC"/>
    <w:multiLevelType w:val="multilevel"/>
    <w:tmpl w:val="4914E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F25EB0"/>
    <w:multiLevelType w:val="multilevel"/>
    <w:tmpl w:val="7D940C90"/>
    <w:lvl w:ilvl="0">
      <w:start w:val="1"/>
      <w:numFmt w:val="bullet"/>
      <w:pStyle w:val="A-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03D339C"/>
    <w:multiLevelType w:val="multilevel"/>
    <w:tmpl w:val="25DC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1C4B67"/>
    <w:multiLevelType w:val="multilevel"/>
    <w:tmpl w:val="DDE42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9715F6"/>
    <w:multiLevelType w:val="multilevel"/>
    <w:tmpl w:val="8A08D27C"/>
    <w:lvl w:ilvl="0">
      <w:start w:val="1"/>
      <w:numFmt w:val="bullet"/>
      <w:pStyle w:val="Titre3emeNiv"/>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8E3612B"/>
    <w:multiLevelType w:val="multilevel"/>
    <w:tmpl w:val="F3689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AC1321"/>
    <w:multiLevelType w:val="multilevel"/>
    <w:tmpl w:val="0BA06148"/>
    <w:lvl w:ilvl="0">
      <w:start w:val="1"/>
      <w:numFmt w:val="bullet"/>
      <w:pStyle w:val="Listenumro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FD73702"/>
    <w:multiLevelType w:val="multilevel"/>
    <w:tmpl w:val="EBF00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616B1E"/>
    <w:multiLevelType w:val="multilevel"/>
    <w:tmpl w:val="3A6EFD74"/>
    <w:lvl w:ilvl="0">
      <w:start w:val="1"/>
      <w:numFmt w:val="bullet"/>
      <w:lvlText w:val="‒"/>
      <w:lvlJc w:val="left"/>
      <w:pPr>
        <w:ind w:left="680" w:hanging="362"/>
      </w:pPr>
      <w:rPr>
        <w:rFonts w:ascii="Arial" w:eastAsia="Arial" w:hAnsi="Arial" w:cs="Arial"/>
        <w:b/>
        <w:i w:val="0"/>
        <w:color w:val="808080"/>
        <w:sz w:val="22"/>
        <w:szCs w:val="22"/>
      </w:rPr>
    </w:lvl>
    <w:lvl w:ilvl="1">
      <w:start w:val="1"/>
      <w:numFmt w:val="bullet"/>
      <w:lvlText w:val="●"/>
      <w:lvlJc w:val="left"/>
      <w:pPr>
        <w:ind w:left="964" w:hanging="284"/>
      </w:pPr>
      <w:rPr>
        <w:rFonts w:ascii="Noto Sans Symbols" w:eastAsia="Noto Sans Symbols" w:hAnsi="Noto Sans Symbols" w:cs="Noto Sans Symbols"/>
        <w:b/>
        <w:color w:val="808080"/>
      </w:rPr>
    </w:lvl>
    <w:lvl w:ilvl="2">
      <w:start w:val="1"/>
      <w:numFmt w:val="bullet"/>
      <w:lvlText w:val="-"/>
      <w:lvlJc w:val="left"/>
      <w:pPr>
        <w:ind w:left="1247" w:hanging="283"/>
      </w:pPr>
      <w:rPr>
        <w:rFonts w:ascii="Arial" w:eastAsia="Arial" w:hAnsi="Arial" w:cs="Arial"/>
        <w:b w:val="0"/>
        <w:i w:val="0"/>
        <w:color w:val="808080"/>
        <w:sz w:val="22"/>
        <w:szCs w:val="22"/>
      </w:rPr>
    </w:lvl>
    <w:lvl w:ilvl="3">
      <w:start w:val="1"/>
      <w:numFmt w:val="bullet"/>
      <w:lvlText w:val="o"/>
      <w:lvlJc w:val="left"/>
      <w:pPr>
        <w:ind w:left="1871" w:hanging="567"/>
      </w:pPr>
      <w:rPr>
        <w:rFonts w:ascii="Courier New" w:eastAsia="Courier New" w:hAnsi="Courier New" w:cs="Courier New"/>
        <w:color w:val="80808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4D134D"/>
    <w:multiLevelType w:val="multilevel"/>
    <w:tmpl w:val="2B5E4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014894"/>
    <w:multiLevelType w:val="multilevel"/>
    <w:tmpl w:val="1D721DC0"/>
    <w:lvl w:ilvl="0">
      <w:numFmt w:val="bullet"/>
      <w:lvlText w:val="-"/>
      <w:lvlJc w:val="left"/>
      <w:pPr>
        <w:ind w:left="720" w:hanging="360"/>
      </w:pPr>
      <w:rPr>
        <w:rFonts w:ascii="Arial" w:eastAsia="Arial" w:hAnsi="Arial" w:cs="Arial"/>
        <w:i w:val="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A6288C"/>
    <w:multiLevelType w:val="multilevel"/>
    <w:tmpl w:val="87A8C326"/>
    <w:lvl w:ilvl="0">
      <w:start w:val="1"/>
      <w:numFmt w:val="bullet"/>
      <w:pStyle w:val="Listepuce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3AA319C"/>
    <w:multiLevelType w:val="multilevel"/>
    <w:tmpl w:val="C2048BF0"/>
    <w:lvl w:ilvl="0">
      <w:start w:val="1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88B6861"/>
    <w:multiLevelType w:val="multilevel"/>
    <w:tmpl w:val="23B06E38"/>
    <w:lvl w:ilvl="0">
      <w:start w:val="1"/>
      <w:numFmt w:val="bullet"/>
      <w:pStyle w:val="Listenumros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96B7805"/>
    <w:multiLevelType w:val="multilevel"/>
    <w:tmpl w:val="73923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F9D31C2"/>
    <w:multiLevelType w:val="multilevel"/>
    <w:tmpl w:val="329CD39E"/>
    <w:lvl w:ilvl="0">
      <w:start w:val="1"/>
      <w:numFmt w:val="bullet"/>
      <w:pStyle w:val="Titre2emeNiv"/>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3222E9D"/>
    <w:multiLevelType w:val="multilevel"/>
    <w:tmpl w:val="0D9A0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5342E5F"/>
    <w:multiLevelType w:val="multilevel"/>
    <w:tmpl w:val="4322D2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7A95133"/>
    <w:multiLevelType w:val="multilevel"/>
    <w:tmpl w:val="BB6A8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8577B6"/>
    <w:multiLevelType w:val="multilevel"/>
    <w:tmpl w:val="9EB284C8"/>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5F43418"/>
    <w:multiLevelType w:val="multilevel"/>
    <w:tmpl w:val="8626D340"/>
    <w:lvl w:ilvl="0">
      <w:start w:val="1"/>
      <w:numFmt w:val="bullet"/>
      <w:pStyle w:val="Table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6E258A8"/>
    <w:multiLevelType w:val="multilevel"/>
    <w:tmpl w:val="D97AB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E672AE"/>
    <w:multiLevelType w:val="multilevel"/>
    <w:tmpl w:val="8646BDB6"/>
    <w:lvl w:ilvl="0">
      <w:start w:val="1"/>
      <w:numFmt w:val="bullet"/>
      <w:lvlText w:val="🡺"/>
      <w:lvlJc w:val="left"/>
      <w:pPr>
        <w:ind w:left="680" w:hanging="362"/>
      </w:pPr>
      <w:rPr>
        <w:rFonts w:ascii="Noto Sans Symbols" w:eastAsia="Noto Sans Symbols" w:hAnsi="Noto Sans Symbols" w:cs="Noto Sans Symbols"/>
        <w:b/>
        <w:i w:val="0"/>
        <w:color w:val="808080"/>
        <w:sz w:val="22"/>
        <w:szCs w:val="22"/>
      </w:rPr>
    </w:lvl>
    <w:lvl w:ilvl="1">
      <w:start w:val="1"/>
      <w:numFmt w:val="bullet"/>
      <w:lvlText w:val="●"/>
      <w:lvlJc w:val="left"/>
      <w:pPr>
        <w:ind w:left="964" w:hanging="284"/>
      </w:pPr>
      <w:rPr>
        <w:rFonts w:ascii="Noto Sans Symbols" w:eastAsia="Noto Sans Symbols" w:hAnsi="Noto Sans Symbols" w:cs="Noto Sans Symbols"/>
        <w:b/>
        <w:color w:val="808080"/>
      </w:rPr>
    </w:lvl>
    <w:lvl w:ilvl="2">
      <w:start w:val="1"/>
      <w:numFmt w:val="bullet"/>
      <w:lvlText w:val="-"/>
      <w:lvlJc w:val="left"/>
      <w:pPr>
        <w:ind w:left="1247" w:hanging="283"/>
      </w:pPr>
      <w:rPr>
        <w:rFonts w:ascii="Arial" w:eastAsia="Arial" w:hAnsi="Arial" w:cs="Arial"/>
        <w:b w:val="0"/>
        <w:i w:val="0"/>
        <w:color w:val="808080"/>
        <w:sz w:val="22"/>
        <w:szCs w:val="22"/>
      </w:rPr>
    </w:lvl>
    <w:lvl w:ilvl="3">
      <w:start w:val="1"/>
      <w:numFmt w:val="bullet"/>
      <w:lvlText w:val="o"/>
      <w:lvlJc w:val="left"/>
      <w:pPr>
        <w:ind w:left="1871" w:hanging="567"/>
      </w:pPr>
      <w:rPr>
        <w:rFonts w:ascii="Courier New" w:eastAsia="Courier New" w:hAnsi="Courier New" w:cs="Courier New"/>
        <w:color w:val="80808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8174010"/>
    <w:multiLevelType w:val="multilevel"/>
    <w:tmpl w:val="C150A7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A634EF3"/>
    <w:multiLevelType w:val="multilevel"/>
    <w:tmpl w:val="04D015C0"/>
    <w:lvl w:ilvl="0">
      <w:start w:val="1"/>
      <w:numFmt w:val="bullet"/>
      <w:pStyle w:val="Listepuces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04427B"/>
    <w:multiLevelType w:val="multilevel"/>
    <w:tmpl w:val="65D27E1C"/>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44D1915"/>
    <w:multiLevelType w:val="multilevel"/>
    <w:tmpl w:val="DBA6E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9BB66EF"/>
    <w:multiLevelType w:val="multilevel"/>
    <w:tmpl w:val="6C7C70BC"/>
    <w:lvl w:ilvl="0">
      <w:start w:val="1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AF575DB"/>
    <w:multiLevelType w:val="multilevel"/>
    <w:tmpl w:val="8B384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1D13B2"/>
    <w:multiLevelType w:val="multilevel"/>
    <w:tmpl w:val="6F40755A"/>
    <w:lvl w:ilvl="0">
      <w:start w:val="10"/>
      <w:numFmt w:val="bullet"/>
      <w:lvlText w:val="-"/>
      <w:lvlJc w:val="left"/>
      <w:pPr>
        <w:ind w:left="360" w:hanging="360"/>
      </w:pPr>
      <w:rPr>
        <w:rFonts w:ascii="Arial" w:eastAsia="Arial" w:hAnsi="Arial" w:cs="Arial"/>
      </w:rPr>
    </w:lvl>
    <w:lvl w:ilvl="1">
      <w:start w:val="1"/>
      <w:numFmt w:val="bullet"/>
      <w:lvlText w:val="●"/>
      <w:lvlJc w:val="left"/>
      <w:pPr>
        <w:ind w:left="1785" w:hanging="360"/>
      </w:pPr>
      <w:rPr>
        <w:rFonts w:ascii="Noto Sans Symbols" w:eastAsia="Noto Sans Symbols" w:hAnsi="Noto Sans Symbols" w:cs="Noto Sans Symbols"/>
      </w:rPr>
    </w:lvl>
    <w:lvl w:ilvl="2">
      <w:start w:val="1"/>
      <w:numFmt w:val="decimal"/>
      <w:lvlText w:val="%3)"/>
      <w:lvlJc w:val="left"/>
      <w:pPr>
        <w:ind w:left="2505" w:hanging="360"/>
      </w:p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36" w15:restartNumberingAfterBreak="0">
    <w:nsid w:val="71F464D1"/>
    <w:multiLevelType w:val="multilevel"/>
    <w:tmpl w:val="CA92ED10"/>
    <w:lvl w:ilvl="0">
      <w:start w:val="3"/>
      <w:numFmt w:val="bullet"/>
      <w:pStyle w:val="Listenumros4"/>
      <w:lvlText w:val="-"/>
      <w:lvlJc w:val="left"/>
      <w:pPr>
        <w:ind w:left="720" w:hanging="360"/>
      </w:pPr>
      <w:rPr>
        <w:rFonts w:ascii="Imago" w:eastAsia="Imago" w:hAnsi="Imago" w:cs="Imag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D7841E4"/>
    <w:multiLevelType w:val="multilevel"/>
    <w:tmpl w:val="F174B3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75932943">
    <w:abstractNumId w:val="34"/>
  </w:num>
  <w:num w:numId="2" w16cid:durableId="1599827366">
    <w:abstractNumId w:val="29"/>
  </w:num>
  <w:num w:numId="3" w16cid:durableId="1164083110">
    <w:abstractNumId w:val="9"/>
  </w:num>
  <w:num w:numId="4" w16cid:durableId="709651870">
    <w:abstractNumId w:val="1"/>
  </w:num>
  <w:num w:numId="5" w16cid:durableId="254098220">
    <w:abstractNumId w:val="33"/>
  </w:num>
  <w:num w:numId="6" w16cid:durableId="1926301075">
    <w:abstractNumId w:val="14"/>
  </w:num>
  <w:num w:numId="7" w16cid:durableId="566771941">
    <w:abstractNumId w:val="8"/>
  </w:num>
  <w:num w:numId="8" w16cid:durableId="1558739587">
    <w:abstractNumId w:val="0"/>
  </w:num>
  <w:num w:numId="9" w16cid:durableId="1332493075">
    <w:abstractNumId w:val="35"/>
  </w:num>
  <w:num w:numId="10" w16cid:durableId="257562365">
    <w:abstractNumId w:val="6"/>
  </w:num>
  <w:num w:numId="11" w16cid:durableId="87850511">
    <w:abstractNumId w:val="10"/>
  </w:num>
  <w:num w:numId="12" w16cid:durableId="1914200813">
    <w:abstractNumId w:val="21"/>
  </w:num>
  <w:num w:numId="13" w16cid:durableId="1280796580">
    <w:abstractNumId w:val="17"/>
  </w:num>
  <w:num w:numId="14" w16cid:durableId="1513491407">
    <w:abstractNumId w:val="30"/>
  </w:num>
  <w:num w:numId="15" w16cid:durableId="310714268">
    <w:abstractNumId w:val="5"/>
  </w:num>
  <w:num w:numId="16" w16cid:durableId="149106108">
    <w:abstractNumId w:val="2"/>
  </w:num>
  <w:num w:numId="17" w16cid:durableId="1537936170">
    <w:abstractNumId w:val="12"/>
  </w:num>
  <w:num w:numId="18" w16cid:durableId="583495994">
    <w:abstractNumId w:val="36"/>
  </w:num>
  <w:num w:numId="19" w16cid:durableId="1290864275">
    <w:abstractNumId w:val="19"/>
  </w:num>
  <w:num w:numId="20" w16cid:durableId="1972904218">
    <w:abstractNumId w:val="15"/>
  </w:num>
  <w:num w:numId="21" w16cid:durableId="548227118">
    <w:abstractNumId w:val="7"/>
  </w:num>
  <w:num w:numId="22" w16cid:durableId="1813476293">
    <w:abstractNumId w:val="26"/>
  </w:num>
  <w:num w:numId="23" w16cid:durableId="1129665182">
    <w:abstractNumId w:val="25"/>
  </w:num>
  <w:num w:numId="24" w16cid:durableId="81413897">
    <w:abstractNumId w:val="24"/>
  </w:num>
  <w:num w:numId="25" w16cid:durableId="442386125">
    <w:abstractNumId w:val="3"/>
  </w:num>
  <w:num w:numId="26" w16cid:durableId="1157723801">
    <w:abstractNumId w:val="32"/>
  </w:num>
  <w:num w:numId="27" w16cid:durableId="501706474">
    <w:abstractNumId w:val="27"/>
  </w:num>
  <w:num w:numId="28" w16cid:durableId="1129514630">
    <w:abstractNumId w:val="18"/>
  </w:num>
  <w:num w:numId="29" w16cid:durableId="1030836308">
    <w:abstractNumId w:val="4"/>
  </w:num>
  <w:num w:numId="30" w16cid:durableId="1697348004">
    <w:abstractNumId w:val="37"/>
  </w:num>
  <w:num w:numId="31" w16cid:durableId="309134851">
    <w:abstractNumId w:val="28"/>
  </w:num>
  <w:num w:numId="32" w16cid:durableId="862285163">
    <w:abstractNumId w:val="16"/>
  </w:num>
  <w:num w:numId="33" w16cid:durableId="443229379">
    <w:abstractNumId w:val="23"/>
  </w:num>
  <w:num w:numId="34" w16cid:durableId="1037508856">
    <w:abstractNumId w:val="22"/>
  </w:num>
  <w:num w:numId="35" w16cid:durableId="1342663113">
    <w:abstractNumId w:val="31"/>
  </w:num>
  <w:num w:numId="36" w16cid:durableId="615255643">
    <w:abstractNumId w:val="11"/>
  </w:num>
  <w:num w:numId="37" w16cid:durableId="641236732">
    <w:abstractNumId w:val="20"/>
  </w:num>
  <w:num w:numId="38" w16cid:durableId="18582324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BD0"/>
    <w:rsid w:val="00006A50"/>
    <w:rsid w:val="00027665"/>
    <w:rsid w:val="000D70BE"/>
    <w:rsid w:val="000E2349"/>
    <w:rsid w:val="00146D5A"/>
    <w:rsid w:val="001D7338"/>
    <w:rsid w:val="001E1168"/>
    <w:rsid w:val="002258A1"/>
    <w:rsid w:val="0027322B"/>
    <w:rsid w:val="00291CBC"/>
    <w:rsid w:val="002F6A24"/>
    <w:rsid w:val="00344813"/>
    <w:rsid w:val="00397A70"/>
    <w:rsid w:val="003F0505"/>
    <w:rsid w:val="003F553B"/>
    <w:rsid w:val="004F45FC"/>
    <w:rsid w:val="0069657F"/>
    <w:rsid w:val="007428DF"/>
    <w:rsid w:val="00795ACF"/>
    <w:rsid w:val="007E41D7"/>
    <w:rsid w:val="008853BF"/>
    <w:rsid w:val="008D5092"/>
    <w:rsid w:val="00930681"/>
    <w:rsid w:val="00963AB2"/>
    <w:rsid w:val="009A3062"/>
    <w:rsid w:val="009D4DA5"/>
    <w:rsid w:val="00A4383F"/>
    <w:rsid w:val="00A75BD0"/>
    <w:rsid w:val="00A77BA0"/>
    <w:rsid w:val="00AF1C35"/>
    <w:rsid w:val="00B2087D"/>
    <w:rsid w:val="00BE31CC"/>
    <w:rsid w:val="00BE5B15"/>
    <w:rsid w:val="00C2498B"/>
    <w:rsid w:val="00C37533"/>
    <w:rsid w:val="00D96D2D"/>
    <w:rsid w:val="00DA632B"/>
    <w:rsid w:val="00E6601B"/>
    <w:rsid w:val="00F556C7"/>
    <w:rsid w:val="00FA49D1"/>
    <w:rsid w:val="00FD13D0"/>
    <w:rsid w:val="00FF1746"/>
    <w:rsid w:val="0BA40188"/>
    <w:rsid w:val="11459CE8"/>
    <w:rsid w:val="4DBE9514"/>
    <w:rsid w:val="5349355A"/>
    <w:rsid w:val="5C887A23"/>
    <w:rsid w:val="5CE7F154"/>
    <w:rsid w:val="737B86D9"/>
    <w:rsid w:val="78EB90E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EB37C"/>
  <w15:docId w15:val="{6C8458C6-1362-48FC-82AA-2F21F336E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widowControl w:val="0"/>
      <w:spacing w:before="89" w:after="0" w:line="240" w:lineRule="auto"/>
      <w:outlineLvl w:val="0"/>
    </w:pPr>
    <w:rPr>
      <w:rFonts w:ascii="Times New Roman" w:eastAsia="Times New Roman" w:hAnsi="Times New Roman" w:cs="Times New Roman"/>
      <w:b/>
      <w:sz w:val="28"/>
      <w:szCs w:val="28"/>
    </w:rPr>
  </w:style>
  <w:style w:type="paragraph" w:styleId="Titre2">
    <w:name w:val="heading 2"/>
    <w:basedOn w:val="Normal"/>
    <w:next w:val="Normal"/>
    <w:link w:val="Titre2Car"/>
    <w:uiPriority w:val="9"/>
    <w:unhideWhenUsed/>
    <w:qFormat/>
    <w:pPr>
      <w:keepNext/>
      <w:keepLines/>
      <w:spacing w:before="40" w:after="0"/>
      <w:outlineLvl w:val="1"/>
    </w:pPr>
    <w:rPr>
      <w:color w:val="2E75B5"/>
      <w:sz w:val="26"/>
      <w:szCs w:val="26"/>
    </w:rPr>
  </w:style>
  <w:style w:type="paragraph" w:styleId="Titre3">
    <w:name w:val="heading 3"/>
    <w:basedOn w:val="Normal"/>
    <w:next w:val="Normal"/>
    <w:link w:val="Titre3Car"/>
    <w:uiPriority w:val="9"/>
    <w:semiHidden/>
    <w:unhideWhenUsed/>
    <w:qFormat/>
    <w:pPr>
      <w:keepNext/>
      <w:keepLines/>
      <w:spacing w:before="40" w:after="0"/>
      <w:outlineLvl w:val="2"/>
    </w:pPr>
    <w:rPr>
      <w:color w:val="1E4D78"/>
      <w:sz w:val="24"/>
      <w:szCs w:val="24"/>
    </w:rPr>
  </w:style>
  <w:style w:type="paragraph" w:styleId="Titre4">
    <w:name w:val="heading 4"/>
    <w:basedOn w:val="Normal"/>
    <w:next w:val="Normal"/>
    <w:link w:val="Titre4Car"/>
    <w:uiPriority w:val="9"/>
    <w:semiHidden/>
    <w:unhideWhenUsed/>
    <w:qFormat/>
    <w:pPr>
      <w:keepNext/>
      <w:keepLines/>
      <w:spacing w:before="240" w:after="0" w:line="240" w:lineRule="auto"/>
      <w:ind w:left="1008" w:hanging="1008"/>
      <w:outlineLvl w:val="3"/>
    </w:pPr>
    <w:rPr>
      <w:rFonts w:ascii="Arial" w:eastAsia="Arial" w:hAnsi="Arial" w:cs="Arial"/>
      <w:b/>
      <w:sz w:val="24"/>
      <w:szCs w:val="24"/>
    </w:rPr>
  </w:style>
  <w:style w:type="paragraph" w:styleId="Titre5">
    <w:name w:val="heading 5"/>
    <w:basedOn w:val="Normal"/>
    <w:next w:val="Normal"/>
    <w:link w:val="Titre5Car"/>
    <w:uiPriority w:val="9"/>
    <w:semiHidden/>
    <w:unhideWhenUsed/>
    <w:qFormat/>
    <w:pPr>
      <w:keepNext/>
      <w:keepLines/>
      <w:spacing w:before="240" w:after="0" w:line="240" w:lineRule="auto"/>
      <w:ind w:left="360" w:hanging="360"/>
      <w:outlineLvl w:val="4"/>
    </w:pPr>
    <w:rPr>
      <w:rFonts w:ascii="Arial" w:eastAsia="Arial" w:hAnsi="Arial" w:cs="Arial"/>
      <w:sz w:val="24"/>
      <w:szCs w:val="24"/>
    </w:rPr>
  </w:style>
  <w:style w:type="paragraph" w:styleId="Titre6">
    <w:name w:val="heading 6"/>
    <w:basedOn w:val="Normal"/>
    <w:next w:val="Normal"/>
    <w:link w:val="Titre6Car"/>
    <w:uiPriority w:val="9"/>
    <w:semiHidden/>
    <w:unhideWhenUsed/>
    <w:qFormat/>
    <w:pPr>
      <w:keepNext/>
      <w:keepLines/>
      <w:spacing w:before="240" w:after="60" w:line="240" w:lineRule="auto"/>
      <w:ind w:left="1701" w:hanging="1701"/>
      <w:outlineLvl w:val="5"/>
    </w:pPr>
    <w:rPr>
      <w:b/>
    </w:rPr>
  </w:style>
  <w:style w:type="paragraph" w:styleId="Titre7">
    <w:name w:val="heading 7"/>
    <w:basedOn w:val="Normal"/>
    <w:next w:val="Text"/>
    <w:link w:val="Titre7Car"/>
    <w:uiPriority w:val="9"/>
    <w:qFormat/>
    <w:rsid w:val="002706A2"/>
    <w:pPr>
      <w:keepNext/>
      <w:keepLines/>
      <w:spacing w:before="240" w:after="60" w:line="240" w:lineRule="auto"/>
      <w:ind w:left="1701" w:hanging="1701"/>
      <w:outlineLvl w:val="6"/>
    </w:pPr>
    <w:rPr>
      <w:rFonts w:eastAsia="Times New Roman" w:cs="Times New Roman"/>
      <w:sz w:val="24"/>
      <w:szCs w:val="24"/>
      <w:lang w:val="en-US"/>
    </w:rPr>
  </w:style>
  <w:style w:type="paragraph" w:styleId="Titre8">
    <w:name w:val="heading 8"/>
    <w:basedOn w:val="Normal"/>
    <w:next w:val="Normal"/>
    <w:link w:val="Titre8Car"/>
    <w:uiPriority w:val="9"/>
    <w:qFormat/>
    <w:rsid w:val="002706A2"/>
    <w:pPr>
      <w:keepLines/>
      <w:spacing w:before="240" w:after="60" w:line="240" w:lineRule="auto"/>
      <w:outlineLvl w:val="7"/>
    </w:pPr>
    <w:rPr>
      <w:rFonts w:eastAsia="Times New Roman" w:cs="Times New Roman"/>
      <w:i/>
      <w:iCs/>
      <w:sz w:val="24"/>
      <w:szCs w:val="24"/>
      <w:lang w:val="en-US"/>
    </w:rPr>
  </w:style>
  <w:style w:type="paragraph" w:styleId="Titre9">
    <w:name w:val="heading 9"/>
    <w:basedOn w:val="Normal"/>
    <w:next w:val="Normal"/>
    <w:link w:val="Titre9Car"/>
    <w:uiPriority w:val="9"/>
    <w:qFormat/>
    <w:rsid w:val="002706A2"/>
    <w:pPr>
      <w:keepLines/>
      <w:spacing w:before="240" w:after="60" w:line="240" w:lineRule="auto"/>
      <w:outlineLvl w:val="8"/>
    </w:pPr>
    <w:rPr>
      <w:rFonts w:ascii="Cambria" w:eastAsia="Times New Roman" w:hAnsi="Cambria"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pageBreakBefore/>
      <w:spacing w:after="0" w:line="240" w:lineRule="auto"/>
    </w:pPr>
    <w:rPr>
      <w:rFonts w:ascii="Arial Narrow" w:eastAsia="Arial Narrow" w:hAnsi="Arial Narrow" w:cs="Arial Narrow"/>
      <w:color w:val="0D0D0D"/>
      <w:sz w:val="60"/>
      <w:szCs w:val="60"/>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itre1Car">
    <w:name w:val="Titre 1 Car"/>
    <w:basedOn w:val="Policepardfaut"/>
    <w:link w:val="Titre1"/>
    <w:uiPriority w:val="9"/>
    <w:rsid w:val="003239F9"/>
    <w:rPr>
      <w:rFonts w:ascii="Times New Roman" w:eastAsia="Times New Roman" w:hAnsi="Times New Roman" w:cs="Times New Roman"/>
      <w:b/>
      <w:bCs/>
      <w:sz w:val="28"/>
      <w:szCs w:val="28"/>
    </w:rPr>
  </w:style>
  <w:style w:type="character" w:customStyle="1" w:styleId="Titre2Car">
    <w:name w:val="Titre 2 Car"/>
    <w:basedOn w:val="Policepardfaut"/>
    <w:link w:val="Titre2"/>
    <w:uiPriority w:val="9"/>
    <w:rsid w:val="003239F9"/>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3239F9"/>
    <w:pPr>
      <w:tabs>
        <w:tab w:val="center" w:pos="4536"/>
        <w:tab w:val="right" w:pos="9072"/>
      </w:tabs>
      <w:spacing w:after="0" w:line="240" w:lineRule="auto"/>
    </w:pPr>
  </w:style>
  <w:style w:type="character" w:customStyle="1" w:styleId="En-tteCar">
    <w:name w:val="En-tête Car"/>
    <w:basedOn w:val="Policepardfaut"/>
    <w:link w:val="En-tte"/>
    <w:uiPriority w:val="99"/>
    <w:rsid w:val="003239F9"/>
  </w:style>
  <w:style w:type="paragraph" w:styleId="Pieddepage">
    <w:name w:val="footer"/>
    <w:basedOn w:val="Normal"/>
    <w:link w:val="PieddepageCar"/>
    <w:uiPriority w:val="99"/>
    <w:unhideWhenUsed/>
    <w:rsid w:val="003239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9F9"/>
  </w:style>
  <w:style w:type="paragraph" w:styleId="Corpsdetexte">
    <w:name w:val="Body Text"/>
    <w:basedOn w:val="Normal"/>
    <w:link w:val="CorpsdetexteCar"/>
    <w:uiPriority w:val="99"/>
    <w:qFormat/>
    <w:rsid w:val="00AE31F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rsid w:val="00AE31FA"/>
    <w:rPr>
      <w:rFonts w:ascii="Times New Roman" w:eastAsia="Times New Roman" w:hAnsi="Times New Roman" w:cs="Times New Roman"/>
      <w:sz w:val="24"/>
      <w:szCs w:val="24"/>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AE31FA"/>
    <w:pPr>
      <w:ind w:left="720"/>
      <w:contextualSpacing/>
    </w:pPr>
  </w:style>
  <w:style w:type="character" w:customStyle="1" w:styleId="Titre3Car">
    <w:name w:val="Titre 3 Car"/>
    <w:basedOn w:val="Policepardfaut"/>
    <w:link w:val="Titre3"/>
    <w:uiPriority w:val="9"/>
    <w:rsid w:val="00AE31FA"/>
    <w:rPr>
      <w:rFonts w:asciiTheme="majorHAnsi" w:eastAsiaTheme="majorEastAsia" w:hAnsiTheme="majorHAnsi" w:cstheme="majorBidi"/>
      <w:color w:val="1F4D78" w:themeColor="accent1" w:themeShade="7F"/>
      <w:sz w:val="24"/>
      <w:szCs w:val="24"/>
    </w:rPr>
  </w:style>
  <w:style w:type="paragraph" w:customStyle="1" w:styleId="CarCar1Char">
    <w:name w:val="Car Car1 Char"/>
    <w:basedOn w:val="Normal"/>
    <w:rsid w:val="00100401"/>
    <w:pPr>
      <w:spacing w:line="240" w:lineRule="exact"/>
    </w:pPr>
    <w:rPr>
      <w:rFonts w:ascii="Verdana" w:eastAsia="Times New Roman" w:hAnsi="Verdana" w:cs="Verdana"/>
      <w:sz w:val="20"/>
      <w:szCs w:val="20"/>
      <w:lang w:val="en-GB"/>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link w:val="Paragraphedeliste"/>
    <w:uiPriority w:val="34"/>
    <w:qFormat/>
    <w:rsid w:val="000252B1"/>
  </w:style>
  <w:style w:type="paragraph" w:customStyle="1" w:styleId="Default">
    <w:name w:val="Default"/>
    <w:link w:val="DefaultCar"/>
    <w:rsid w:val="005E4E1E"/>
    <w:pPr>
      <w:autoSpaceDE w:val="0"/>
      <w:autoSpaceDN w:val="0"/>
      <w:adjustRightInd w:val="0"/>
      <w:spacing w:after="0" w:line="240" w:lineRule="auto"/>
    </w:pPr>
    <w:rPr>
      <w:rFonts w:ascii="Times New Roman" w:eastAsia="Times New Roman" w:hAnsi="Times New Roman" w:cs="Times New Roman"/>
      <w:color w:val="000000"/>
    </w:rPr>
  </w:style>
  <w:style w:type="character" w:customStyle="1" w:styleId="DefaultCar">
    <w:name w:val="Default Car"/>
    <w:link w:val="Default"/>
    <w:locked/>
    <w:rsid w:val="005E4E1E"/>
    <w:rPr>
      <w:rFonts w:ascii="Times New Roman" w:eastAsia="Times New Roman" w:hAnsi="Times New Roman" w:cs="Times New Roman"/>
      <w:color w:val="000000"/>
      <w:lang w:eastAsia="fr-FR"/>
    </w:rPr>
  </w:style>
  <w:style w:type="character" w:styleId="Marquedecommentaire">
    <w:name w:val="annotation reference"/>
    <w:basedOn w:val="Policepardfaut"/>
    <w:uiPriority w:val="99"/>
    <w:unhideWhenUsed/>
    <w:rsid w:val="00187211"/>
    <w:rPr>
      <w:sz w:val="16"/>
      <w:szCs w:val="16"/>
    </w:rPr>
  </w:style>
  <w:style w:type="paragraph" w:styleId="Commentaire">
    <w:name w:val="annotation text"/>
    <w:basedOn w:val="Normal"/>
    <w:link w:val="CommentaireCar"/>
    <w:uiPriority w:val="99"/>
    <w:unhideWhenUsed/>
    <w:rsid w:val="00187211"/>
    <w:pPr>
      <w:spacing w:line="240" w:lineRule="auto"/>
    </w:pPr>
    <w:rPr>
      <w:sz w:val="20"/>
      <w:szCs w:val="20"/>
    </w:rPr>
  </w:style>
  <w:style w:type="character" w:customStyle="1" w:styleId="CommentaireCar">
    <w:name w:val="Commentaire Car"/>
    <w:basedOn w:val="Policepardfaut"/>
    <w:link w:val="Commentaire"/>
    <w:uiPriority w:val="99"/>
    <w:rsid w:val="00187211"/>
    <w:rPr>
      <w:sz w:val="20"/>
      <w:szCs w:val="20"/>
    </w:rPr>
  </w:style>
  <w:style w:type="paragraph" w:styleId="Objetducommentaire">
    <w:name w:val="annotation subject"/>
    <w:basedOn w:val="Commentaire"/>
    <w:next w:val="Commentaire"/>
    <w:link w:val="ObjetducommentaireCar"/>
    <w:uiPriority w:val="99"/>
    <w:semiHidden/>
    <w:unhideWhenUsed/>
    <w:rsid w:val="00187211"/>
    <w:rPr>
      <w:b/>
      <w:bCs/>
    </w:rPr>
  </w:style>
  <w:style w:type="character" w:customStyle="1" w:styleId="ObjetducommentaireCar">
    <w:name w:val="Objet du commentaire Car"/>
    <w:basedOn w:val="CommentaireCar"/>
    <w:link w:val="Objetducommentaire"/>
    <w:uiPriority w:val="99"/>
    <w:rsid w:val="00187211"/>
    <w:rPr>
      <w:b/>
      <w:bCs/>
      <w:sz w:val="20"/>
      <w:szCs w:val="20"/>
    </w:rPr>
  </w:style>
  <w:style w:type="paragraph" w:styleId="Textedebulles">
    <w:name w:val="Balloon Text"/>
    <w:basedOn w:val="Normal"/>
    <w:link w:val="TextedebullesCar"/>
    <w:uiPriority w:val="99"/>
    <w:unhideWhenUsed/>
    <w:rsid w:val="001872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187211"/>
    <w:rPr>
      <w:rFonts w:ascii="Segoe UI" w:hAnsi="Segoe UI" w:cs="Segoe UI"/>
      <w:sz w:val="18"/>
      <w:szCs w:val="18"/>
    </w:rPr>
  </w:style>
  <w:style w:type="paragraph" w:styleId="Titredenote">
    <w:name w:val="Note Heading"/>
    <w:aliases w:val="Titre de fiche"/>
    <w:basedOn w:val="Normal"/>
    <w:next w:val="Normal"/>
    <w:link w:val="TitredenoteCar"/>
    <w:uiPriority w:val="99"/>
    <w:unhideWhenUsed/>
    <w:rsid w:val="00A36E3B"/>
    <w:pPr>
      <w:keepNext/>
      <w:autoSpaceDE w:val="0"/>
      <w:autoSpaceDN w:val="0"/>
      <w:adjustRightInd w:val="0"/>
      <w:spacing w:after="0" w:line="288" w:lineRule="auto"/>
      <w:jc w:val="center"/>
    </w:pPr>
    <w:rPr>
      <w:rFonts w:ascii="Arial Narrow" w:eastAsiaTheme="minorEastAsia" w:hAnsi="Arial Narrow" w:cs="Arial"/>
      <w:color w:val="000000" w:themeColor="text1"/>
      <w:sz w:val="36"/>
      <w:szCs w:val="36"/>
    </w:rPr>
  </w:style>
  <w:style w:type="character" w:customStyle="1" w:styleId="TitredenoteCar">
    <w:name w:val="Titre de note Car"/>
    <w:aliases w:val="Titre de fiche Car"/>
    <w:basedOn w:val="Policepardfaut"/>
    <w:link w:val="Titredenote"/>
    <w:uiPriority w:val="99"/>
    <w:rsid w:val="00A36E3B"/>
    <w:rPr>
      <w:rFonts w:ascii="Arial Narrow" w:eastAsiaTheme="minorEastAsia" w:hAnsi="Arial Narrow" w:cs="Arial"/>
      <w:color w:val="000000" w:themeColor="text1"/>
      <w:sz w:val="36"/>
      <w:szCs w:val="36"/>
      <w:lang w:eastAsia="fr-FR"/>
    </w:rPr>
  </w:style>
  <w:style w:type="paragraph" w:styleId="NormalWeb">
    <w:name w:val="Normal (Web)"/>
    <w:basedOn w:val="Normal"/>
    <w:uiPriority w:val="99"/>
    <w:rsid w:val="00A36E3B"/>
    <w:pPr>
      <w:keepLines/>
      <w:spacing w:after="0" w:line="240" w:lineRule="auto"/>
    </w:pPr>
    <w:rPr>
      <w:rFonts w:ascii="Imago" w:eastAsia="Times New Roman" w:hAnsi="Imago" w:cs="Times New Roman"/>
      <w:sz w:val="24"/>
      <w:szCs w:val="24"/>
      <w:lang w:val="en-US"/>
    </w:rPr>
  </w:style>
  <w:style w:type="paragraph" w:customStyle="1" w:styleId="CarCar1Char6">
    <w:name w:val="Car Car1 Char6"/>
    <w:basedOn w:val="Normal"/>
    <w:rsid w:val="00A36E3B"/>
    <w:pPr>
      <w:spacing w:line="240" w:lineRule="exact"/>
    </w:pPr>
    <w:rPr>
      <w:rFonts w:ascii="Verdana" w:eastAsia="Times New Roman" w:hAnsi="Verdana" w:cs="Verdana"/>
      <w:sz w:val="20"/>
      <w:szCs w:val="20"/>
      <w:lang w:val="en-GB"/>
    </w:rPr>
  </w:style>
  <w:style w:type="paragraph" w:styleId="En-ttedetabledesmatires">
    <w:name w:val="TOC Heading"/>
    <w:basedOn w:val="Titre1"/>
    <w:next w:val="Normal"/>
    <w:uiPriority w:val="39"/>
    <w:unhideWhenUsed/>
    <w:qFormat/>
    <w:rsid w:val="00CD60F8"/>
    <w:pPr>
      <w:keepNext/>
      <w:keepLines/>
      <w:widowControl/>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CD60F8"/>
    <w:pPr>
      <w:spacing w:after="100"/>
    </w:pPr>
  </w:style>
  <w:style w:type="character" w:styleId="Lienhypertexte">
    <w:name w:val="Hyperlink"/>
    <w:basedOn w:val="Policepardfaut"/>
    <w:uiPriority w:val="99"/>
    <w:unhideWhenUsed/>
    <w:rsid w:val="00CD60F8"/>
    <w:rPr>
      <w:color w:val="0563C1" w:themeColor="hyperlink"/>
      <w:u w:val="single"/>
    </w:rPr>
  </w:style>
  <w:style w:type="character" w:styleId="Titredulivre">
    <w:name w:val="Book Title"/>
    <w:aliases w:val="Pied de page-mentions légales,HAS- Pied de page"/>
    <w:basedOn w:val="Policepardfaut"/>
    <w:uiPriority w:val="99"/>
    <w:rsid w:val="00CD60F8"/>
    <w:rPr>
      <w:rFonts w:ascii="Arial" w:hAnsi="Arial"/>
      <w:b w:val="0"/>
      <w:bCs/>
      <w:caps w:val="0"/>
      <w:smallCaps w:val="0"/>
      <w:color w:val="808080" w:themeColor="background1" w:themeShade="80"/>
      <w:spacing w:val="0"/>
      <w:sz w:val="16"/>
    </w:rPr>
  </w:style>
  <w:style w:type="character" w:customStyle="1" w:styleId="TitreCar">
    <w:name w:val="Titre Car"/>
    <w:basedOn w:val="Policepardfaut"/>
    <w:link w:val="Titre"/>
    <w:uiPriority w:val="10"/>
    <w:rsid w:val="00CD60F8"/>
    <w:rPr>
      <w:rFonts w:ascii="Arial Narrow" w:eastAsiaTheme="majorEastAsia" w:hAnsi="Arial Narrow" w:cstheme="majorBidi"/>
      <w:bCs/>
      <w:color w:val="0D0D0D" w:themeColor="text1" w:themeTint="F2"/>
      <w:sz w:val="60"/>
      <w:szCs w:val="26"/>
      <w:lang w:eastAsia="fr-FR"/>
    </w:rPr>
  </w:style>
  <w:style w:type="character" w:customStyle="1" w:styleId="Sous-titreCar">
    <w:name w:val="Sous-titre Car"/>
    <w:basedOn w:val="Policepardfaut"/>
    <w:link w:val="Sous-titre"/>
    <w:uiPriority w:val="11"/>
    <w:rsid w:val="00CD60F8"/>
    <w:rPr>
      <w:rFonts w:ascii="Arial" w:eastAsiaTheme="minorEastAsia" w:hAnsi="Arial"/>
      <w:color w:val="808080" w:themeColor="background1" w:themeShade="80"/>
      <w:sz w:val="32"/>
      <w:szCs w:val="32"/>
      <w:lang w:eastAsia="fr-FR"/>
    </w:rPr>
  </w:style>
  <w:style w:type="table" w:styleId="Grilledutableau">
    <w:name w:val="Table Grid"/>
    <w:basedOn w:val="TableauNormal"/>
    <w:rsid w:val="00CD60F8"/>
    <w:pPr>
      <w:spacing w:after="0" w:line="240" w:lineRule="auto"/>
    </w:pPr>
    <w:rPr>
      <w:rFonts w:ascii="Arial" w:eastAsiaTheme="minorEastAsia"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lev">
    <w:name w:val="Strong"/>
    <w:aliases w:val="Gras"/>
    <w:basedOn w:val="Policepardfaut"/>
    <w:uiPriority w:val="22"/>
    <w:qFormat/>
    <w:rsid w:val="00CD60F8"/>
    <w:rPr>
      <w:b/>
      <w:bCs/>
    </w:rPr>
  </w:style>
  <w:style w:type="paragraph" w:customStyle="1" w:styleId="Intertitre">
    <w:name w:val="¶ Intertitre"/>
    <w:basedOn w:val="Normal"/>
    <w:next w:val="Normal"/>
    <w:link w:val="IntertitreCar"/>
    <w:uiPriority w:val="11"/>
    <w:qFormat/>
    <w:rsid w:val="00CD60F8"/>
    <w:pPr>
      <w:keepNext/>
      <w:autoSpaceDE w:val="0"/>
      <w:autoSpaceDN w:val="0"/>
      <w:adjustRightInd w:val="0"/>
      <w:spacing w:before="120" w:after="60" w:line="288" w:lineRule="auto"/>
    </w:pPr>
    <w:rPr>
      <w:rFonts w:ascii="Arial Narrow" w:eastAsiaTheme="minorEastAsia" w:hAnsi="Arial Narrow" w:cs="Arial"/>
      <w:b/>
      <w:bCs/>
      <w:color w:val="000000" w:themeColor="text1"/>
      <w:sz w:val="26"/>
    </w:rPr>
  </w:style>
  <w:style w:type="character" w:customStyle="1" w:styleId="IntertitreCar">
    <w:name w:val="¶ Intertitre Car"/>
    <w:basedOn w:val="Policepardfaut"/>
    <w:link w:val="Intertitre"/>
    <w:uiPriority w:val="11"/>
    <w:rsid w:val="00CD60F8"/>
    <w:rPr>
      <w:rFonts w:ascii="Arial Narrow" w:eastAsiaTheme="minorEastAsia" w:hAnsi="Arial Narrow" w:cs="Arial"/>
      <w:b/>
      <w:bCs/>
      <w:color w:val="000000" w:themeColor="text1"/>
      <w:sz w:val="26"/>
      <w:lang w:eastAsia="fr-FR"/>
    </w:rPr>
  </w:style>
  <w:style w:type="character" w:styleId="Accentuation">
    <w:name w:val="Emphasis"/>
    <w:aliases w:val="Italique"/>
    <w:basedOn w:val="Policepardfaut"/>
    <w:uiPriority w:val="20"/>
    <w:qFormat/>
    <w:rsid w:val="00CD60F8"/>
    <w:rPr>
      <w:i/>
      <w:iCs/>
    </w:rPr>
  </w:style>
  <w:style w:type="character" w:customStyle="1" w:styleId="Condens">
    <w:name w:val="Condensé"/>
    <w:basedOn w:val="Policepardfaut"/>
    <w:uiPriority w:val="4"/>
    <w:qFormat/>
    <w:rsid w:val="00CD60F8"/>
    <w:rPr>
      <w:spacing w:val="-2"/>
    </w:rPr>
  </w:style>
  <w:style w:type="character" w:customStyle="1" w:styleId="Mention1">
    <w:name w:val="Mention1"/>
    <w:aliases w:val="Texte d'aide"/>
    <w:uiPriority w:val="99"/>
    <w:unhideWhenUsed/>
    <w:rsid w:val="00CD60F8"/>
    <w:rPr>
      <w:rFonts w:ascii="Arial Nova Cond" w:hAnsi="Arial Nova Cond"/>
      <w:color w:val="595959" w:themeColor="text1" w:themeTint="A6"/>
      <w:sz w:val="22"/>
      <w:shd w:val="clear" w:color="auto" w:fill="F2F2F2" w:themeFill="background1" w:themeFillShade="F2"/>
    </w:rPr>
  </w:style>
  <w:style w:type="character" w:styleId="Textedelespacerserv">
    <w:name w:val="Placeholder Text"/>
    <w:basedOn w:val="Policepardfaut"/>
    <w:uiPriority w:val="99"/>
    <w:semiHidden/>
    <w:rsid w:val="00D92560"/>
    <w:rPr>
      <w:color w:val="808080"/>
    </w:rPr>
  </w:style>
  <w:style w:type="paragraph" w:customStyle="1" w:styleId="Paragraphedexplications">
    <w:name w:val="Paragraphe d'explications"/>
    <w:basedOn w:val="Normal"/>
    <w:uiPriority w:val="7"/>
    <w:qFormat/>
    <w:rsid w:val="00D92560"/>
    <w:pPr>
      <w:pBdr>
        <w:left w:val="single" w:sz="4" w:space="4" w:color="808080" w:themeColor="background1" w:themeShade="80"/>
      </w:pBdr>
      <w:spacing w:after="40" w:line="240" w:lineRule="auto"/>
      <w:ind w:left="851"/>
      <w:jc w:val="both"/>
    </w:pPr>
    <w:rPr>
      <w:rFonts w:ascii="Arial Nova Cond" w:eastAsiaTheme="minorEastAsia" w:hAnsi="Arial Nova Cond"/>
      <w:color w:val="808080" w:themeColor="background1" w:themeShade="80"/>
    </w:rPr>
  </w:style>
  <w:style w:type="table" w:styleId="Grilledetableauclaire">
    <w:name w:val="Grid Table Light"/>
    <w:aliases w:val="Fond gris"/>
    <w:basedOn w:val="TableauNormal"/>
    <w:uiPriority w:val="40"/>
    <w:rsid w:val="00D92560"/>
    <w:pPr>
      <w:spacing w:after="0" w:line="240" w:lineRule="auto"/>
    </w:pPr>
    <w:rPr>
      <w:rFonts w:ascii="Arial" w:eastAsiaTheme="minorEastAsia"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paragraph" w:customStyle="1" w:styleId="Asupprimer">
    <w:name w:val="A supprimer"/>
    <w:basedOn w:val="Paragraphedexplications"/>
    <w:qFormat/>
    <w:rsid w:val="00CB5D82"/>
    <w:pPr>
      <w:pBdr>
        <w:left w:val="dotted" w:sz="12" w:space="4" w:color="538135" w:themeColor="accent6" w:themeShade="BF"/>
      </w:pBdr>
    </w:pPr>
    <w:rPr>
      <w:color w:val="538135" w:themeColor="accent6" w:themeShade="BF"/>
    </w:rPr>
  </w:style>
  <w:style w:type="paragraph" w:styleId="TM2">
    <w:name w:val="toc 2"/>
    <w:basedOn w:val="Normal"/>
    <w:next w:val="Normal"/>
    <w:autoRedefine/>
    <w:uiPriority w:val="39"/>
    <w:unhideWhenUsed/>
    <w:rsid w:val="005B3210"/>
    <w:pPr>
      <w:spacing w:after="100"/>
      <w:ind w:left="220"/>
    </w:pPr>
  </w:style>
  <w:style w:type="paragraph" w:styleId="Listepuces">
    <w:name w:val="List Bullet"/>
    <w:aliases w:val="Flèche"/>
    <w:basedOn w:val="Paragraphedeliste"/>
    <w:uiPriority w:val="99"/>
    <w:qFormat/>
    <w:rsid w:val="008D5B2B"/>
    <w:pPr>
      <w:tabs>
        <w:tab w:val="num" w:pos="360"/>
      </w:tabs>
      <w:spacing w:before="40" w:after="20" w:line="288" w:lineRule="auto"/>
      <w:ind w:left="360" w:hanging="360"/>
      <w:contextualSpacing w:val="0"/>
      <w:jc w:val="both"/>
    </w:pPr>
    <w:rPr>
      <w:rFonts w:ascii="Arial" w:eastAsiaTheme="minorEastAsia" w:hAnsi="Arial"/>
      <w:color w:val="404040" w:themeColor="text1" w:themeTint="BF"/>
    </w:rPr>
  </w:style>
  <w:style w:type="paragraph" w:styleId="Rvision">
    <w:name w:val="Revision"/>
    <w:hidden/>
    <w:uiPriority w:val="99"/>
    <w:semiHidden/>
    <w:rsid w:val="00275EFD"/>
    <w:pPr>
      <w:spacing w:after="0" w:line="240" w:lineRule="auto"/>
    </w:pPr>
  </w:style>
  <w:style w:type="paragraph" w:styleId="Liste2">
    <w:name w:val="List 2"/>
    <w:aliases w:val="Liste tableau"/>
    <w:basedOn w:val="Normal"/>
    <w:uiPriority w:val="99"/>
    <w:qFormat/>
    <w:rsid w:val="00513244"/>
    <w:pPr>
      <w:spacing w:after="40" w:line="288" w:lineRule="auto"/>
      <w:contextualSpacing/>
    </w:pPr>
    <w:rPr>
      <w:rFonts w:ascii="Arial" w:eastAsiaTheme="minorEastAsia" w:hAnsi="Arial"/>
      <w:color w:val="404040" w:themeColor="text1" w:themeTint="BF"/>
      <w:szCs w:val="20"/>
    </w:rPr>
  </w:style>
  <w:style w:type="paragraph" w:styleId="Notedebasdepage">
    <w:name w:val="footnote text"/>
    <w:basedOn w:val="Normal"/>
    <w:link w:val="NotedebasdepageCar"/>
    <w:uiPriority w:val="99"/>
    <w:unhideWhenUsed/>
    <w:rsid w:val="00513244"/>
    <w:pPr>
      <w:spacing w:after="40" w:line="240" w:lineRule="auto"/>
    </w:pPr>
    <w:rPr>
      <w:rFonts w:ascii="Arial" w:eastAsiaTheme="minorEastAsia" w:hAnsi="Arial"/>
      <w:color w:val="404040" w:themeColor="text1" w:themeTint="BF"/>
      <w:sz w:val="17"/>
      <w:szCs w:val="20"/>
    </w:rPr>
  </w:style>
  <w:style w:type="character" w:customStyle="1" w:styleId="NotedebasdepageCar">
    <w:name w:val="Note de bas de page Car"/>
    <w:basedOn w:val="Policepardfaut"/>
    <w:link w:val="Notedebasdepage"/>
    <w:uiPriority w:val="99"/>
    <w:rsid w:val="00513244"/>
    <w:rPr>
      <w:rFonts w:ascii="Arial" w:eastAsiaTheme="minorEastAsia" w:hAnsi="Arial"/>
      <w:color w:val="404040" w:themeColor="text1" w:themeTint="BF"/>
      <w:sz w:val="17"/>
      <w:szCs w:val="20"/>
      <w:lang w:eastAsia="fr-FR"/>
    </w:rPr>
  </w:style>
  <w:style w:type="character" w:styleId="Appelnotedebasdep">
    <w:name w:val="footnote reference"/>
    <w:basedOn w:val="Policepardfaut"/>
    <w:semiHidden/>
    <w:unhideWhenUsed/>
    <w:rsid w:val="00513244"/>
    <w:rPr>
      <w:vertAlign w:val="superscript"/>
    </w:rPr>
  </w:style>
  <w:style w:type="table" w:customStyle="1" w:styleId="Fondgris1">
    <w:name w:val="Fond gris1"/>
    <w:basedOn w:val="TableauNormal"/>
    <w:next w:val="Grilledetableauclaire"/>
    <w:uiPriority w:val="40"/>
    <w:rsid w:val="00513244"/>
    <w:pPr>
      <w:spacing w:after="0" w:line="240" w:lineRule="auto"/>
    </w:pPr>
    <w:rPr>
      <w:rFonts w:ascii="Arial" w:eastAsiaTheme="minorEastAsia"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paragraph" w:customStyle="1" w:styleId="Text">
    <w:name w:val="Text"/>
    <w:basedOn w:val="Normal"/>
    <w:link w:val="TextChar3"/>
    <w:rsid w:val="00414033"/>
    <w:pPr>
      <w:keepLines/>
      <w:spacing w:before="120" w:after="0" w:line="240" w:lineRule="auto"/>
      <w:jc w:val="both"/>
    </w:pPr>
    <w:rPr>
      <w:rFonts w:ascii="Imago" w:eastAsia="Times New Roman" w:hAnsi="Imago" w:cs="Times New Roman"/>
      <w:sz w:val="24"/>
      <w:szCs w:val="20"/>
      <w:lang w:val="en-US"/>
    </w:rPr>
  </w:style>
  <w:style w:type="paragraph" w:customStyle="1" w:styleId="Listlevel2">
    <w:name w:val="List level 2"/>
    <w:basedOn w:val="Normal"/>
    <w:rsid w:val="00414033"/>
    <w:pPr>
      <w:keepLines/>
      <w:spacing w:before="40" w:after="20" w:line="240" w:lineRule="auto"/>
      <w:ind w:left="850" w:hanging="425"/>
    </w:pPr>
    <w:rPr>
      <w:rFonts w:ascii="Imago" w:eastAsia="Times New Roman" w:hAnsi="Imago" w:cs="Times New Roman"/>
      <w:sz w:val="24"/>
      <w:szCs w:val="20"/>
      <w:lang w:val="en-US"/>
    </w:rPr>
  </w:style>
  <w:style w:type="character" w:customStyle="1" w:styleId="TextChar3">
    <w:name w:val="Text Char3"/>
    <w:link w:val="Text"/>
    <w:locked/>
    <w:rsid w:val="00414033"/>
    <w:rPr>
      <w:rFonts w:ascii="Imago" w:eastAsia="Times New Roman" w:hAnsi="Imago" w:cs="Times New Roman"/>
      <w:sz w:val="24"/>
      <w:szCs w:val="20"/>
      <w:lang w:val="en-US"/>
    </w:rPr>
  </w:style>
  <w:style w:type="paragraph" w:customStyle="1" w:styleId="CarCar1Char5">
    <w:name w:val="Car Car1 Char5"/>
    <w:basedOn w:val="Normal"/>
    <w:rsid w:val="00414033"/>
    <w:pPr>
      <w:spacing w:line="240" w:lineRule="exact"/>
    </w:pPr>
    <w:rPr>
      <w:rFonts w:ascii="Verdana" w:eastAsia="Times New Roman" w:hAnsi="Verdana" w:cs="Verdana"/>
      <w:sz w:val="20"/>
      <w:szCs w:val="20"/>
      <w:lang w:val="en-GB"/>
    </w:rPr>
  </w:style>
  <w:style w:type="paragraph" w:customStyle="1" w:styleId="2">
    <w:name w:val="2"/>
    <w:basedOn w:val="Normal"/>
    <w:rsid w:val="007D54B0"/>
    <w:pPr>
      <w:autoSpaceDE w:val="0"/>
      <w:autoSpaceDN w:val="0"/>
      <w:adjustRightInd w:val="0"/>
      <w:spacing w:line="240" w:lineRule="exact"/>
    </w:pPr>
    <w:rPr>
      <w:rFonts w:ascii="Verdana" w:eastAsia="Times New Roman" w:hAnsi="Verdana" w:cs="Verdana"/>
      <w:sz w:val="20"/>
      <w:szCs w:val="20"/>
      <w:lang w:val="en-US"/>
    </w:rPr>
  </w:style>
  <w:style w:type="character" w:styleId="Lienhypertextesuivivisit">
    <w:name w:val="FollowedHyperlink"/>
    <w:basedOn w:val="Policepardfaut"/>
    <w:uiPriority w:val="99"/>
    <w:unhideWhenUsed/>
    <w:rsid w:val="00D32AA9"/>
    <w:rPr>
      <w:color w:val="954F72" w:themeColor="followedHyperlink"/>
      <w:u w:val="single"/>
    </w:rPr>
  </w:style>
  <w:style w:type="paragraph" w:customStyle="1" w:styleId="CarCar1Char4">
    <w:name w:val="Car Car1 Char4"/>
    <w:basedOn w:val="Normal"/>
    <w:rsid w:val="000B4F25"/>
    <w:pPr>
      <w:spacing w:line="240" w:lineRule="exact"/>
    </w:pPr>
    <w:rPr>
      <w:rFonts w:ascii="Verdana" w:eastAsia="Times New Roman" w:hAnsi="Verdana" w:cs="Verdana"/>
      <w:sz w:val="20"/>
      <w:szCs w:val="20"/>
      <w:lang w:val="en-GB"/>
    </w:rPr>
  </w:style>
  <w:style w:type="character" w:customStyle="1" w:styleId="markedcontent">
    <w:name w:val="markedcontent"/>
    <w:basedOn w:val="Policepardfaut"/>
    <w:rsid w:val="008E06EA"/>
  </w:style>
  <w:style w:type="paragraph" w:customStyle="1" w:styleId="CarCar1Char3">
    <w:name w:val="Car Car1 Char3"/>
    <w:basedOn w:val="Normal"/>
    <w:rsid w:val="003D12FA"/>
    <w:pPr>
      <w:spacing w:line="240" w:lineRule="exact"/>
    </w:pPr>
    <w:rPr>
      <w:rFonts w:ascii="Verdana" w:eastAsia="Times New Roman" w:hAnsi="Verdana" w:cs="Verdana"/>
      <w:sz w:val="20"/>
      <w:szCs w:val="20"/>
      <w:lang w:val="en-GB"/>
    </w:rPr>
  </w:style>
  <w:style w:type="table" w:customStyle="1" w:styleId="Grilledutableau1">
    <w:name w:val="Grille du tableau1"/>
    <w:basedOn w:val="TableauNormal"/>
    <w:next w:val="Grilledutableau"/>
    <w:uiPriority w:val="59"/>
    <w:rsid w:val="006E52FB"/>
    <w:pPr>
      <w:spacing w:after="0" w:line="240" w:lineRule="auto"/>
    </w:pPr>
    <w:rPr>
      <w:rFonts w:ascii="Arial" w:eastAsiaTheme="minorEastAsia"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CarCar1Char2">
    <w:name w:val="Car Car1 Char2"/>
    <w:basedOn w:val="Normal"/>
    <w:rsid w:val="000129AD"/>
    <w:pPr>
      <w:spacing w:line="240" w:lineRule="exact"/>
    </w:pPr>
    <w:rPr>
      <w:rFonts w:ascii="Verdana" w:eastAsia="Times New Roman" w:hAnsi="Verdana" w:cs="Verdana"/>
      <w:sz w:val="20"/>
      <w:szCs w:val="20"/>
      <w:lang w:val="en-GB"/>
    </w:rPr>
  </w:style>
  <w:style w:type="character" w:styleId="Numrodepage">
    <w:name w:val="page number"/>
    <w:basedOn w:val="Policepardfaut"/>
    <w:uiPriority w:val="99"/>
    <w:rsid w:val="00992256"/>
  </w:style>
  <w:style w:type="character" w:customStyle="1" w:styleId="Titre4Car">
    <w:name w:val="Titre 4 Car"/>
    <w:basedOn w:val="Policepardfaut"/>
    <w:link w:val="Titre4"/>
    <w:uiPriority w:val="9"/>
    <w:semiHidden/>
    <w:rsid w:val="002706A2"/>
    <w:rPr>
      <w:rFonts w:ascii="Arial" w:eastAsia="Times New Roman" w:hAnsi="Arial" w:cs="Times New Roman"/>
      <w:b/>
      <w:sz w:val="24"/>
      <w:szCs w:val="20"/>
      <w:lang w:val="en-US"/>
    </w:rPr>
  </w:style>
  <w:style w:type="character" w:customStyle="1" w:styleId="Titre5Car">
    <w:name w:val="Titre 5 Car"/>
    <w:basedOn w:val="Policepardfaut"/>
    <w:link w:val="Titre5"/>
    <w:uiPriority w:val="9"/>
    <w:semiHidden/>
    <w:rsid w:val="002706A2"/>
    <w:rPr>
      <w:rFonts w:ascii="Arial" w:eastAsia="Times New Roman" w:hAnsi="Arial" w:cs="Times New Roman"/>
      <w:sz w:val="24"/>
      <w:szCs w:val="20"/>
      <w:lang w:val="en-US"/>
    </w:rPr>
  </w:style>
  <w:style w:type="character" w:customStyle="1" w:styleId="Titre6Car">
    <w:name w:val="Titre 6 Car"/>
    <w:basedOn w:val="Policepardfaut"/>
    <w:link w:val="Titre6"/>
    <w:uiPriority w:val="9"/>
    <w:rsid w:val="002706A2"/>
    <w:rPr>
      <w:rFonts w:ascii="Calibri" w:eastAsia="Times New Roman" w:hAnsi="Calibri" w:cs="Times New Roman"/>
      <w:b/>
      <w:bCs/>
      <w:lang w:val="en-US"/>
    </w:rPr>
  </w:style>
  <w:style w:type="character" w:customStyle="1" w:styleId="Titre7Car">
    <w:name w:val="Titre 7 Car"/>
    <w:basedOn w:val="Policepardfaut"/>
    <w:link w:val="Titre7"/>
    <w:uiPriority w:val="9"/>
    <w:rsid w:val="002706A2"/>
    <w:rPr>
      <w:rFonts w:ascii="Calibri" w:eastAsia="Times New Roman" w:hAnsi="Calibri" w:cs="Times New Roman"/>
      <w:sz w:val="24"/>
      <w:szCs w:val="24"/>
      <w:lang w:val="en-US"/>
    </w:rPr>
  </w:style>
  <w:style w:type="character" w:customStyle="1" w:styleId="Titre8Car">
    <w:name w:val="Titre 8 Car"/>
    <w:basedOn w:val="Policepardfaut"/>
    <w:link w:val="Titre8"/>
    <w:uiPriority w:val="9"/>
    <w:rsid w:val="002706A2"/>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rsid w:val="002706A2"/>
    <w:rPr>
      <w:rFonts w:ascii="Cambria" w:eastAsia="Times New Roman" w:hAnsi="Cambria" w:cs="Times New Roman"/>
      <w:lang w:val="en-US"/>
    </w:rPr>
  </w:style>
  <w:style w:type="character" w:customStyle="1" w:styleId="Heading2Char1">
    <w:name w:val="Heading 2 Char1"/>
    <w:aliases w:val="Heading 2 Char Char,Level 2 Char,Kop 2 Char,Titre 21 Char,D70AR2 Char"/>
    <w:basedOn w:val="Policepardfaut"/>
    <w:uiPriority w:val="9"/>
    <w:rsid w:val="002706A2"/>
    <w:rPr>
      <w:rFonts w:ascii="Arial" w:hAnsi="Arial"/>
      <w:b/>
      <w:sz w:val="26"/>
      <w:lang w:val="en-US" w:eastAsia="en-US"/>
    </w:rPr>
  </w:style>
  <w:style w:type="paragraph" w:customStyle="1" w:styleId="Authors">
    <w:name w:val="Authors"/>
    <w:basedOn w:val="Normal"/>
    <w:rsid w:val="002706A2"/>
    <w:pPr>
      <w:keepNext/>
      <w:keepLines/>
      <w:spacing w:before="240" w:after="0" w:line="240" w:lineRule="auto"/>
    </w:pPr>
    <w:rPr>
      <w:rFonts w:ascii="Arial" w:eastAsia="Times New Roman" w:hAnsi="Arial" w:cs="Times New Roman"/>
      <w:sz w:val="24"/>
      <w:szCs w:val="20"/>
      <w:lang w:val="en-US"/>
    </w:rPr>
  </w:style>
  <w:style w:type="paragraph" w:customStyle="1" w:styleId="Comment">
    <w:name w:val="Comment"/>
    <w:basedOn w:val="Normal"/>
    <w:next w:val="Text"/>
    <w:rsid w:val="002706A2"/>
    <w:pPr>
      <w:keepLines/>
      <w:spacing w:before="120" w:after="0" w:line="240" w:lineRule="auto"/>
      <w:jc w:val="both"/>
    </w:pPr>
    <w:rPr>
      <w:rFonts w:ascii="Imago" w:eastAsia="Times New Roman" w:hAnsi="Imago" w:cs="Times New Roman"/>
      <w:i/>
      <w:color w:val="BF30B5"/>
      <w:sz w:val="24"/>
      <w:szCs w:val="24"/>
      <w:lang w:val="en-US"/>
    </w:rPr>
  </w:style>
  <w:style w:type="paragraph" w:customStyle="1" w:styleId="Compound">
    <w:name w:val="Compound"/>
    <w:basedOn w:val="Normal"/>
    <w:rsid w:val="002706A2"/>
    <w:pPr>
      <w:keepNext/>
      <w:keepLines/>
      <w:spacing w:before="720" w:after="0" w:line="240" w:lineRule="auto"/>
      <w:jc w:val="center"/>
    </w:pPr>
    <w:rPr>
      <w:rFonts w:ascii="Arial" w:eastAsia="Times New Roman" w:hAnsi="Arial" w:cs="Times New Roman"/>
      <w:sz w:val="32"/>
      <w:szCs w:val="20"/>
      <w:lang w:val="en-US"/>
    </w:rPr>
  </w:style>
  <w:style w:type="paragraph" w:customStyle="1" w:styleId="Dedicatednumber">
    <w:name w:val="Dedicatednumber"/>
    <w:basedOn w:val="Normal"/>
    <w:rsid w:val="002706A2"/>
    <w:pPr>
      <w:keepNext/>
      <w:keepLines/>
      <w:spacing w:before="720" w:after="0" w:line="240" w:lineRule="auto"/>
      <w:jc w:val="center"/>
    </w:pPr>
    <w:rPr>
      <w:rFonts w:ascii="Arial" w:eastAsia="Times New Roman" w:hAnsi="Arial" w:cs="Times New Roman"/>
      <w:sz w:val="28"/>
      <w:szCs w:val="20"/>
      <w:lang w:val="en-US"/>
    </w:rPr>
  </w:style>
  <w:style w:type="paragraph" w:customStyle="1" w:styleId="Department">
    <w:name w:val="Department"/>
    <w:basedOn w:val="Normal"/>
    <w:rsid w:val="002706A2"/>
    <w:pPr>
      <w:keepNext/>
      <w:keepLines/>
      <w:spacing w:before="360" w:after="0" w:line="240" w:lineRule="auto"/>
      <w:jc w:val="center"/>
    </w:pPr>
    <w:rPr>
      <w:rFonts w:ascii="Arial" w:eastAsia="Times New Roman" w:hAnsi="Arial" w:cs="Times New Roman"/>
      <w:sz w:val="28"/>
      <w:szCs w:val="20"/>
      <w:lang w:val="en-US"/>
    </w:rPr>
  </w:style>
  <w:style w:type="paragraph" w:customStyle="1" w:styleId="Docstatus">
    <w:name w:val="Docstatus"/>
    <w:basedOn w:val="Normal"/>
    <w:rsid w:val="002706A2"/>
    <w:pPr>
      <w:keepNext/>
      <w:keepLines/>
      <w:spacing w:before="240" w:after="0" w:line="240" w:lineRule="auto"/>
    </w:pPr>
    <w:rPr>
      <w:rFonts w:ascii="Arial" w:eastAsia="Times New Roman" w:hAnsi="Arial" w:cs="Times New Roman"/>
      <w:sz w:val="24"/>
      <w:szCs w:val="20"/>
      <w:lang w:val="en-US"/>
    </w:rPr>
  </w:style>
  <w:style w:type="paragraph" w:customStyle="1" w:styleId="Doctype">
    <w:name w:val="Doctype"/>
    <w:basedOn w:val="Dedicatednumber"/>
    <w:rsid w:val="002706A2"/>
    <w:pPr>
      <w:spacing w:before="240"/>
      <w:jc w:val="left"/>
    </w:pPr>
    <w:rPr>
      <w:sz w:val="24"/>
    </w:rPr>
  </w:style>
  <w:style w:type="character" w:styleId="Appeldenotedefin">
    <w:name w:val="endnote reference"/>
    <w:basedOn w:val="Policepardfaut"/>
    <w:uiPriority w:val="99"/>
    <w:semiHidden/>
    <w:rsid w:val="002706A2"/>
    <w:rPr>
      <w:vertAlign w:val="baseline"/>
    </w:rPr>
  </w:style>
  <w:style w:type="paragraph" w:styleId="Notedefin">
    <w:name w:val="endnote text"/>
    <w:basedOn w:val="Normal"/>
    <w:link w:val="NotedefinCar"/>
    <w:uiPriority w:val="99"/>
    <w:rsid w:val="002706A2"/>
    <w:pPr>
      <w:keepLines/>
      <w:spacing w:before="80" w:after="60" w:line="240" w:lineRule="auto"/>
      <w:ind w:left="567" w:hanging="567"/>
    </w:pPr>
    <w:rPr>
      <w:rFonts w:ascii="Imago" w:eastAsia="Times New Roman" w:hAnsi="Imago" w:cs="Times New Roman"/>
      <w:sz w:val="20"/>
      <w:szCs w:val="20"/>
      <w:lang w:val="en-US"/>
    </w:rPr>
  </w:style>
  <w:style w:type="character" w:customStyle="1" w:styleId="NotedefinCar">
    <w:name w:val="Note de fin Car"/>
    <w:basedOn w:val="Policepardfaut"/>
    <w:link w:val="Notedefin"/>
    <w:uiPriority w:val="99"/>
    <w:rsid w:val="002706A2"/>
    <w:rPr>
      <w:rFonts w:ascii="Imago" w:eastAsia="Times New Roman" w:hAnsi="Imago" w:cs="Times New Roman"/>
      <w:sz w:val="20"/>
      <w:szCs w:val="20"/>
      <w:lang w:val="en-US"/>
    </w:rPr>
  </w:style>
  <w:style w:type="paragraph" w:customStyle="1" w:styleId="Firstpageinfo">
    <w:name w:val="Firstpageinfo"/>
    <w:basedOn w:val="Titre5"/>
    <w:rsid w:val="002706A2"/>
    <w:pPr>
      <w:tabs>
        <w:tab w:val="num" w:pos="1008"/>
      </w:tabs>
      <w:ind w:left="0" w:firstLine="0"/>
      <w:outlineLvl w:val="9"/>
    </w:pPr>
  </w:style>
  <w:style w:type="paragraph" w:customStyle="1" w:styleId="Listlevel1">
    <w:name w:val="List level 1"/>
    <w:basedOn w:val="Normal"/>
    <w:rsid w:val="002706A2"/>
    <w:pPr>
      <w:keepLines/>
      <w:spacing w:before="40" w:after="20" w:line="240" w:lineRule="auto"/>
      <w:ind w:left="425" w:hanging="425"/>
    </w:pPr>
    <w:rPr>
      <w:rFonts w:ascii="Imago" w:eastAsia="Times New Roman" w:hAnsi="Imago" w:cs="Times New Roman"/>
      <w:sz w:val="24"/>
      <w:szCs w:val="20"/>
      <w:lang w:val="en-US"/>
    </w:rPr>
  </w:style>
  <w:style w:type="paragraph" w:customStyle="1" w:styleId="Non-proportional">
    <w:name w:val="Non-proportional"/>
    <w:basedOn w:val="Normal"/>
    <w:rsid w:val="002706A2"/>
    <w:pPr>
      <w:keepLines/>
      <w:spacing w:after="0" w:line="240" w:lineRule="atLeast"/>
      <w:jc w:val="both"/>
    </w:pPr>
    <w:rPr>
      <w:rFonts w:ascii="Courier New" w:eastAsia="Times New Roman" w:hAnsi="Courier New" w:cs="Times New Roman"/>
      <w:spacing w:val="-10"/>
      <w:sz w:val="18"/>
      <w:szCs w:val="20"/>
      <w:lang w:val="en-US"/>
    </w:rPr>
  </w:style>
  <w:style w:type="paragraph" w:customStyle="1" w:styleId="Nottoc-headings">
    <w:name w:val="Not toc-headings"/>
    <w:basedOn w:val="Normal"/>
    <w:next w:val="Text"/>
    <w:rsid w:val="002706A2"/>
    <w:pPr>
      <w:keepNext/>
      <w:keepLines/>
      <w:spacing w:before="240" w:after="60" w:line="240" w:lineRule="auto"/>
      <w:ind w:left="1701" w:hanging="1701"/>
    </w:pPr>
    <w:rPr>
      <w:rFonts w:ascii="Arial" w:eastAsia="Times New Roman" w:hAnsi="Arial" w:cs="Times New Roman"/>
      <w:b/>
      <w:sz w:val="24"/>
      <w:szCs w:val="20"/>
      <w:lang w:val="en-US"/>
    </w:rPr>
  </w:style>
  <w:style w:type="paragraph" w:customStyle="1" w:styleId="Numberofpages">
    <w:name w:val="Numberofpages"/>
    <w:basedOn w:val="Normal"/>
    <w:rsid w:val="002706A2"/>
    <w:pPr>
      <w:keepNext/>
      <w:keepLines/>
      <w:spacing w:before="240" w:after="0" w:line="240" w:lineRule="auto"/>
    </w:pPr>
    <w:rPr>
      <w:rFonts w:ascii="Arial" w:eastAsia="Times New Roman" w:hAnsi="Arial" w:cs="Times New Roman"/>
      <w:sz w:val="24"/>
      <w:szCs w:val="20"/>
      <w:lang w:val="en-US"/>
    </w:rPr>
  </w:style>
  <w:style w:type="paragraph" w:customStyle="1" w:styleId="Propertystatement">
    <w:name w:val="Propertystatement"/>
    <w:basedOn w:val="Numberofpages"/>
    <w:rsid w:val="002706A2"/>
    <w:pPr>
      <w:keepNext w:val="0"/>
      <w:spacing w:before="1200"/>
      <w:jc w:val="center"/>
    </w:pPr>
    <w:rPr>
      <w:sz w:val="20"/>
    </w:rPr>
  </w:style>
  <w:style w:type="paragraph" w:customStyle="1" w:styleId="Reference">
    <w:name w:val="Reference"/>
    <w:basedOn w:val="Normal"/>
    <w:rsid w:val="002706A2"/>
    <w:pPr>
      <w:keepLines/>
      <w:spacing w:before="80" w:after="60" w:line="240" w:lineRule="auto"/>
    </w:pPr>
    <w:rPr>
      <w:rFonts w:ascii="Imago" w:eastAsia="Times New Roman" w:hAnsi="Imago" w:cs="Times New Roman"/>
      <w:sz w:val="24"/>
      <w:szCs w:val="20"/>
      <w:lang w:val="en-US"/>
    </w:rPr>
  </w:style>
  <w:style w:type="paragraph" w:customStyle="1" w:styleId="Releasedate">
    <w:name w:val="Releasedate"/>
    <w:basedOn w:val="Docstatus"/>
    <w:rsid w:val="002706A2"/>
  </w:style>
  <w:style w:type="paragraph" w:customStyle="1" w:styleId="Table">
    <w:name w:val="Table"/>
    <w:basedOn w:val="Nottoc-headings"/>
    <w:rsid w:val="002706A2"/>
    <w:pPr>
      <w:keepNext w:val="0"/>
      <w:tabs>
        <w:tab w:val="left" w:pos="284"/>
      </w:tabs>
      <w:spacing w:before="40" w:after="20"/>
      <w:ind w:left="0" w:firstLine="0"/>
    </w:pPr>
    <w:rPr>
      <w:b w:val="0"/>
      <w:sz w:val="20"/>
    </w:rPr>
  </w:style>
  <w:style w:type="paragraph" w:styleId="TM3">
    <w:name w:val="toc 3"/>
    <w:basedOn w:val="TM2"/>
    <w:autoRedefine/>
    <w:uiPriority w:val="39"/>
    <w:rsid w:val="002706A2"/>
    <w:pPr>
      <w:keepLines/>
      <w:tabs>
        <w:tab w:val="left" w:pos="425"/>
        <w:tab w:val="right" w:leader="dot" w:pos="9061"/>
      </w:tabs>
      <w:spacing w:after="0" w:line="240" w:lineRule="auto"/>
      <w:ind w:left="2126" w:right="454" w:hanging="992"/>
    </w:pPr>
    <w:rPr>
      <w:rFonts w:ascii="Arial" w:eastAsia="Times New Roman" w:hAnsi="Arial" w:cs="Arial"/>
      <w:sz w:val="20"/>
      <w:szCs w:val="28"/>
    </w:rPr>
  </w:style>
  <w:style w:type="paragraph" w:styleId="TM6">
    <w:name w:val="toc 6"/>
    <w:basedOn w:val="Normal"/>
    <w:autoRedefine/>
    <w:uiPriority w:val="39"/>
    <w:semiHidden/>
    <w:rsid w:val="002706A2"/>
    <w:pPr>
      <w:keepLines/>
      <w:tabs>
        <w:tab w:val="right" w:leader="dot" w:pos="9061"/>
      </w:tabs>
      <w:spacing w:after="72" w:line="240" w:lineRule="auto"/>
      <w:ind w:left="2126" w:right="454" w:hanging="2126"/>
    </w:pPr>
    <w:rPr>
      <w:rFonts w:ascii="Imago" w:eastAsia="Times New Roman" w:hAnsi="Imago" w:cs="Times New Roman"/>
      <w:sz w:val="24"/>
      <w:szCs w:val="20"/>
      <w:lang w:val="en-US"/>
    </w:rPr>
  </w:style>
  <w:style w:type="paragraph" w:styleId="TM7">
    <w:name w:val="toc 7"/>
    <w:basedOn w:val="Normal"/>
    <w:autoRedefine/>
    <w:uiPriority w:val="39"/>
    <w:semiHidden/>
    <w:rsid w:val="002706A2"/>
    <w:pPr>
      <w:keepLines/>
      <w:tabs>
        <w:tab w:val="right" w:leader="dot" w:pos="9061"/>
      </w:tabs>
      <w:spacing w:after="72" w:line="240" w:lineRule="auto"/>
      <w:ind w:left="2126" w:right="454" w:hanging="2126"/>
    </w:pPr>
    <w:rPr>
      <w:rFonts w:ascii="Imago" w:eastAsia="Times New Roman" w:hAnsi="Imago" w:cs="Times New Roman"/>
      <w:sz w:val="24"/>
      <w:szCs w:val="20"/>
      <w:lang w:val="en-US"/>
    </w:rPr>
  </w:style>
  <w:style w:type="paragraph" w:customStyle="1" w:styleId="Synopsis">
    <w:name w:val="Synopsis"/>
    <w:basedOn w:val="Text"/>
    <w:rsid w:val="002706A2"/>
    <w:rPr>
      <w:rFonts w:ascii="Arial" w:hAnsi="Arial"/>
      <w:sz w:val="20"/>
    </w:rPr>
  </w:style>
  <w:style w:type="character" w:customStyle="1" w:styleId="TextChar">
    <w:name w:val="Text Char"/>
    <w:rsid w:val="002706A2"/>
    <w:rPr>
      <w:sz w:val="24"/>
      <w:lang w:val="en-US" w:eastAsia="en-US"/>
    </w:rPr>
  </w:style>
  <w:style w:type="paragraph" w:customStyle="1" w:styleId="SAStext">
    <w:name w:val="SAS text"/>
    <w:rsid w:val="002706A2"/>
    <w:pPr>
      <w:spacing w:after="0" w:line="240" w:lineRule="auto"/>
    </w:pPr>
    <w:rPr>
      <w:rFonts w:ascii="Courier New" w:eastAsia="Times New Roman" w:hAnsi="Courier New" w:cs="Times New Roman"/>
      <w:spacing w:val="-10"/>
      <w:sz w:val="20"/>
      <w:szCs w:val="20"/>
      <w:lang w:val="en-US"/>
    </w:rPr>
  </w:style>
  <w:style w:type="paragraph" w:customStyle="1" w:styleId="TOCEntry">
    <w:name w:val="TOC Entry"/>
    <w:basedOn w:val="Titre2"/>
    <w:next w:val="Text"/>
    <w:rsid w:val="002706A2"/>
    <w:pPr>
      <w:tabs>
        <w:tab w:val="num" w:pos="1080"/>
      </w:tabs>
      <w:spacing w:before="240" w:line="240" w:lineRule="auto"/>
    </w:pPr>
    <w:rPr>
      <w:rFonts w:ascii="Imago" w:eastAsia="Times New Roman" w:hAnsi="Imago" w:cs="Times New Roman"/>
      <w:color w:val="auto"/>
      <w:sz w:val="24"/>
      <w:szCs w:val="20"/>
    </w:rPr>
  </w:style>
  <w:style w:type="paragraph" w:styleId="Normalcentr">
    <w:name w:val="Block Text"/>
    <w:basedOn w:val="Normal"/>
    <w:uiPriority w:val="99"/>
    <w:rsid w:val="002706A2"/>
    <w:pPr>
      <w:keepLines/>
      <w:spacing w:after="120" w:line="240" w:lineRule="auto"/>
      <w:ind w:left="1440" w:right="1440"/>
    </w:pPr>
    <w:rPr>
      <w:rFonts w:ascii="Imago" w:eastAsia="Times New Roman" w:hAnsi="Imago" w:cs="Times New Roman"/>
      <w:sz w:val="24"/>
      <w:szCs w:val="20"/>
      <w:lang w:val="en-US"/>
    </w:rPr>
  </w:style>
  <w:style w:type="paragraph" w:styleId="Corpsdetexte2">
    <w:name w:val="Body Text 2"/>
    <w:basedOn w:val="Normal"/>
    <w:link w:val="Corpsdetexte2Car"/>
    <w:uiPriority w:val="99"/>
    <w:rsid w:val="002706A2"/>
    <w:pPr>
      <w:keepLines/>
      <w:spacing w:after="120" w:line="480" w:lineRule="auto"/>
    </w:pPr>
    <w:rPr>
      <w:rFonts w:ascii="Imago" w:eastAsia="Times New Roman" w:hAnsi="Imago" w:cs="Times New Roman"/>
      <w:sz w:val="24"/>
      <w:szCs w:val="20"/>
      <w:lang w:val="en-US"/>
    </w:rPr>
  </w:style>
  <w:style w:type="character" w:customStyle="1" w:styleId="Corpsdetexte2Car">
    <w:name w:val="Corps de texte 2 Car"/>
    <w:basedOn w:val="Policepardfaut"/>
    <w:link w:val="Corpsdetexte2"/>
    <w:uiPriority w:val="99"/>
    <w:rsid w:val="002706A2"/>
    <w:rPr>
      <w:rFonts w:ascii="Imago" w:eastAsia="Times New Roman" w:hAnsi="Imago" w:cs="Times New Roman"/>
      <w:sz w:val="24"/>
      <w:szCs w:val="20"/>
      <w:lang w:val="en-US"/>
    </w:rPr>
  </w:style>
  <w:style w:type="paragraph" w:styleId="Corpsdetexte3">
    <w:name w:val="Body Text 3"/>
    <w:basedOn w:val="Normal"/>
    <w:link w:val="Corpsdetexte3Car"/>
    <w:uiPriority w:val="99"/>
    <w:rsid w:val="002706A2"/>
    <w:pPr>
      <w:keepLines/>
      <w:spacing w:after="120" w:line="240" w:lineRule="auto"/>
    </w:pPr>
    <w:rPr>
      <w:rFonts w:ascii="Imago" w:eastAsia="Times New Roman" w:hAnsi="Imago" w:cs="Times New Roman"/>
      <w:sz w:val="16"/>
      <w:szCs w:val="16"/>
      <w:lang w:val="en-US"/>
    </w:rPr>
  </w:style>
  <w:style w:type="character" w:customStyle="1" w:styleId="Corpsdetexte3Car">
    <w:name w:val="Corps de texte 3 Car"/>
    <w:basedOn w:val="Policepardfaut"/>
    <w:link w:val="Corpsdetexte3"/>
    <w:uiPriority w:val="99"/>
    <w:rsid w:val="002706A2"/>
    <w:rPr>
      <w:rFonts w:ascii="Imago" w:eastAsia="Times New Roman" w:hAnsi="Imago" w:cs="Times New Roman"/>
      <w:sz w:val="16"/>
      <w:szCs w:val="16"/>
      <w:lang w:val="en-US"/>
    </w:rPr>
  </w:style>
  <w:style w:type="paragraph" w:styleId="Retrait1religne">
    <w:name w:val="Body Text First Indent"/>
    <w:basedOn w:val="Corpsdetexte"/>
    <w:link w:val="Retrait1religneCar"/>
    <w:uiPriority w:val="99"/>
    <w:rsid w:val="002706A2"/>
    <w:pPr>
      <w:keepLines/>
      <w:widowControl/>
      <w:autoSpaceDE/>
      <w:autoSpaceDN/>
      <w:spacing w:after="120"/>
      <w:ind w:firstLine="210"/>
    </w:pPr>
    <w:rPr>
      <w:rFonts w:ascii="Imago" w:hAnsi="Imago"/>
      <w:szCs w:val="20"/>
      <w:lang w:val="en-US"/>
    </w:rPr>
  </w:style>
  <w:style w:type="character" w:customStyle="1" w:styleId="Retrait1religneCar">
    <w:name w:val="Retrait 1re ligne Car"/>
    <w:basedOn w:val="CorpsdetexteCar"/>
    <w:link w:val="Retrait1religne"/>
    <w:uiPriority w:val="99"/>
    <w:rsid w:val="002706A2"/>
    <w:rPr>
      <w:rFonts w:ascii="Imago" w:eastAsia="Times New Roman" w:hAnsi="Imago" w:cs="Times New Roman"/>
      <w:sz w:val="24"/>
      <w:szCs w:val="20"/>
      <w:lang w:val="en-US"/>
    </w:rPr>
  </w:style>
  <w:style w:type="paragraph" w:styleId="Retraitcorpsdetexte">
    <w:name w:val="Body Text Indent"/>
    <w:basedOn w:val="Normal"/>
    <w:link w:val="RetraitcorpsdetexteCar"/>
    <w:uiPriority w:val="99"/>
    <w:rsid w:val="002706A2"/>
    <w:pPr>
      <w:keepLines/>
      <w:spacing w:after="120" w:line="240" w:lineRule="auto"/>
      <w:ind w:left="360"/>
    </w:pPr>
    <w:rPr>
      <w:rFonts w:ascii="Imago" w:eastAsia="Times New Roman" w:hAnsi="Imago" w:cs="Times New Roman"/>
      <w:sz w:val="24"/>
      <w:szCs w:val="20"/>
      <w:lang w:val="en-US"/>
    </w:rPr>
  </w:style>
  <w:style w:type="character" w:customStyle="1" w:styleId="RetraitcorpsdetexteCar">
    <w:name w:val="Retrait corps de texte Car"/>
    <w:basedOn w:val="Policepardfaut"/>
    <w:link w:val="Retraitcorpsdetexte"/>
    <w:uiPriority w:val="99"/>
    <w:rsid w:val="002706A2"/>
    <w:rPr>
      <w:rFonts w:ascii="Imago" w:eastAsia="Times New Roman" w:hAnsi="Imago" w:cs="Times New Roman"/>
      <w:sz w:val="24"/>
      <w:szCs w:val="20"/>
      <w:lang w:val="en-US"/>
    </w:rPr>
  </w:style>
  <w:style w:type="paragraph" w:styleId="Retraitcorpset1relig">
    <w:name w:val="Body Text First Indent 2"/>
    <w:basedOn w:val="Retraitcorpsdetexte"/>
    <w:link w:val="Retraitcorpset1religCar"/>
    <w:uiPriority w:val="99"/>
    <w:rsid w:val="002706A2"/>
    <w:pPr>
      <w:ind w:firstLine="210"/>
    </w:pPr>
  </w:style>
  <w:style w:type="character" w:customStyle="1" w:styleId="Retraitcorpset1religCar">
    <w:name w:val="Retrait corps et 1re lig. Car"/>
    <w:basedOn w:val="RetraitcorpsdetexteCar"/>
    <w:link w:val="Retraitcorpset1relig"/>
    <w:uiPriority w:val="99"/>
    <w:rsid w:val="002706A2"/>
    <w:rPr>
      <w:rFonts w:ascii="Imago" w:eastAsia="Times New Roman" w:hAnsi="Imago" w:cs="Times New Roman"/>
      <w:sz w:val="24"/>
      <w:szCs w:val="20"/>
      <w:lang w:val="en-US"/>
    </w:rPr>
  </w:style>
  <w:style w:type="paragraph" w:styleId="Retraitcorpsdetexte2">
    <w:name w:val="Body Text Indent 2"/>
    <w:basedOn w:val="Normal"/>
    <w:link w:val="Retraitcorpsdetexte2Car"/>
    <w:uiPriority w:val="99"/>
    <w:rsid w:val="002706A2"/>
    <w:pPr>
      <w:keepLines/>
      <w:spacing w:after="120" w:line="480" w:lineRule="auto"/>
      <w:ind w:left="360"/>
    </w:pPr>
    <w:rPr>
      <w:rFonts w:ascii="Imago" w:eastAsia="Times New Roman" w:hAnsi="Imago" w:cs="Times New Roman"/>
      <w:sz w:val="24"/>
      <w:szCs w:val="20"/>
      <w:lang w:val="en-US"/>
    </w:rPr>
  </w:style>
  <w:style w:type="character" w:customStyle="1" w:styleId="Retraitcorpsdetexte2Car">
    <w:name w:val="Retrait corps de texte 2 Car"/>
    <w:basedOn w:val="Policepardfaut"/>
    <w:link w:val="Retraitcorpsdetexte2"/>
    <w:uiPriority w:val="99"/>
    <w:rsid w:val="002706A2"/>
    <w:rPr>
      <w:rFonts w:ascii="Imago" w:eastAsia="Times New Roman" w:hAnsi="Imago" w:cs="Times New Roman"/>
      <w:sz w:val="24"/>
      <w:szCs w:val="20"/>
      <w:lang w:val="en-US"/>
    </w:rPr>
  </w:style>
  <w:style w:type="paragraph" w:styleId="Retraitcorpsdetexte3">
    <w:name w:val="Body Text Indent 3"/>
    <w:basedOn w:val="Normal"/>
    <w:link w:val="Retraitcorpsdetexte3Car"/>
    <w:uiPriority w:val="99"/>
    <w:rsid w:val="002706A2"/>
    <w:pPr>
      <w:keepLines/>
      <w:spacing w:after="120" w:line="240" w:lineRule="auto"/>
      <w:ind w:left="360"/>
    </w:pPr>
    <w:rPr>
      <w:rFonts w:ascii="Imago" w:eastAsia="Times New Roman" w:hAnsi="Imago" w:cs="Times New Roman"/>
      <w:sz w:val="16"/>
      <w:szCs w:val="16"/>
      <w:lang w:val="en-US"/>
    </w:rPr>
  </w:style>
  <w:style w:type="character" w:customStyle="1" w:styleId="Retraitcorpsdetexte3Car">
    <w:name w:val="Retrait corps de texte 3 Car"/>
    <w:basedOn w:val="Policepardfaut"/>
    <w:link w:val="Retraitcorpsdetexte3"/>
    <w:uiPriority w:val="99"/>
    <w:rsid w:val="002706A2"/>
    <w:rPr>
      <w:rFonts w:ascii="Imago" w:eastAsia="Times New Roman" w:hAnsi="Imago" w:cs="Times New Roman"/>
      <w:sz w:val="16"/>
      <w:szCs w:val="16"/>
      <w:lang w:val="en-US"/>
    </w:rPr>
  </w:style>
  <w:style w:type="paragraph" w:styleId="Formuledepolitesse">
    <w:name w:val="Closing"/>
    <w:basedOn w:val="Normal"/>
    <w:link w:val="FormuledepolitesseCar"/>
    <w:uiPriority w:val="99"/>
    <w:rsid w:val="002706A2"/>
    <w:pPr>
      <w:keepLines/>
      <w:spacing w:after="0" w:line="240" w:lineRule="auto"/>
      <w:ind w:left="4320"/>
    </w:pPr>
    <w:rPr>
      <w:rFonts w:ascii="Imago" w:eastAsia="Times New Roman" w:hAnsi="Imago" w:cs="Times New Roman"/>
      <w:sz w:val="24"/>
      <w:szCs w:val="20"/>
      <w:lang w:val="en-US"/>
    </w:rPr>
  </w:style>
  <w:style w:type="character" w:customStyle="1" w:styleId="FormuledepolitesseCar">
    <w:name w:val="Formule de politesse Car"/>
    <w:basedOn w:val="Policepardfaut"/>
    <w:link w:val="Formuledepolitesse"/>
    <w:uiPriority w:val="99"/>
    <w:rsid w:val="002706A2"/>
    <w:rPr>
      <w:rFonts w:ascii="Imago" w:eastAsia="Times New Roman" w:hAnsi="Imago" w:cs="Times New Roman"/>
      <w:sz w:val="24"/>
      <w:szCs w:val="20"/>
      <w:lang w:val="en-US"/>
    </w:rPr>
  </w:style>
  <w:style w:type="paragraph" w:styleId="Date">
    <w:name w:val="Date"/>
    <w:basedOn w:val="Normal"/>
    <w:next w:val="Normal"/>
    <w:link w:val="DateCar"/>
    <w:uiPriority w:val="99"/>
    <w:rsid w:val="002706A2"/>
    <w:pPr>
      <w:keepLines/>
      <w:spacing w:after="0" w:line="240" w:lineRule="auto"/>
    </w:pPr>
    <w:rPr>
      <w:rFonts w:ascii="Imago" w:eastAsia="Times New Roman" w:hAnsi="Imago" w:cs="Times New Roman"/>
      <w:sz w:val="24"/>
      <w:szCs w:val="20"/>
      <w:lang w:val="en-US"/>
    </w:rPr>
  </w:style>
  <w:style w:type="character" w:customStyle="1" w:styleId="DateCar">
    <w:name w:val="Date Car"/>
    <w:basedOn w:val="Policepardfaut"/>
    <w:link w:val="Date"/>
    <w:uiPriority w:val="99"/>
    <w:rsid w:val="002706A2"/>
    <w:rPr>
      <w:rFonts w:ascii="Imago" w:eastAsia="Times New Roman" w:hAnsi="Imago" w:cs="Times New Roman"/>
      <w:sz w:val="24"/>
      <w:szCs w:val="20"/>
      <w:lang w:val="en-US"/>
    </w:rPr>
  </w:style>
  <w:style w:type="paragraph" w:styleId="Signaturelectronique">
    <w:name w:val="E-mail Signature"/>
    <w:basedOn w:val="Normal"/>
    <w:link w:val="SignaturelectroniqueCar"/>
    <w:uiPriority w:val="99"/>
    <w:rsid w:val="002706A2"/>
    <w:pPr>
      <w:keepLines/>
      <w:spacing w:after="0" w:line="240" w:lineRule="auto"/>
    </w:pPr>
    <w:rPr>
      <w:rFonts w:ascii="Imago" w:eastAsia="Times New Roman" w:hAnsi="Imago" w:cs="Times New Roman"/>
      <w:sz w:val="24"/>
      <w:szCs w:val="20"/>
      <w:lang w:val="en-US"/>
    </w:rPr>
  </w:style>
  <w:style w:type="character" w:customStyle="1" w:styleId="SignaturelectroniqueCar">
    <w:name w:val="Signature électronique Car"/>
    <w:basedOn w:val="Policepardfaut"/>
    <w:link w:val="Signaturelectronique"/>
    <w:uiPriority w:val="99"/>
    <w:rsid w:val="002706A2"/>
    <w:rPr>
      <w:rFonts w:ascii="Imago" w:eastAsia="Times New Roman" w:hAnsi="Imago" w:cs="Times New Roman"/>
      <w:sz w:val="24"/>
      <w:szCs w:val="20"/>
      <w:lang w:val="en-US"/>
    </w:rPr>
  </w:style>
  <w:style w:type="paragraph" w:styleId="Adressedestinataire">
    <w:name w:val="envelope address"/>
    <w:basedOn w:val="Normal"/>
    <w:uiPriority w:val="99"/>
    <w:rsid w:val="002706A2"/>
    <w:pPr>
      <w:keepLines/>
      <w:framePr w:w="7920" w:h="1980" w:hRule="exact" w:hSpace="180" w:wrap="auto" w:hAnchor="page" w:xAlign="center" w:yAlign="bottom"/>
      <w:spacing w:after="0" w:line="240" w:lineRule="auto"/>
      <w:ind w:left="2880"/>
    </w:pPr>
    <w:rPr>
      <w:rFonts w:ascii="Arial" w:eastAsia="Times New Roman" w:hAnsi="Arial" w:cs="Arial"/>
      <w:sz w:val="24"/>
      <w:szCs w:val="24"/>
      <w:lang w:val="en-US"/>
    </w:rPr>
  </w:style>
  <w:style w:type="paragraph" w:styleId="Adresseexpditeur">
    <w:name w:val="envelope return"/>
    <w:basedOn w:val="Normal"/>
    <w:uiPriority w:val="99"/>
    <w:rsid w:val="002706A2"/>
    <w:pPr>
      <w:keepLines/>
      <w:spacing w:after="0" w:line="240" w:lineRule="auto"/>
    </w:pPr>
    <w:rPr>
      <w:rFonts w:ascii="Arial" w:eastAsia="Times New Roman" w:hAnsi="Arial" w:cs="Arial"/>
      <w:sz w:val="20"/>
      <w:szCs w:val="20"/>
      <w:lang w:val="en-US"/>
    </w:rPr>
  </w:style>
  <w:style w:type="character" w:styleId="AcronymeHTML">
    <w:name w:val="HTML Acronym"/>
    <w:basedOn w:val="Policepardfaut"/>
    <w:uiPriority w:val="99"/>
    <w:rsid w:val="002706A2"/>
  </w:style>
  <w:style w:type="paragraph" w:styleId="AdresseHTML">
    <w:name w:val="HTML Address"/>
    <w:basedOn w:val="Normal"/>
    <w:link w:val="AdresseHTMLCar"/>
    <w:uiPriority w:val="99"/>
    <w:rsid w:val="002706A2"/>
    <w:pPr>
      <w:keepLines/>
      <w:spacing w:after="0" w:line="240" w:lineRule="auto"/>
    </w:pPr>
    <w:rPr>
      <w:rFonts w:ascii="Imago" w:eastAsia="Times New Roman" w:hAnsi="Imago" w:cs="Times New Roman"/>
      <w:i/>
      <w:iCs/>
      <w:sz w:val="24"/>
      <w:szCs w:val="20"/>
      <w:lang w:val="en-US"/>
    </w:rPr>
  </w:style>
  <w:style w:type="character" w:customStyle="1" w:styleId="AdresseHTMLCar">
    <w:name w:val="Adresse HTML Car"/>
    <w:basedOn w:val="Policepardfaut"/>
    <w:link w:val="AdresseHTML"/>
    <w:uiPriority w:val="99"/>
    <w:rsid w:val="002706A2"/>
    <w:rPr>
      <w:rFonts w:ascii="Imago" w:eastAsia="Times New Roman" w:hAnsi="Imago" w:cs="Times New Roman"/>
      <w:i/>
      <w:iCs/>
      <w:sz w:val="24"/>
      <w:szCs w:val="20"/>
      <w:lang w:val="en-US"/>
    </w:rPr>
  </w:style>
  <w:style w:type="character" w:styleId="CitationHTML">
    <w:name w:val="HTML Cite"/>
    <w:basedOn w:val="Policepardfaut"/>
    <w:uiPriority w:val="99"/>
    <w:rsid w:val="002706A2"/>
    <w:rPr>
      <w:i/>
    </w:rPr>
  </w:style>
  <w:style w:type="character" w:styleId="CodeHTML">
    <w:name w:val="HTML Code"/>
    <w:basedOn w:val="Policepardfaut"/>
    <w:uiPriority w:val="99"/>
    <w:rsid w:val="002706A2"/>
    <w:rPr>
      <w:rFonts w:ascii="Courier New" w:hAnsi="Courier New"/>
      <w:sz w:val="20"/>
    </w:rPr>
  </w:style>
  <w:style w:type="character" w:styleId="DfinitionHTML">
    <w:name w:val="HTML Definition"/>
    <w:basedOn w:val="Policepardfaut"/>
    <w:uiPriority w:val="99"/>
    <w:rsid w:val="002706A2"/>
    <w:rPr>
      <w:i/>
    </w:rPr>
  </w:style>
  <w:style w:type="character" w:styleId="ClavierHTML">
    <w:name w:val="HTML Keyboard"/>
    <w:basedOn w:val="Policepardfaut"/>
    <w:uiPriority w:val="99"/>
    <w:rsid w:val="002706A2"/>
    <w:rPr>
      <w:rFonts w:ascii="Courier New" w:hAnsi="Courier New"/>
      <w:sz w:val="20"/>
    </w:rPr>
  </w:style>
  <w:style w:type="paragraph" w:styleId="PrformatHTML">
    <w:name w:val="HTML Preformatted"/>
    <w:basedOn w:val="Normal"/>
    <w:link w:val="PrformatHTMLCar"/>
    <w:uiPriority w:val="99"/>
    <w:rsid w:val="002706A2"/>
    <w:pPr>
      <w:keepLines/>
      <w:spacing w:after="0" w:line="240" w:lineRule="auto"/>
    </w:pPr>
    <w:rPr>
      <w:rFonts w:ascii="Courier New" w:eastAsia="Times New Roman" w:hAnsi="Courier New" w:cs="Times New Roman"/>
      <w:sz w:val="20"/>
      <w:szCs w:val="20"/>
      <w:lang w:val="en-US"/>
    </w:rPr>
  </w:style>
  <w:style w:type="character" w:customStyle="1" w:styleId="PrformatHTMLCar">
    <w:name w:val="Préformaté HTML Car"/>
    <w:basedOn w:val="Policepardfaut"/>
    <w:link w:val="PrformatHTML"/>
    <w:uiPriority w:val="99"/>
    <w:rsid w:val="002706A2"/>
    <w:rPr>
      <w:rFonts w:ascii="Courier New" w:eastAsia="Times New Roman" w:hAnsi="Courier New" w:cs="Times New Roman"/>
      <w:sz w:val="20"/>
      <w:szCs w:val="20"/>
      <w:lang w:val="en-US"/>
    </w:rPr>
  </w:style>
  <w:style w:type="character" w:styleId="ExempleHTML">
    <w:name w:val="HTML Sample"/>
    <w:basedOn w:val="Policepardfaut"/>
    <w:uiPriority w:val="99"/>
    <w:rsid w:val="002706A2"/>
    <w:rPr>
      <w:rFonts w:ascii="Courier New" w:hAnsi="Courier New"/>
    </w:rPr>
  </w:style>
  <w:style w:type="character" w:styleId="MachinecrireHTML">
    <w:name w:val="HTML Typewriter"/>
    <w:basedOn w:val="Policepardfaut"/>
    <w:uiPriority w:val="99"/>
    <w:rsid w:val="002706A2"/>
    <w:rPr>
      <w:rFonts w:ascii="Courier New" w:hAnsi="Courier New"/>
      <w:sz w:val="20"/>
    </w:rPr>
  </w:style>
  <w:style w:type="character" w:styleId="VariableHTML">
    <w:name w:val="HTML Variable"/>
    <w:basedOn w:val="Policepardfaut"/>
    <w:uiPriority w:val="99"/>
    <w:rsid w:val="002706A2"/>
    <w:rPr>
      <w:i/>
    </w:rPr>
  </w:style>
  <w:style w:type="character" w:styleId="Numrodeligne">
    <w:name w:val="line number"/>
    <w:basedOn w:val="Policepardfaut"/>
    <w:uiPriority w:val="99"/>
    <w:rsid w:val="002706A2"/>
  </w:style>
  <w:style w:type="paragraph" w:styleId="Liste">
    <w:name w:val="List"/>
    <w:basedOn w:val="Normal"/>
    <w:uiPriority w:val="99"/>
    <w:rsid w:val="002706A2"/>
    <w:pPr>
      <w:keepLines/>
      <w:spacing w:after="0" w:line="240" w:lineRule="auto"/>
      <w:ind w:left="360" w:hanging="360"/>
    </w:pPr>
    <w:rPr>
      <w:rFonts w:ascii="Imago" w:eastAsia="Times New Roman" w:hAnsi="Imago" w:cs="Times New Roman"/>
      <w:sz w:val="24"/>
      <w:szCs w:val="20"/>
      <w:lang w:val="en-US"/>
    </w:rPr>
  </w:style>
  <w:style w:type="paragraph" w:styleId="Liste3">
    <w:name w:val="List 3"/>
    <w:basedOn w:val="Normal"/>
    <w:uiPriority w:val="99"/>
    <w:rsid w:val="002706A2"/>
    <w:pPr>
      <w:keepLines/>
      <w:spacing w:after="0" w:line="240" w:lineRule="auto"/>
      <w:ind w:left="1080" w:hanging="360"/>
    </w:pPr>
    <w:rPr>
      <w:rFonts w:ascii="Imago" w:eastAsia="Times New Roman" w:hAnsi="Imago" w:cs="Times New Roman"/>
      <w:sz w:val="24"/>
      <w:szCs w:val="20"/>
      <w:lang w:val="en-US"/>
    </w:rPr>
  </w:style>
  <w:style w:type="paragraph" w:styleId="Liste4">
    <w:name w:val="List 4"/>
    <w:basedOn w:val="Normal"/>
    <w:uiPriority w:val="99"/>
    <w:rsid w:val="002706A2"/>
    <w:pPr>
      <w:keepLines/>
      <w:spacing w:after="0" w:line="240" w:lineRule="auto"/>
      <w:ind w:left="1440" w:hanging="360"/>
    </w:pPr>
    <w:rPr>
      <w:rFonts w:ascii="Imago" w:eastAsia="Times New Roman" w:hAnsi="Imago" w:cs="Times New Roman"/>
      <w:sz w:val="24"/>
      <w:szCs w:val="20"/>
      <w:lang w:val="en-US"/>
    </w:rPr>
  </w:style>
  <w:style w:type="paragraph" w:styleId="Liste5">
    <w:name w:val="List 5"/>
    <w:basedOn w:val="Normal"/>
    <w:uiPriority w:val="99"/>
    <w:rsid w:val="002706A2"/>
    <w:pPr>
      <w:keepLines/>
      <w:spacing w:after="0" w:line="240" w:lineRule="auto"/>
      <w:ind w:left="1800" w:hanging="360"/>
    </w:pPr>
    <w:rPr>
      <w:rFonts w:ascii="Imago" w:eastAsia="Times New Roman" w:hAnsi="Imago" w:cs="Times New Roman"/>
      <w:sz w:val="24"/>
      <w:szCs w:val="20"/>
      <w:lang w:val="en-US"/>
    </w:rPr>
  </w:style>
  <w:style w:type="paragraph" w:styleId="Listepuces2">
    <w:name w:val="List Bullet 2"/>
    <w:basedOn w:val="Normal"/>
    <w:autoRedefine/>
    <w:uiPriority w:val="99"/>
    <w:rsid w:val="002706A2"/>
    <w:pPr>
      <w:keepLines/>
      <w:tabs>
        <w:tab w:val="num" w:pos="720"/>
        <w:tab w:val="num" w:pos="1080"/>
      </w:tabs>
      <w:spacing w:after="0" w:line="240" w:lineRule="auto"/>
      <w:ind w:left="720" w:hanging="360"/>
    </w:pPr>
    <w:rPr>
      <w:rFonts w:ascii="Imago" w:eastAsia="Times New Roman" w:hAnsi="Imago" w:cs="Times New Roman"/>
      <w:sz w:val="24"/>
      <w:szCs w:val="20"/>
      <w:lang w:val="en-US"/>
    </w:rPr>
  </w:style>
  <w:style w:type="paragraph" w:styleId="Listepuces3">
    <w:name w:val="List Bullet 3"/>
    <w:basedOn w:val="Normal"/>
    <w:autoRedefine/>
    <w:uiPriority w:val="99"/>
    <w:rsid w:val="006F0082"/>
    <w:pPr>
      <w:keepLines/>
      <w:numPr>
        <w:numId w:val="13"/>
      </w:numPr>
      <w:tabs>
        <w:tab w:val="num" w:pos="1080"/>
      </w:tabs>
      <w:spacing w:after="0" w:line="240" w:lineRule="auto"/>
      <w:ind w:left="1080"/>
    </w:pPr>
    <w:rPr>
      <w:rFonts w:ascii="Imago" w:eastAsia="Times New Roman" w:hAnsi="Imago" w:cs="Times New Roman"/>
      <w:sz w:val="24"/>
      <w:szCs w:val="20"/>
      <w:lang w:val="en-US"/>
    </w:rPr>
  </w:style>
  <w:style w:type="paragraph" w:styleId="Listepuces4">
    <w:name w:val="List Bullet 4"/>
    <w:basedOn w:val="Normal"/>
    <w:autoRedefine/>
    <w:uiPriority w:val="99"/>
    <w:rsid w:val="006F0082"/>
    <w:pPr>
      <w:keepLines/>
      <w:numPr>
        <w:numId w:val="14"/>
      </w:numPr>
      <w:tabs>
        <w:tab w:val="num" w:pos="1440"/>
      </w:tabs>
      <w:spacing w:after="0" w:line="240" w:lineRule="auto"/>
      <w:ind w:left="1440"/>
    </w:pPr>
    <w:rPr>
      <w:rFonts w:ascii="Imago" w:eastAsia="Times New Roman" w:hAnsi="Imago" w:cs="Times New Roman"/>
      <w:sz w:val="24"/>
      <w:szCs w:val="20"/>
      <w:lang w:val="en-US"/>
    </w:rPr>
  </w:style>
  <w:style w:type="paragraph" w:styleId="Listepuces5">
    <w:name w:val="List Bullet 5"/>
    <w:basedOn w:val="Normal"/>
    <w:autoRedefine/>
    <w:uiPriority w:val="99"/>
    <w:rsid w:val="006F0082"/>
    <w:pPr>
      <w:keepLines/>
      <w:numPr>
        <w:numId w:val="15"/>
      </w:numPr>
      <w:tabs>
        <w:tab w:val="num" w:pos="1800"/>
      </w:tabs>
      <w:spacing w:after="0" w:line="240" w:lineRule="auto"/>
      <w:ind w:left="1800"/>
    </w:pPr>
    <w:rPr>
      <w:rFonts w:ascii="Imago" w:eastAsia="Times New Roman" w:hAnsi="Imago" w:cs="Times New Roman"/>
      <w:sz w:val="24"/>
      <w:szCs w:val="20"/>
      <w:lang w:val="en-US"/>
    </w:rPr>
  </w:style>
  <w:style w:type="paragraph" w:styleId="Listecontinue">
    <w:name w:val="List Continue"/>
    <w:basedOn w:val="Normal"/>
    <w:uiPriority w:val="99"/>
    <w:rsid w:val="002706A2"/>
    <w:pPr>
      <w:keepLines/>
      <w:spacing w:after="120" w:line="240" w:lineRule="auto"/>
      <w:ind w:left="360"/>
    </w:pPr>
    <w:rPr>
      <w:rFonts w:ascii="Imago" w:eastAsia="Times New Roman" w:hAnsi="Imago" w:cs="Times New Roman"/>
      <w:sz w:val="24"/>
      <w:szCs w:val="20"/>
      <w:lang w:val="en-US"/>
    </w:rPr>
  </w:style>
  <w:style w:type="paragraph" w:styleId="Listecontinue2">
    <w:name w:val="List Continue 2"/>
    <w:basedOn w:val="Normal"/>
    <w:uiPriority w:val="99"/>
    <w:rsid w:val="002706A2"/>
    <w:pPr>
      <w:keepLines/>
      <w:spacing w:after="120" w:line="240" w:lineRule="auto"/>
      <w:ind w:left="720"/>
    </w:pPr>
    <w:rPr>
      <w:rFonts w:ascii="Imago" w:eastAsia="Times New Roman" w:hAnsi="Imago" w:cs="Times New Roman"/>
      <w:sz w:val="24"/>
      <w:szCs w:val="20"/>
      <w:lang w:val="en-US"/>
    </w:rPr>
  </w:style>
  <w:style w:type="paragraph" w:styleId="Listecontinue3">
    <w:name w:val="List Continue 3"/>
    <w:basedOn w:val="Normal"/>
    <w:uiPriority w:val="99"/>
    <w:rsid w:val="002706A2"/>
    <w:pPr>
      <w:keepLines/>
      <w:spacing w:after="120" w:line="240" w:lineRule="auto"/>
      <w:ind w:left="1080"/>
    </w:pPr>
    <w:rPr>
      <w:rFonts w:ascii="Imago" w:eastAsia="Times New Roman" w:hAnsi="Imago" w:cs="Times New Roman"/>
      <w:sz w:val="24"/>
      <w:szCs w:val="20"/>
      <w:lang w:val="en-US"/>
    </w:rPr>
  </w:style>
  <w:style w:type="paragraph" w:styleId="Listecontinue4">
    <w:name w:val="List Continue 4"/>
    <w:basedOn w:val="Normal"/>
    <w:uiPriority w:val="99"/>
    <w:rsid w:val="002706A2"/>
    <w:pPr>
      <w:keepLines/>
      <w:spacing w:after="120" w:line="240" w:lineRule="auto"/>
      <w:ind w:left="1440"/>
    </w:pPr>
    <w:rPr>
      <w:rFonts w:ascii="Imago" w:eastAsia="Times New Roman" w:hAnsi="Imago" w:cs="Times New Roman"/>
      <w:sz w:val="24"/>
      <w:szCs w:val="20"/>
      <w:lang w:val="en-US"/>
    </w:rPr>
  </w:style>
  <w:style w:type="paragraph" w:styleId="Listecontinue5">
    <w:name w:val="List Continue 5"/>
    <w:basedOn w:val="Normal"/>
    <w:uiPriority w:val="99"/>
    <w:rsid w:val="002706A2"/>
    <w:pPr>
      <w:keepLines/>
      <w:spacing w:after="120" w:line="240" w:lineRule="auto"/>
      <w:ind w:left="1800"/>
    </w:pPr>
    <w:rPr>
      <w:rFonts w:ascii="Imago" w:eastAsia="Times New Roman" w:hAnsi="Imago" w:cs="Times New Roman"/>
      <w:sz w:val="24"/>
      <w:szCs w:val="20"/>
      <w:lang w:val="en-US"/>
    </w:rPr>
  </w:style>
  <w:style w:type="paragraph" w:styleId="Listenumros">
    <w:name w:val="List Number"/>
    <w:basedOn w:val="Normal"/>
    <w:uiPriority w:val="99"/>
    <w:rsid w:val="006F0082"/>
    <w:pPr>
      <w:keepLines/>
      <w:numPr>
        <w:numId w:val="16"/>
      </w:numPr>
      <w:tabs>
        <w:tab w:val="num" w:pos="360"/>
      </w:tabs>
      <w:spacing w:after="0" w:line="240" w:lineRule="auto"/>
    </w:pPr>
    <w:rPr>
      <w:rFonts w:ascii="Imago" w:eastAsia="Times New Roman" w:hAnsi="Imago" w:cs="Times New Roman"/>
      <w:sz w:val="24"/>
      <w:szCs w:val="20"/>
      <w:lang w:val="en-US"/>
    </w:rPr>
  </w:style>
  <w:style w:type="paragraph" w:styleId="Listenumros2">
    <w:name w:val="List Number 2"/>
    <w:basedOn w:val="Normal"/>
    <w:uiPriority w:val="99"/>
    <w:rsid w:val="002706A2"/>
    <w:pPr>
      <w:keepLines/>
      <w:tabs>
        <w:tab w:val="num" w:pos="720"/>
        <w:tab w:val="num" w:pos="1080"/>
      </w:tabs>
      <w:spacing w:after="0" w:line="240" w:lineRule="auto"/>
      <w:ind w:left="720" w:hanging="360"/>
    </w:pPr>
    <w:rPr>
      <w:rFonts w:ascii="Imago" w:eastAsia="Times New Roman" w:hAnsi="Imago" w:cs="Times New Roman"/>
      <w:sz w:val="24"/>
      <w:szCs w:val="20"/>
      <w:lang w:val="en-US"/>
    </w:rPr>
  </w:style>
  <w:style w:type="paragraph" w:styleId="Listenumros3">
    <w:name w:val="List Number 3"/>
    <w:basedOn w:val="Normal"/>
    <w:uiPriority w:val="99"/>
    <w:rsid w:val="006F0082"/>
    <w:pPr>
      <w:keepLines/>
      <w:numPr>
        <w:numId w:val="17"/>
      </w:numPr>
      <w:tabs>
        <w:tab w:val="num" w:pos="1080"/>
      </w:tabs>
      <w:spacing w:after="0" w:line="240" w:lineRule="auto"/>
      <w:ind w:left="1080"/>
    </w:pPr>
    <w:rPr>
      <w:rFonts w:ascii="Imago" w:eastAsia="Times New Roman" w:hAnsi="Imago" w:cs="Times New Roman"/>
      <w:sz w:val="24"/>
      <w:szCs w:val="20"/>
      <w:lang w:val="en-US"/>
    </w:rPr>
  </w:style>
  <w:style w:type="paragraph" w:styleId="Listenumros4">
    <w:name w:val="List Number 4"/>
    <w:basedOn w:val="Normal"/>
    <w:uiPriority w:val="99"/>
    <w:rsid w:val="006F0082"/>
    <w:pPr>
      <w:keepLines/>
      <w:numPr>
        <w:numId w:val="18"/>
      </w:numPr>
      <w:tabs>
        <w:tab w:val="num" w:pos="1440"/>
      </w:tabs>
      <w:spacing w:after="0" w:line="240" w:lineRule="auto"/>
      <w:ind w:left="1440"/>
    </w:pPr>
    <w:rPr>
      <w:rFonts w:ascii="Imago" w:eastAsia="Times New Roman" w:hAnsi="Imago" w:cs="Times New Roman"/>
      <w:sz w:val="24"/>
      <w:szCs w:val="20"/>
      <w:lang w:val="en-US"/>
    </w:rPr>
  </w:style>
  <w:style w:type="paragraph" w:styleId="Listenumros5">
    <w:name w:val="List Number 5"/>
    <w:basedOn w:val="Normal"/>
    <w:uiPriority w:val="99"/>
    <w:rsid w:val="006F0082"/>
    <w:pPr>
      <w:keepLines/>
      <w:numPr>
        <w:numId w:val="19"/>
      </w:numPr>
      <w:tabs>
        <w:tab w:val="num" w:pos="1800"/>
      </w:tabs>
      <w:spacing w:after="0" w:line="240" w:lineRule="auto"/>
      <w:ind w:left="1800"/>
    </w:pPr>
    <w:rPr>
      <w:rFonts w:ascii="Imago" w:eastAsia="Times New Roman" w:hAnsi="Imago" w:cs="Times New Roman"/>
      <w:sz w:val="24"/>
      <w:szCs w:val="20"/>
      <w:lang w:val="en-US"/>
    </w:rPr>
  </w:style>
  <w:style w:type="paragraph" w:styleId="En-ttedemessage">
    <w:name w:val="Message Header"/>
    <w:basedOn w:val="Normal"/>
    <w:link w:val="En-ttedemessageCar"/>
    <w:uiPriority w:val="99"/>
    <w:rsid w:val="002706A2"/>
    <w:pPr>
      <w:keepLines/>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lang w:val="en-US"/>
    </w:rPr>
  </w:style>
  <w:style w:type="character" w:customStyle="1" w:styleId="En-ttedemessageCar">
    <w:name w:val="En-tête de message Car"/>
    <w:basedOn w:val="Policepardfaut"/>
    <w:link w:val="En-ttedemessage"/>
    <w:uiPriority w:val="99"/>
    <w:rsid w:val="002706A2"/>
    <w:rPr>
      <w:rFonts w:ascii="Cambria" w:eastAsia="Times New Roman" w:hAnsi="Cambria" w:cs="Times New Roman"/>
      <w:sz w:val="24"/>
      <w:szCs w:val="24"/>
      <w:shd w:val="pct20" w:color="auto" w:fill="auto"/>
      <w:lang w:val="en-US"/>
    </w:rPr>
  </w:style>
  <w:style w:type="paragraph" w:styleId="Retraitnormal">
    <w:name w:val="Normal Indent"/>
    <w:basedOn w:val="Normal"/>
    <w:uiPriority w:val="99"/>
    <w:rsid w:val="002706A2"/>
    <w:pPr>
      <w:keepLines/>
      <w:spacing w:after="0" w:line="240" w:lineRule="auto"/>
      <w:ind w:left="720"/>
    </w:pPr>
    <w:rPr>
      <w:rFonts w:ascii="Imago" w:eastAsia="Times New Roman" w:hAnsi="Imago" w:cs="Times New Roman"/>
      <w:sz w:val="24"/>
      <w:szCs w:val="20"/>
      <w:lang w:val="en-US"/>
    </w:rPr>
  </w:style>
  <w:style w:type="paragraph" w:styleId="Textebrut">
    <w:name w:val="Plain Text"/>
    <w:basedOn w:val="Normal"/>
    <w:link w:val="TextebrutCar"/>
    <w:uiPriority w:val="99"/>
    <w:rsid w:val="002706A2"/>
    <w:pPr>
      <w:keepLines/>
      <w:spacing w:after="0" w:line="240" w:lineRule="auto"/>
    </w:pPr>
    <w:rPr>
      <w:rFonts w:ascii="Courier New" w:eastAsia="Times New Roman" w:hAnsi="Courier New" w:cs="Times New Roman"/>
      <w:sz w:val="20"/>
      <w:szCs w:val="20"/>
      <w:lang w:val="en-US"/>
    </w:rPr>
  </w:style>
  <w:style w:type="character" w:customStyle="1" w:styleId="TextebrutCar">
    <w:name w:val="Texte brut Car"/>
    <w:basedOn w:val="Policepardfaut"/>
    <w:link w:val="Textebrut"/>
    <w:uiPriority w:val="99"/>
    <w:rsid w:val="002706A2"/>
    <w:rPr>
      <w:rFonts w:ascii="Courier New" w:eastAsia="Times New Roman" w:hAnsi="Courier New" w:cs="Times New Roman"/>
      <w:sz w:val="20"/>
      <w:szCs w:val="20"/>
      <w:lang w:val="en-US"/>
    </w:rPr>
  </w:style>
  <w:style w:type="paragraph" w:styleId="Salutations">
    <w:name w:val="Salutation"/>
    <w:basedOn w:val="Normal"/>
    <w:next w:val="Normal"/>
    <w:link w:val="SalutationsCar"/>
    <w:uiPriority w:val="99"/>
    <w:rsid w:val="002706A2"/>
    <w:pPr>
      <w:keepLines/>
      <w:spacing w:after="0" w:line="240" w:lineRule="auto"/>
    </w:pPr>
    <w:rPr>
      <w:rFonts w:ascii="Imago" w:eastAsia="Times New Roman" w:hAnsi="Imago" w:cs="Times New Roman"/>
      <w:sz w:val="24"/>
      <w:szCs w:val="20"/>
      <w:lang w:val="en-US"/>
    </w:rPr>
  </w:style>
  <w:style w:type="character" w:customStyle="1" w:styleId="SalutationsCar">
    <w:name w:val="Salutations Car"/>
    <w:basedOn w:val="Policepardfaut"/>
    <w:link w:val="Salutations"/>
    <w:uiPriority w:val="99"/>
    <w:rsid w:val="002706A2"/>
    <w:rPr>
      <w:rFonts w:ascii="Imago" w:eastAsia="Times New Roman" w:hAnsi="Imago" w:cs="Times New Roman"/>
      <w:sz w:val="24"/>
      <w:szCs w:val="20"/>
      <w:lang w:val="en-US"/>
    </w:rPr>
  </w:style>
  <w:style w:type="paragraph" w:styleId="Signature">
    <w:name w:val="Signature"/>
    <w:basedOn w:val="Normal"/>
    <w:link w:val="SignatureCar"/>
    <w:uiPriority w:val="99"/>
    <w:rsid w:val="002706A2"/>
    <w:pPr>
      <w:keepLines/>
      <w:spacing w:after="0" w:line="240" w:lineRule="auto"/>
      <w:ind w:left="4320"/>
    </w:pPr>
    <w:rPr>
      <w:rFonts w:ascii="Imago" w:eastAsia="Times New Roman" w:hAnsi="Imago" w:cs="Times New Roman"/>
      <w:sz w:val="24"/>
      <w:szCs w:val="20"/>
      <w:lang w:val="en-US"/>
    </w:rPr>
  </w:style>
  <w:style w:type="character" w:customStyle="1" w:styleId="SignatureCar">
    <w:name w:val="Signature Car"/>
    <w:basedOn w:val="Policepardfaut"/>
    <w:link w:val="Signature"/>
    <w:uiPriority w:val="99"/>
    <w:rsid w:val="002706A2"/>
    <w:rPr>
      <w:rFonts w:ascii="Imago" w:eastAsia="Times New Roman" w:hAnsi="Imago" w:cs="Times New Roman"/>
      <w:sz w:val="24"/>
      <w:szCs w:val="20"/>
      <w:lang w:val="en-US"/>
    </w:rPr>
  </w:style>
  <w:style w:type="paragraph" w:customStyle="1" w:styleId="table0">
    <w:name w:val="table"/>
    <w:basedOn w:val="Normal"/>
    <w:rsid w:val="002706A2"/>
    <w:pPr>
      <w:keepNext/>
      <w:keepLines/>
      <w:tabs>
        <w:tab w:val="left" w:pos="284"/>
      </w:tabs>
      <w:spacing w:before="60" w:after="60" w:line="240" w:lineRule="auto"/>
    </w:pPr>
    <w:rPr>
      <w:rFonts w:ascii="Arial" w:eastAsia="Times New Roman" w:hAnsi="Arial" w:cs="Arial"/>
      <w:sz w:val="20"/>
      <w:szCs w:val="20"/>
      <w:lang w:val="en-US"/>
    </w:rPr>
  </w:style>
  <w:style w:type="paragraph" w:customStyle="1" w:styleId="BalloonText1">
    <w:name w:val="Balloon Text1"/>
    <w:basedOn w:val="Normal"/>
    <w:rsid w:val="002706A2"/>
    <w:pPr>
      <w:keepLines/>
      <w:spacing w:after="0" w:line="240" w:lineRule="auto"/>
    </w:pPr>
    <w:rPr>
      <w:rFonts w:ascii="Tahoma" w:eastAsia="Times New Roman" w:hAnsi="Tahoma" w:cs="Tahoma"/>
      <w:sz w:val="16"/>
      <w:szCs w:val="16"/>
      <w:lang w:val="en-US"/>
    </w:rPr>
  </w:style>
  <w:style w:type="paragraph" w:customStyle="1" w:styleId="CommentSubject1">
    <w:name w:val="Comment Subject1"/>
    <w:basedOn w:val="Commentaire"/>
    <w:next w:val="Commentaire"/>
    <w:rsid w:val="002706A2"/>
    <w:pPr>
      <w:keepLines/>
      <w:spacing w:after="0"/>
    </w:pPr>
    <w:rPr>
      <w:rFonts w:ascii="Imago" w:eastAsia="Times New Roman" w:hAnsi="Imago" w:cs="Times New Roman"/>
      <w:b/>
      <w:bCs/>
      <w:lang w:val="en-US"/>
    </w:rPr>
  </w:style>
  <w:style w:type="character" w:customStyle="1" w:styleId="TextCharCharChar">
    <w:name w:val="Text Char Char Char"/>
    <w:rsid w:val="002706A2"/>
    <w:rPr>
      <w:sz w:val="24"/>
      <w:lang w:val="en-GB" w:eastAsia="en-US"/>
    </w:rPr>
  </w:style>
  <w:style w:type="paragraph" w:customStyle="1" w:styleId="TextCharChar">
    <w:name w:val="Text Char Char"/>
    <w:basedOn w:val="Normal"/>
    <w:rsid w:val="002706A2"/>
    <w:pPr>
      <w:keepLines/>
      <w:spacing w:before="120" w:after="0" w:line="240" w:lineRule="auto"/>
      <w:jc w:val="both"/>
    </w:pPr>
    <w:rPr>
      <w:rFonts w:ascii="Imago" w:eastAsia="Times New Roman" w:hAnsi="Imago" w:cs="Times New Roman"/>
      <w:sz w:val="24"/>
      <w:szCs w:val="24"/>
      <w:lang w:val="en-GB"/>
    </w:rPr>
  </w:style>
  <w:style w:type="character" w:customStyle="1" w:styleId="CharChar">
    <w:name w:val="Char Char"/>
    <w:rsid w:val="002706A2"/>
    <w:rPr>
      <w:b/>
      <w:i/>
      <w:sz w:val="26"/>
      <w:lang w:val="en-US" w:eastAsia="en-US"/>
    </w:rPr>
  </w:style>
  <w:style w:type="paragraph" w:customStyle="1" w:styleId="FormField">
    <w:name w:val="FormField"/>
    <w:basedOn w:val="Normal"/>
    <w:rsid w:val="002706A2"/>
    <w:pPr>
      <w:keepLines/>
      <w:spacing w:after="0" w:line="240" w:lineRule="auto"/>
    </w:pPr>
    <w:rPr>
      <w:rFonts w:ascii="Arial" w:eastAsia="Times New Roman" w:hAnsi="Arial" w:cs="Times New Roman"/>
      <w:sz w:val="16"/>
      <w:szCs w:val="20"/>
      <w:lang w:val="en-GB"/>
    </w:rPr>
  </w:style>
  <w:style w:type="character" w:customStyle="1" w:styleId="FormFieldC2">
    <w:name w:val="FormFieldC2"/>
    <w:rsid w:val="002706A2"/>
    <w:rPr>
      <w:rFonts w:ascii="Arial" w:hAnsi="Arial"/>
      <w:b/>
      <w:sz w:val="18"/>
    </w:rPr>
  </w:style>
  <w:style w:type="character" w:customStyle="1" w:styleId="FormFieldC3">
    <w:name w:val="FormFieldC3"/>
    <w:rsid w:val="002706A2"/>
    <w:rPr>
      <w:rFonts w:ascii="Arial" w:hAnsi="Arial"/>
      <w:sz w:val="20"/>
    </w:rPr>
  </w:style>
  <w:style w:type="character" w:customStyle="1" w:styleId="FormFieldC">
    <w:name w:val="FormFieldC"/>
    <w:rsid w:val="002706A2"/>
    <w:rPr>
      <w:rFonts w:ascii="Arial" w:hAnsi="Arial"/>
      <w:sz w:val="16"/>
    </w:rPr>
  </w:style>
  <w:style w:type="paragraph" w:styleId="Lgende">
    <w:name w:val="caption"/>
    <w:basedOn w:val="Normal"/>
    <w:next w:val="Normal"/>
    <w:uiPriority w:val="35"/>
    <w:qFormat/>
    <w:rsid w:val="002706A2"/>
    <w:pPr>
      <w:keepLines/>
      <w:pBdr>
        <w:top w:val="single" w:sz="6" w:space="8" w:color="auto"/>
        <w:left w:val="single" w:sz="6" w:space="4" w:color="auto"/>
        <w:bottom w:val="single" w:sz="6" w:space="1" w:color="auto"/>
        <w:right w:val="single" w:sz="6" w:space="4" w:color="auto"/>
      </w:pBdr>
      <w:tabs>
        <w:tab w:val="left" w:pos="4395"/>
      </w:tabs>
      <w:spacing w:before="240" w:after="120" w:line="240" w:lineRule="auto"/>
      <w:ind w:left="533" w:right="85" w:hanging="352"/>
      <w:jc w:val="center"/>
    </w:pPr>
    <w:rPr>
      <w:rFonts w:ascii="Tahoma" w:eastAsia="Times New Roman" w:hAnsi="Tahoma" w:cs="Tahoma"/>
      <w:b/>
      <w:bCs/>
      <w:sz w:val="24"/>
      <w:szCs w:val="24"/>
    </w:rPr>
  </w:style>
  <w:style w:type="character" w:customStyle="1" w:styleId="Style1">
    <w:name w:val="Style1"/>
    <w:rsid w:val="002706A2"/>
    <w:rPr>
      <w:color w:val="0000FF"/>
    </w:rPr>
  </w:style>
  <w:style w:type="paragraph" w:customStyle="1" w:styleId="Inforubrik2">
    <w:name w:val="Info rubrik 2"/>
    <w:basedOn w:val="Titre1"/>
    <w:rsid w:val="002706A2"/>
    <w:pPr>
      <w:keepNext/>
      <w:pageBreakBefore/>
      <w:widowControl/>
      <w:tabs>
        <w:tab w:val="num" w:pos="360"/>
        <w:tab w:val="num" w:pos="1008"/>
        <w:tab w:val="num" w:pos="1080"/>
      </w:tabs>
      <w:spacing w:before="120" w:after="120"/>
    </w:pPr>
    <w:rPr>
      <w:rFonts w:ascii="Arial" w:hAnsi="Arial"/>
      <w:sz w:val="24"/>
      <w:szCs w:val="20"/>
      <w:lang w:val="en-GB"/>
    </w:rPr>
  </w:style>
  <w:style w:type="paragraph" w:customStyle="1" w:styleId="lbltxt">
    <w:name w:val="lbltxt"/>
    <w:rsid w:val="002706A2"/>
    <w:pPr>
      <w:spacing w:after="0" w:line="240" w:lineRule="auto"/>
    </w:pPr>
    <w:rPr>
      <w:rFonts w:ascii="Times New Roman" w:eastAsia="Times New Roman" w:hAnsi="Times New Roman" w:cs="Times New Roman"/>
      <w:noProof/>
      <w:szCs w:val="20"/>
      <w:lang w:val="en-US"/>
    </w:rPr>
  </w:style>
  <w:style w:type="paragraph" w:customStyle="1" w:styleId="Titre2emeNiv">
    <w:name w:val="Titre 2eme Niv"/>
    <w:basedOn w:val="Titre2"/>
    <w:rsid w:val="006F0082"/>
    <w:pPr>
      <w:keepLines w:val="0"/>
      <w:numPr>
        <w:numId w:val="12"/>
      </w:numPr>
      <w:tabs>
        <w:tab w:val="num" w:pos="480"/>
        <w:tab w:val="num" w:pos="1008"/>
        <w:tab w:val="num" w:pos="1440"/>
      </w:tabs>
      <w:spacing w:before="360" w:after="240" w:line="240" w:lineRule="auto"/>
      <w:ind w:left="480" w:hanging="480"/>
      <w:jc w:val="both"/>
    </w:pPr>
    <w:rPr>
      <w:rFonts w:ascii="Times New Roman" w:eastAsia="Times New Roman" w:hAnsi="Times New Roman" w:cs="Times New Roman"/>
      <w:bCs/>
      <w:color w:val="000000"/>
      <w:sz w:val="24"/>
      <w:szCs w:val="22"/>
    </w:rPr>
  </w:style>
  <w:style w:type="paragraph" w:customStyle="1" w:styleId="Titre1erNiv">
    <w:name w:val="Titre 1er Niv"/>
    <w:basedOn w:val="Normal"/>
    <w:rsid w:val="002706A2"/>
    <w:pPr>
      <w:keepNext/>
      <w:keepLines/>
      <w:tabs>
        <w:tab w:val="num" w:pos="431"/>
        <w:tab w:val="num" w:pos="1080"/>
        <w:tab w:val="num" w:pos="1440"/>
        <w:tab w:val="left" w:pos="2800"/>
      </w:tabs>
      <w:spacing w:before="120" w:after="120" w:line="240" w:lineRule="auto"/>
      <w:ind w:left="431" w:hanging="431"/>
      <w:jc w:val="both"/>
      <w:outlineLvl w:val="0"/>
    </w:pPr>
    <w:rPr>
      <w:rFonts w:ascii="Imago" w:eastAsia="Times New Roman" w:hAnsi="Imago" w:cs="Times New Roman"/>
      <w:b/>
      <w:bCs/>
      <w:sz w:val="24"/>
      <w:szCs w:val="24"/>
    </w:rPr>
  </w:style>
  <w:style w:type="paragraph" w:customStyle="1" w:styleId="Titre3emeNiv">
    <w:name w:val="Titre 3eme Niv"/>
    <w:basedOn w:val="Titre3"/>
    <w:rsid w:val="006F0082"/>
    <w:pPr>
      <w:keepLines w:val="0"/>
      <w:numPr>
        <w:numId w:val="11"/>
      </w:numPr>
      <w:tabs>
        <w:tab w:val="num" w:pos="1008"/>
        <w:tab w:val="num" w:pos="1080"/>
      </w:tabs>
      <w:spacing w:before="360" w:after="240" w:line="240" w:lineRule="auto"/>
      <w:ind w:left="1080"/>
    </w:pPr>
    <w:rPr>
      <w:rFonts w:ascii="Times New Roman" w:eastAsia="Times New Roman" w:hAnsi="Times New Roman" w:cs="Times New Roman"/>
      <w:b/>
      <w:bCs/>
      <w:color w:val="auto"/>
      <w:szCs w:val="36"/>
    </w:rPr>
  </w:style>
  <w:style w:type="paragraph" w:customStyle="1" w:styleId="Paragraph">
    <w:name w:val="Paragraph"/>
    <w:link w:val="ParagraphChar"/>
    <w:rsid w:val="002706A2"/>
    <w:pPr>
      <w:spacing w:after="240" w:line="240" w:lineRule="auto"/>
    </w:pPr>
    <w:rPr>
      <w:rFonts w:ascii="Times New Roman" w:eastAsia="Times New Roman" w:hAnsi="Times New Roman" w:cs="Times New Roman"/>
      <w:szCs w:val="20"/>
      <w:lang w:val="en-US"/>
    </w:rPr>
  </w:style>
  <w:style w:type="character" w:customStyle="1" w:styleId="ParagraphChar">
    <w:name w:val="Paragraph Char"/>
    <w:link w:val="Paragraph"/>
    <w:locked/>
    <w:rsid w:val="002706A2"/>
    <w:rPr>
      <w:rFonts w:ascii="Times New Roman" w:eastAsia="Times New Roman" w:hAnsi="Times New Roman" w:cs="Times New Roman"/>
      <w:szCs w:val="20"/>
      <w:lang w:val="en-US"/>
    </w:rPr>
  </w:style>
  <w:style w:type="paragraph" w:customStyle="1" w:styleId="Corpsdetex">
    <w:name w:val="Corps de tex"/>
    <w:rsid w:val="002706A2"/>
    <w:pPr>
      <w:widowControl w:val="0"/>
      <w:spacing w:after="0" w:line="240" w:lineRule="auto"/>
    </w:pPr>
    <w:rPr>
      <w:rFonts w:ascii="Times New Roman" w:eastAsia="MS Mincho" w:hAnsi="Times New Roman" w:cs="Times New Roman"/>
      <w:sz w:val="24"/>
      <w:szCs w:val="24"/>
      <w:lang w:val="en-US"/>
    </w:rPr>
  </w:style>
  <w:style w:type="paragraph" w:customStyle="1" w:styleId="txt9">
    <w:name w:val="txt9"/>
    <w:basedOn w:val="Normal"/>
    <w:rsid w:val="002706A2"/>
    <w:pPr>
      <w:keepLines/>
      <w:spacing w:before="100" w:beforeAutospacing="1" w:after="100" w:afterAutospacing="1" w:line="240" w:lineRule="auto"/>
    </w:pPr>
    <w:rPr>
      <w:rFonts w:ascii="Arial" w:eastAsia="Arial Unicode MS" w:hAnsi="Arial" w:cs="Arial"/>
      <w:color w:val="000080"/>
      <w:sz w:val="18"/>
      <w:szCs w:val="18"/>
    </w:rPr>
  </w:style>
  <w:style w:type="paragraph" w:customStyle="1" w:styleId="tabce">
    <w:name w:val="tab:ce"/>
    <w:semiHidden/>
    <w:rsid w:val="002706A2"/>
    <w:pPr>
      <w:spacing w:before="50" w:after="50" w:line="300" w:lineRule="atLeast"/>
      <w:jc w:val="center"/>
    </w:pPr>
    <w:rPr>
      <w:rFonts w:ascii="Times New Roman" w:eastAsia="Times New Roman" w:hAnsi="Times New Roman" w:cs="Times New Roman"/>
      <w:sz w:val="20"/>
      <w:szCs w:val="20"/>
      <w:lang w:val="en-GB"/>
    </w:rPr>
  </w:style>
  <w:style w:type="paragraph" w:customStyle="1" w:styleId="Textecourant9-12">
    <w:name w:val="Texte courant 9-12"/>
    <w:basedOn w:val="Normal"/>
    <w:rsid w:val="002706A2"/>
    <w:pPr>
      <w:keepLines/>
      <w:spacing w:after="0" w:line="240" w:lineRule="atLeast"/>
    </w:pPr>
    <w:rPr>
      <w:rFonts w:ascii="Arial" w:eastAsia="Times New Roman" w:hAnsi="Arial" w:cs="Times New Roman"/>
      <w:sz w:val="18"/>
      <w:szCs w:val="20"/>
    </w:rPr>
  </w:style>
  <w:style w:type="paragraph" w:customStyle="1" w:styleId="AmmCorpsTexte">
    <w:name w:val="AmmCorpsTexte"/>
    <w:basedOn w:val="Normal"/>
    <w:rsid w:val="002706A2"/>
    <w:pPr>
      <w:keepLines/>
      <w:spacing w:after="120" w:line="240" w:lineRule="auto"/>
      <w:jc w:val="both"/>
    </w:pPr>
    <w:rPr>
      <w:rFonts w:ascii="Arial" w:eastAsia="Times New Roman" w:hAnsi="Arial" w:cs="Times New Roman"/>
      <w:sz w:val="20"/>
      <w:szCs w:val="20"/>
    </w:rPr>
  </w:style>
  <w:style w:type="paragraph" w:customStyle="1" w:styleId="AmmAnnexeTitre1">
    <w:name w:val="AmmAnnexeTitre1"/>
    <w:basedOn w:val="Normal"/>
    <w:next w:val="AmmCorpsTexte"/>
    <w:rsid w:val="002706A2"/>
    <w:pPr>
      <w:keepNext/>
      <w:keepLines/>
      <w:tabs>
        <w:tab w:val="left" w:pos="357"/>
      </w:tabs>
      <w:spacing w:before="240" w:after="120" w:line="240" w:lineRule="auto"/>
      <w:ind w:left="357" w:hanging="357"/>
      <w:jc w:val="both"/>
    </w:pPr>
    <w:rPr>
      <w:rFonts w:ascii="Arial" w:eastAsia="Times New Roman" w:hAnsi="Arial" w:cs="Times New Roman"/>
      <w:b/>
      <w:caps/>
      <w:color w:val="0B3D92"/>
      <w:szCs w:val="20"/>
    </w:rPr>
  </w:style>
  <w:style w:type="paragraph" w:customStyle="1" w:styleId="AmmDenomination">
    <w:name w:val="AmmDenomination"/>
    <w:basedOn w:val="AmmCorpsTexte"/>
    <w:rsid w:val="002706A2"/>
    <w:pPr>
      <w:jc w:val="left"/>
    </w:pPr>
    <w:rPr>
      <w:b/>
    </w:rPr>
  </w:style>
  <w:style w:type="paragraph" w:customStyle="1" w:styleId="CarCarCarCar">
    <w:name w:val="Car Car Car Car"/>
    <w:basedOn w:val="Normal"/>
    <w:rsid w:val="002706A2"/>
    <w:pPr>
      <w:keepLines/>
      <w:spacing w:line="240" w:lineRule="exact"/>
    </w:pPr>
    <w:rPr>
      <w:rFonts w:ascii="Imago" w:eastAsia="Times New Roman" w:hAnsi="Imago" w:cs="Times New Roman"/>
      <w:sz w:val="24"/>
      <w:szCs w:val="24"/>
      <w:lang w:val="en-US"/>
    </w:rPr>
  </w:style>
  <w:style w:type="paragraph" w:customStyle="1" w:styleId="Titre-">
    <w:name w:val="Titre-"/>
    <w:basedOn w:val="En-tte"/>
    <w:rsid w:val="002706A2"/>
    <w:pPr>
      <w:keepLines/>
      <w:shd w:val="clear" w:color="auto" w:fill="D9D9D9"/>
      <w:tabs>
        <w:tab w:val="clear" w:pos="4536"/>
        <w:tab w:val="clear" w:pos="9072"/>
      </w:tabs>
    </w:pPr>
    <w:rPr>
      <w:rFonts w:ascii="Arial" w:eastAsia="Times New Roman" w:hAnsi="Arial" w:cs="Arial"/>
      <w:sz w:val="20"/>
      <w:szCs w:val="24"/>
    </w:rPr>
  </w:style>
  <w:style w:type="character" w:customStyle="1" w:styleId="longtext1">
    <w:name w:val="long_text1"/>
    <w:rsid w:val="002706A2"/>
    <w:rPr>
      <w:sz w:val="20"/>
    </w:rPr>
  </w:style>
  <w:style w:type="paragraph" w:customStyle="1" w:styleId="CM47">
    <w:name w:val="CM47"/>
    <w:basedOn w:val="Default"/>
    <w:next w:val="Default"/>
    <w:rsid w:val="002706A2"/>
    <w:pPr>
      <w:widowControl w:val="0"/>
      <w:spacing w:after="238"/>
    </w:pPr>
    <w:rPr>
      <w:rFonts w:ascii="Arial" w:eastAsia="MS Mincho" w:hAnsi="Arial"/>
      <w:color w:val="auto"/>
      <w:szCs w:val="20"/>
      <w:lang w:eastAsia="ja-JP"/>
    </w:rPr>
  </w:style>
  <w:style w:type="paragraph" w:customStyle="1" w:styleId="CM33">
    <w:name w:val="CM33"/>
    <w:basedOn w:val="Default"/>
    <w:next w:val="Default"/>
    <w:rsid w:val="002706A2"/>
    <w:pPr>
      <w:widowControl w:val="0"/>
      <w:spacing w:line="238" w:lineRule="atLeast"/>
    </w:pPr>
    <w:rPr>
      <w:rFonts w:ascii="Arial" w:eastAsia="MS Mincho" w:hAnsi="Arial"/>
      <w:color w:val="auto"/>
      <w:szCs w:val="20"/>
      <w:lang w:eastAsia="ja-JP"/>
    </w:rPr>
  </w:style>
  <w:style w:type="paragraph" w:customStyle="1" w:styleId="CM2">
    <w:name w:val="CM2"/>
    <w:basedOn w:val="Default"/>
    <w:next w:val="Default"/>
    <w:rsid w:val="002706A2"/>
    <w:pPr>
      <w:widowControl w:val="0"/>
    </w:pPr>
    <w:rPr>
      <w:rFonts w:ascii="Arial" w:eastAsia="MS Mincho" w:hAnsi="Arial"/>
      <w:color w:val="auto"/>
      <w:szCs w:val="20"/>
      <w:lang w:eastAsia="ja-JP"/>
    </w:rPr>
  </w:style>
  <w:style w:type="paragraph" w:customStyle="1" w:styleId="CM8">
    <w:name w:val="CM8"/>
    <w:basedOn w:val="Default"/>
    <w:next w:val="Default"/>
    <w:rsid w:val="002706A2"/>
    <w:pPr>
      <w:widowControl w:val="0"/>
      <w:spacing w:line="231" w:lineRule="atLeast"/>
    </w:pPr>
    <w:rPr>
      <w:rFonts w:ascii="Arial" w:eastAsia="MS Mincho" w:hAnsi="Arial"/>
      <w:color w:val="auto"/>
      <w:szCs w:val="20"/>
      <w:lang w:eastAsia="ja-JP"/>
    </w:rPr>
  </w:style>
  <w:style w:type="paragraph" w:customStyle="1" w:styleId="StyleMCD">
    <w:name w:val="StyleMCD"/>
    <w:basedOn w:val="Normal"/>
    <w:rsid w:val="002706A2"/>
    <w:pPr>
      <w:keepLines/>
      <w:widowControl w:val="0"/>
      <w:adjustRightInd w:val="0"/>
      <w:spacing w:before="60" w:after="60" w:line="240" w:lineRule="auto"/>
      <w:jc w:val="both"/>
    </w:pPr>
    <w:rPr>
      <w:rFonts w:ascii="Arial" w:eastAsia="Times New Roman" w:hAnsi="Arial" w:cs="Arial"/>
      <w:sz w:val="20"/>
      <w:szCs w:val="20"/>
    </w:rPr>
  </w:style>
  <w:style w:type="paragraph" w:customStyle="1" w:styleId="CM53">
    <w:name w:val="CM53"/>
    <w:basedOn w:val="Default"/>
    <w:next w:val="Default"/>
    <w:rsid w:val="002706A2"/>
    <w:pPr>
      <w:widowControl w:val="0"/>
      <w:spacing w:after="1195"/>
    </w:pPr>
    <w:rPr>
      <w:rFonts w:ascii="Arial" w:eastAsia="MS Mincho" w:hAnsi="Arial"/>
      <w:color w:val="auto"/>
      <w:szCs w:val="20"/>
      <w:lang w:eastAsia="ja-JP"/>
    </w:rPr>
  </w:style>
  <w:style w:type="paragraph" w:customStyle="1" w:styleId="Style10">
    <w:name w:val="Style 1"/>
    <w:rsid w:val="002706A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Heading2CharCar">
    <w:name w:val="Heading 2 Char Car"/>
    <w:aliases w:val="Level 2 Car,Kop 2 Car Car"/>
    <w:rsid w:val="002706A2"/>
    <w:rPr>
      <w:rFonts w:ascii="Arial" w:hAnsi="Arial"/>
      <w:b/>
      <w:sz w:val="26"/>
      <w:lang w:val="en-US" w:eastAsia="en-US"/>
    </w:rPr>
  </w:style>
  <w:style w:type="paragraph" w:customStyle="1" w:styleId="Annex">
    <w:name w:val="Annex"/>
    <w:basedOn w:val="Normal"/>
    <w:next w:val="Normal"/>
    <w:rsid w:val="002706A2"/>
    <w:pPr>
      <w:keepLines/>
      <w:spacing w:after="0" w:line="240" w:lineRule="auto"/>
      <w:jc w:val="center"/>
    </w:pPr>
    <w:rPr>
      <w:rFonts w:ascii="Imago" w:eastAsia="Times New Roman" w:hAnsi="Imago" w:cs="Times New Roman"/>
      <w:b/>
      <w:szCs w:val="20"/>
      <w:lang w:val="en-US" w:eastAsia="ja-JP"/>
    </w:rPr>
  </w:style>
  <w:style w:type="paragraph" w:customStyle="1" w:styleId="Style5">
    <w:name w:val="Style 5"/>
    <w:rsid w:val="002706A2"/>
    <w:pPr>
      <w:widowControl w:val="0"/>
      <w:autoSpaceDE w:val="0"/>
      <w:autoSpaceDN w:val="0"/>
      <w:spacing w:before="216" w:after="0" w:line="240" w:lineRule="auto"/>
      <w:jc w:val="both"/>
    </w:pPr>
    <w:rPr>
      <w:rFonts w:ascii="Times New Roman" w:eastAsia="Times New Roman" w:hAnsi="Times New Roman" w:cs="Times New Roman"/>
    </w:rPr>
  </w:style>
  <w:style w:type="character" w:customStyle="1" w:styleId="CharacterStyle3">
    <w:name w:val="Character Style 3"/>
    <w:rsid w:val="002706A2"/>
    <w:rPr>
      <w:sz w:val="22"/>
    </w:rPr>
  </w:style>
  <w:style w:type="paragraph" w:customStyle="1" w:styleId="Style6">
    <w:name w:val="Style 6"/>
    <w:rsid w:val="002706A2"/>
    <w:pPr>
      <w:widowControl w:val="0"/>
      <w:autoSpaceDE w:val="0"/>
      <w:autoSpaceDN w:val="0"/>
      <w:spacing w:before="216" w:after="0" w:line="240" w:lineRule="auto"/>
      <w:jc w:val="both"/>
    </w:pPr>
    <w:rPr>
      <w:rFonts w:ascii="Times New Roman" w:eastAsia="Times New Roman" w:hAnsi="Times New Roman" w:cs="Times New Roman"/>
      <w:spacing w:val="5"/>
    </w:rPr>
  </w:style>
  <w:style w:type="character" w:customStyle="1" w:styleId="CharacterStyle11">
    <w:name w:val="Character Style 11"/>
    <w:rsid w:val="002706A2"/>
    <w:rPr>
      <w:spacing w:val="5"/>
      <w:sz w:val="22"/>
    </w:rPr>
  </w:style>
  <w:style w:type="paragraph" w:customStyle="1" w:styleId="Style9">
    <w:name w:val="Style 9"/>
    <w:rsid w:val="002706A2"/>
    <w:pPr>
      <w:widowControl w:val="0"/>
      <w:autoSpaceDE w:val="0"/>
      <w:autoSpaceDN w:val="0"/>
      <w:spacing w:before="36" w:after="0" w:line="240" w:lineRule="auto"/>
    </w:pPr>
    <w:rPr>
      <w:rFonts w:ascii="Times New Roman" w:eastAsia="Times New Roman" w:hAnsi="Times New Roman" w:cs="Times New Roman"/>
      <w:sz w:val="24"/>
      <w:szCs w:val="24"/>
    </w:rPr>
  </w:style>
  <w:style w:type="paragraph" w:customStyle="1" w:styleId="khalid">
    <w:name w:val="khalid"/>
    <w:basedOn w:val="Normal"/>
    <w:rsid w:val="002706A2"/>
    <w:pPr>
      <w:keepLines/>
      <w:spacing w:before="120" w:after="120" w:line="360" w:lineRule="auto"/>
      <w:ind w:firstLine="567"/>
      <w:jc w:val="both"/>
    </w:pPr>
    <w:rPr>
      <w:rFonts w:ascii="Arial" w:eastAsia="Times New Roman" w:hAnsi="Arial" w:cs="Times New Roman"/>
      <w:sz w:val="24"/>
      <w:szCs w:val="20"/>
    </w:rPr>
  </w:style>
  <w:style w:type="paragraph" w:customStyle="1" w:styleId="espav">
    <w:name w:val="espav"/>
    <w:basedOn w:val="Normal"/>
    <w:rsid w:val="002706A2"/>
    <w:pPr>
      <w:keepLines/>
      <w:spacing w:before="120" w:after="0" w:line="240" w:lineRule="auto"/>
      <w:jc w:val="center"/>
    </w:pPr>
    <w:rPr>
      <w:rFonts w:ascii="Arial Narrow" w:eastAsia="Times New Roman" w:hAnsi="Arial Narrow" w:cs="Times New Roman"/>
      <w:szCs w:val="20"/>
    </w:rPr>
  </w:style>
  <w:style w:type="paragraph" w:customStyle="1" w:styleId="PARAGRAPHE">
    <w:name w:val="PARAGRAPHE"/>
    <w:basedOn w:val="Normal"/>
    <w:rsid w:val="002706A2"/>
    <w:pPr>
      <w:keepLines/>
      <w:spacing w:after="0" w:line="360" w:lineRule="atLeast"/>
      <w:ind w:left="851"/>
      <w:jc w:val="both"/>
    </w:pPr>
    <w:rPr>
      <w:rFonts w:ascii="Arial" w:eastAsia="Times New Roman" w:hAnsi="Arial" w:cs="Times New Roman"/>
      <w:sz w:val="24"/>
      <w:szCs w:val="20"/>
    </w:rPr>
  </w:style>
  <w:style w:type="paragraph" w:styleId="Index1">
    <w:name w:val="index 1"/>
    <w:basedOn w:val="Normal"/>
    <w:next w:val="Normal"/>
    <w:autoRedefine/>
    <w:uiPriority w:val="99"/>
    <w:semiHidden/>
    <w:rsid w:val="002706A2"/>
    <w:pPr>
      <w:keepLines/>
      <w:spacing w:after="0" w:line="240" w:lineRule="auto"/>
      <w:ind w:left="200" w:hanging="200"/>
    </w:pPr>
    <w:rPr>
      <w:rFonts w:ascii="Imago" w:eastAsia="Times New Roman" w:hAnsi="Imago" w:cs="Times New Roman"/>
      <w:sz w:val="20"/>
      <w:szCs w:val="20"/>
    </w:rPr>
  </w:style>
  <w:style w:type="paragraph" w:styleId="Explorateurdedocuments">
    <w:name w:val="Document Map"/>
    <w:basedOn w:val="Normal"/>
    <w:link w:val="ExplorateurdedocumentsCar"/>
    <w:uiPriority w:val="99"/>
    <w:semiHidden/>
    <w:rsid w:val="002706A2"/>
    <w:pPr>
      <w:keepLines/>
      <w:shd w:val="clear" w:color="auto" w:fill="000080"/>
      <w:tabs>
        <w:tab w:val="num" w:pos="720"/>
        <w:tab w:val="num" w:pos="1800"/>
      </w:tabs>
      <w:spacing w:after="0" w:line="240" w:lineRule="auto"/>
      <w:ind w:left="720" w:hanging="360"/>
    </w:pPr>
    <w:rPr>
      <w:rFonts w:ascii="Tahoma" w:eastAsia="Times New Roman" w:hAnsi="Tahoma" w:cs="Times New Roman"/>
      <w:sz w:val="20"/>
      <w:szCs w:val="20"/>
    </w:rPr>
  </w:style>
  <w:style w:type="character" w:customStyle="1" w:styleId="ExplorateurdedocumentsCar">
    <w:name w:val="Explorateur de documents Car"/>
    <w:basedOn w:val="Policepardfaut"/>
    <w:link w:val="Explorateurdedocuments"/>
    <w:uiPriority w:val="99"/>
    <w:semiHidden/>
    <w:rsid w:val="002706A2"/>
    <w:rPr>
      <w:rFonts w:ascii="Tahoma" w:eastAsia="Times New Roman" w:hAnsi="Tahoma" w:cs="Times New Roman"/>
      <w:sz w:val="20"/>
      <w:szCs w:val="20"/>
      <w:shd w:val="clear" w:color="auto" w:fill="000080"/>
      <w:lang w:eastAsia="fr-FR"/>
    </w:rPr>
  </w:style>
  <w:style w:type="paragraph" w:customStyle="1" w:styleId="B2">
    <w:name w:val="B2"/>
    <w:basedOn w:val="Normal"/>
    <w:rsid w:val="002706A2"/>
    <w:pPr>
      <w:keepLines/>
      <w:tabs>
        <w:tab w:val="num" w:pos="720"/>
        <w:tab w:val="num" w:pos="1440"/>
      </w:tabs>
      <w:spacing w:after="0" w:line="240" w:lineRule="auto"/>
      <w:ind w:left="720" w:hanging="720"/>
    </w:pPr>
    <w:rPr>
      <w:rFonts w:ascii="Minion" w:eastAsia="Times New Roman" w:hAnsi="Minion" w:cs="Times New Roman"/>
      <w:sz w:val="24"/>
      <w:szCs w:val="20"/>
    </w:rPr>
  </w:style>
  <w:style w:type="paragraph" w:customStyle="1" w:styleId="HdTab1">
    <w:name w:val="Hd:Tab:1"/>
    <w:basedOn w:val="Lgende"/>
    <w:next w:val="Normal"/>
    <w:link w:val="HdTab1Char"/>
    <w:rsid w:val="002706A2"/>
    <w:pPr>
      <w:keepNext/>
      <w:pBdr>
        <w:top w:val="none" w:sz="0" w:space="0" w:color="auto"/>
        <w:left w:val="none" w:sz="0" w:space="0" w:color="auto"/>
        <w:bottom w:val="none" w:sz="0" w:space="0" w:color="auto"/>
        <w:right w:val="none" w:sz="0" w:space="0" w:color="auto"/>
      </w:pBdr>
      <w:tabs>
        <w:tab w:val="clear" w:pos="4395"/>
      </w:tabs>
      <w:spacing w:before="113" w:after="57" w:line="280" w:lineRule="atLeast"/>
      <w:ind w:left="1701" w:right="0" w:hanging="1701"/>
      <w:jc w:val="left"/>
      <w:outlineLvl w:val="4"/>
    </w:pPr>
    <w:rPr>
      <w:rFonts w:ascii="Arial" w:hAnsi="Arial" w:cs="Times New Roman"/>
      <w:bCs w:val="0"/>
      <w:szCs w:val="20"/>
      <w:lang w:eastAsia="ja-JP"/>
    </w:rPr>
  </w:style>
  <w:style w:type="character" w:customStyle="1" w:styleId="HdTab1Char">
    <w:name w:val="Hd:Tab:1 Char"/>
    <w:link w:val="HdTab1"/>
    <w:locked/>
    <w:rsid w:val="002706A2"/>
    <w:rPr>
      <w:rFonts w:ascii="Arial" w:eastAsia="Times New Roman" w:hAnsi="Arial" w:cs="Times New Roman"/>
      <w:b/>
      <w:sz w:val="24"/>
      <w:szCs w:val="20"/>
      <w:lang w:eastAsia="ja-JP"/>
    </w:rPr>
  </w:style>
  <w:style w:type="paragraph" w:customStyle="1" w:styleId="TextTi10">
    <w:name w:val="Text:Ti10"/>
    <w:basedOn w:val="Normal"/>
    <w:link w:val="TextTi10Char"/>
    <w:rsid w:val="002706A2"/>
    <w:pPr>
      <w:keepLines/>
      <w:spacing w:after="0" w:line="240" w:lineRule="auto"/>
    </w:pPr>
    <w:rPr>
      <w:rFonts w:ascii="Times New Roman" w:eastAsia="Times New Roman" w:hAnsi="Times New Roman" w:cs="Times New Roman"/>
      <w:sz w:val="20"/>
      <w:szCs w:val="20"/>
      <w:lang w:eastAsia="ja-JP"/>
    </w:rPr>
  </w:style>
  <w:style w:type="character" w:customStyle="1" w:styleId="TextTi10Char">
    <w:name w:val="Text:Ti10 Char"/>
    <w:link w:val="TextTi10"/>
    <w:locked/>
    <w:rsid w:val="002706A2"/>
    <w:rPr>
      <w:rFonts w:ascii="Times New Roman" w:eastAsia="Times New Roman" w:hAnsi="Times New Roman" w:cs="Times New Roman"/>
      <w:sz w:val="20"/>
      <w:szCs w:val="20"/>
      <w:lang w:eastAsia="ja-JP"/>
    </w:rPr>
  </w:style>
  <w:style w:type="paragraph" w:customStyle="1" w:styleId="CaptionAPP">
    <w:name w:val="Caption APP"/>
    <w:basedOn w:val="Lgende"/>
    <w:next w:val="Normal"/>
    <w:rsid w:val="002706A2"/>
    <w:pPr>
      <w:pBdr>
        <w:top w:val="none" w:sz="0" w:space="0" w:color="auto"/>
        <w:left w:val="none" w:sz="0" w:space="0" w:color="auto"/>
        <w:bottom w:val="none" w:sz="0" w:space="0" w:color="auto"/>
        <w:right w:val="none" w:sz="0" w:space="0" w:color="auto"/>
      </w:pBdr>
      <w:tabs>
        <w:tab w:val="clear" w:pos="4395"/>
      </w:tabs>
      <w:spacing w:before="113" w:after="57"/>
      <w:ind w:left="0" w:right="0" w:firstLine="0"/>
    </w:pPr>
    <w:rPr>
      <w:rFonts w:ascii="Arial" w:hAnsi="Arial" w:cs="Arial"/>
      <w:sz w:val="22"/>
      <w:szCs w:val="22"/>
      <w:lang w:val="en-GB" w:eastAsia="ja-JP"/>
    </w:rPr>
  </w:style>
  <w:style w:type="paragraph" w:customStyle="1" w:styleId="TextTi12">
    <w:name w:val="Text:Ti12"/>
    <w:basedOn w:val="Normal"/>
    <w:link w:val="TextTi12Char"/>
    <w:rsid w:val="002706A2"/>
    <w:pPr>
      <w:keepLines/>
      <w:spacing w:after="170" w:line="280" w:lineRule="atLeast"/>
      <w:jc w:val="both"/>
    </w:pPr>
    <w:rPr>
      <w:rFonts w:ascii="Times New Roman" w:eastAsia="Times New Roman" w:hAnsi="Times New Roman" w:cs="Times New Roman"/>
      <w:sz w:val="24"/>
      <w:szCs w:val="20"/>
      <w:lang w:val="en-US" w:eastAsia="de-DE"/>
    </w:rPr>
  </w:style>
  <w:style w:type="character" w:customStyle="1" w:styleId="TextTi12Char">
    <w:name w:val="Text:Ti12 Char"/>
    <w:link w:val="TextTi12"/>
    <w:locked/>
    <w:rsid w:val="002706A2"/>
    <w:rPr>
      <w:rFonts w:ascii="Times New Roman" w:eastAsia="Times New Roman" w:hAnsi="Times New Roman" w:cs="Times New Roman"/>
      <w:sz w:val="24"/>
      <w:szCs w:val="20"/>
      <w:lang w:val="en-US" w:eastAsia="de-DE"/>
    </w:rPr>
  </w:style>
  <w:style w:type="character" w:customStyle="1" w:styleId="TextTi12Car">
    <w:name w:val="Text:Ti12 Car"/>
    <w:rsid w:val="002706A2"/>
    <w:rPr>
      <w:sz w:val="24"/>
      <w:lang w:val="en-US" w:eastAsia="de-DE"/>
    </w:rPr>
  </w:style>
  <w:style w:type="paragraph" w:customStyle="1" w:styleId="enttetab">
    <w:name w:val="en tête tab"/>
    <w:basedOn w:val="Normal"/>
    <w:rsid w:val="002706A2"/>
    <w:pPr>
      <w:keepLines/>
      <w:shd w:val="pct70" w:color="auto" w:fill="FFFFFF"/>
      <w:spacing w:after="0" w:line="240" w:lineRule="auto"/>
      <w:jc w:val="center"/>
    </w:pPr>
    <w:rPr>
      <w:rFonts w:ascii="Verdana" w:eastAsia="Times New Roman" w:hAnsi="Verdana" w:cs="Times New Roman"/>
      <w:b/>
      <w:bCs/>
      <w:color w:val="FFFFFF"/>
      <w:sz w:val="20"/>
      <w:szCs w:val="20"/>
    </w:rPr>
  </w:style>
  <w:style w:type="paragraph" w:customStyle="1" w:styleId="Car">
    <w:name w:val="Car"/>
    <w:basedOn w:val="Normal"/>
    <w:rsid w:val="002706A2"/>
    <w:pPr>
      <w:keepLines/>
      <w:spacing w:line="240" w:lineRule="exact"/>
    </w:pPr>
    <w:rPr>
      <w:rFonts w:ascii="Imago" w:eastAsia="Times New Roman" w:hAnsi="Imago" w:cs="Times New Roman"/>
      <w:sz w:val="24"/>
      <w:szCs w:val="24"/>
      <w:lang w:val="en-US"/>
    </w:rPr>
  </w:style>
  <w:style w:type="paragraph" w:customStyle="1" w:styleId="SynopsisText">
    <w:name w:val="Synopsis Text"/>
    <w:basedOn w:val="Paragraph"/>
    <w:rsid w:val="002706A2"/>
    <w:pPr>
      <w:spacing w:after="60" w:line="220" w:lineRule="exact"/>
      <w:ind w:left="72" w:right="72"/>
    </w:pPr>
    <w:rPr>
      <w:rFonts w:ascii="Arial" w:hAnsi="Arial"/>
      <w:sz w:val="20"/>
    </w:rPr>
  </w:style>
  <w:style w:type="character" w:customStyle="1" w:styleId="SynopsisTextChar">
    <w:name w:val="Synopsis Text Char"/>
    <w:rsid w:val="002706A2"/>
    <w:rPr>
      <w:rFonts w:ascii="Arial" w:hAnsi="Arial"/>
      <w:lang w:val="en-US" w:eastAsia="en-US"/>
    </w:rPr>
  </w:style>
  <w:style w:type="paragraph" w:customStyle="1" w:styleId="text0">
    <w:name w:val="text"/>
    <w:basedOn w:val="Normal"/>
    <w:rsid w:val="002706A2"/>
    <w:pPr>
      <w:keepLines/>
      <w:spacing w:before="120" w:after="0" w:line="240" w:lineRule="auto"/>
      <w:jc w:val="both"/>
    </w:pPr>
    <w:rPr>
      <w:rFonts w:ascii="Imago" w:eastAsia="SimSun" w:hAnsi="Imago" w:cs="Times New Roman"/>
      <w:sz w:val="24"/>
      <w:szCs w:val="24"/>
      <w:lang w:val="en-US" w:eastAsia="zh-CN"/>
    </w:rPr>
  </w:style>
  <w:style w:type="character" w:customStyle="1" w:styleId="Titre21Car">
    <w:name w:val="Titre 21 Car"/>
    <w:aliases w:val="D70AR2 Car,Kop 2 Car,Heading 2 Char Car Car"/>
    <w:rsid w:val="002706A2"/>
    <w:rPr>
      <w:rFonts w:ascii="Arial" w:hAnsi="Arial"/>
      <w:b/>
      <w:snapToGrid w:val="0"/>
      <w:lang w:val="fr-FR" w:eastAsia="fr-FR"/>
    </w:rPr>
  </w:style>
  <w:style w:type="paragraph" w:customStyle="1" w:styleId="Level1">
    <w:name w:val="Level 1"/>
    <w:basedOn w:val="Normal"/>
    <w:rsid w:val="002706A2"/>
    <w:pPr>
      <w:keepLines/>
      <w:widowControl w:val="0"/>
      <w:tabs>
        <w:tab w:val="num" w:pos="360"/>
      </w:tabs>
      <w:spacing w:after="0" w:line="240" w:lineRule="auto"/>
      <w:ind w:left="826" w:hanging="396"/>
      <w:outlineLvl w:val="0"/>
    </w:pPr>
    <w:rPr>
      <w:rFonts w:ascii="Courier" w:eastAsia="Times New Roman" w:hAnsi="Courier" w:cs="Times New Roman"/>
      <w:sz w:val="24"/>
      <w:szCs w:val="20"/>
      <w:lang w:val="en-US"/>
    </w:rPr>
  </w:style>
  <w:style w:type="paragraph" w:customStyle="1" w:styleId="Normalgdl">
    <w:name w:val="Normal gdl"/>
    <w:basedOn w:val="Normal"/>
    <w:rsid w:val="002706A2"/>
    <w:pPr>
      <w:keepLines/>
      <w:spacing w:after="120" w:line="240" w:lineRule="auto"/>
      <w:jc w:val="both"/>
    </w:pPr>
    <w:rPr>
      <w:rFonts w:ascii="Imago" w:eastAsia="Times New Roman" w:hAnsi="Imago" w:cs="Times New Roman"/>
      <w:szCs w:val="20"/>
      <w:lang w:val="en-GB"/>
    </w:rPr>
  </w:style>
  <w:style w:type="paragraph" w:customStyle="1" w:styleId="Tien">
    <w:name w:val="Tien"/>
    <w:basedOn w:val="Normal"/>
    <w:rsid w:val="002706A2"/>
    <w:pPr>
      <w:keepLines/>
      <w:spacing w:after="0" w:line="240" w:lineRule="auto"/>
    </w:pPr>
    <w:rPr>
      <w:rFonts w:ascii="Arial" w:eastAsia="Times New Roman" w:hAnsi="Arial" w:cs="Times New Roman"/>
      <w:sz w:val="20"/>
      <w:szCs w:val="20"/>
      <w:lang w:val="en-US"/>
    </w:rPr>
  </w:style>
  <w:style w:type="paragraph" w:customStyle="1" w:styleId="Acht">
    <w:name w:val="Acht"/>
    <w:basedOn w:val="Normal"/>
    <w:rsid w:val="002706A2"/>
    <w:pPr>
      <w:keepLines/>
      <w:spacing w:after="0" w:line="240" w:lineRule="auto"/>
    </w:pPr>
    <w:rPr>
      <w:rFonts w:ascii="Arial" w:eastAsia="Times New Roman" w:hAnsi="Arial" w:cs="Times New Roman"/>
      <w:sz w:val="16"/>
      <w:szCs w:val="20"/>
      <w:lang w:val="en-US"/>
    </w:rPr>
  </w:style>
  <w:style w:type="paragraph" w:customStyle="1" w:styleId="SpadeListing">
    <w:name w:val="SpadeListing"/>
    <w:basedOn w:val="Normal"/>
    <w:rsid w:val="002706A2"/>
    <w:pPr>
      <w:keepLines/>
      <w:spacing w:after="0" w:line="240" w:lineRule="auto"/>
    </w:pPr>
    <w:rPr>
      <w:rFonts w:ascii="Imago" w:eastAsia="Times New Roman" w:hAnsi="Imago" w:cs="Times New Roman"/>
      <w:sz w:val="16"/>
      <w:szCs w:val="20"/>
      <w:lang w:val="en-US"/>
    </w:rPr>
  </w:style>
  <w:style w:type="paragraph" w:customStyle="1" w:styleId="StyleTitre1">
    <w:name w:val="Style Titre 1"/>
    <w:aliases w:val="D70AR + (Latin) Arial (Complexe) Arial Haut: (Pas d..."/>
    <w:basedOn w:val="Titre1"/>
    <w:next w:val="Titre2"/>
    <w:rsid w:val="002706A2"/>
    <w:pPr>
      <w:keepNext/>
      <w:widowControl/>
      <w:tabs>
        <w:tab w:val="left" w:pos="430"/>
        <w:tab w:val="num" w:pos="720"/>
        <w:tab w:val="num" w:pos="1008"/>
        <w:tab w:val="num" w:pos="1080"/>
        <w:tab w:val="left" w:pos="2800"/>
      </w:tabs>
      <w:spacing w:before="0"/>
      <w:ind w:left="820" w:hanging="390"/>
      <w:jc w:val="both"/>
    </w:pPr>
    <w:rPr>
      <w:rFonts w:ascii="Arial" w:hAnsi="Arial" w:cs="Arial"/>
      <w:sz w:val="20"/>
      <w:szCs w:val="24"/>
    </w:rPr>
  </w:style>
  <w:style w:type="paragraph" w:customStyle="1" w:styleId="Liste1">
    <w:name w:val="Liste 1"/>
    <w:basedOn w:val="Corpsdetexte"/>
    <w:rsid w:val="002706A2"/>
    <w:pPr>
      <w:keepLines/>
      <w:widowControl/>
      <w:tabs>
        <w:tab w:val="num" w:pos="360"/>
        <w:tab w:val="num" w:pos="720"/>
      </w:tabs>
      <w:autoSpaceDE/>
      <w:autoSpaceDN/>
      <w:ind w:left="360" w:hanging="360"/>
      <w:jc w:val="both"/>
    </w:pPr>
    <w:rPr>
      <w:rFonts w:ascii="Arial" w:hAnsi="Arial" w:cs="Arial"/>
      <w:sz w:val="22"/>
      <w:szCs w:val="20"/>
      <w:lang w:val="en-US"/>
    </w:rPr>
  </w:style>
  <w:style w:type="paragraph" w:customStyle="1" w:styleId="titre40">
    <w:name w:val="titre4"/>
    <w:basedOn w:val="Titre4"/>
    <w:rsid w:val="002706A2"/>
    <w:pPr>
      <w:keepLines w:val="0"/>
      <w:autoSpaceDE w:val="0"/>
      <w:autoSpaceDN w:val="0"/>
      <w:adjustRightInd w:val="0"/>
      <w:spacing w:after="120"/>
      <w:ind w:left="0" w:firstLine="0"/>
    </w:pPr>
    <w:rPr>
      <w:b w:val="0"/>
      <w:bCs/>
      <w:color w:val="000000"/>
      <w:sz w:val="22"/>
      <w:szCs w:val="22"/>
      <w:lang w:val="en-GB"/>
    </w:rPr>
  </w:style>
  <w:style w:type="paragraph" w:customStyle="1" w:styleId="Retraitcorp">
    <w:name w:val="Retrait corp"/>
    <w:rsid w:val="002706A2"/>
    <w:pPr>
      <w:widowControl w:val="0"/>
      <w:tabs>
        <w:tab w:val="left" w:pos="0"/>
        <w:tab w:val="left" w:pos="55"/>
        <w:tab w:val="decimal" w:pos="111"/>
        <w:tab w:val="left" w:pos="168"/>
        <w:tab w:val="left" w:pos="224"/>
        <w:tab w:val="left" w:pos="282"/>
        <w:tab w:val="left" w:pos="337"/>
        <w:tab w:val="left" w:pos="393"/>
        <w:tab w:val="left" w:pos="450"/>
        <w:tab w:val="left" w:pos="506"/>
        <w:tab w:val="left" w:pos="564"/>
        <w:tab w:val="left" w:pos="619"/>
        <w:tab w:val="left" w:pos="675"/>
        <w:tab w:val="left" w:pos="732"/>
        <w:tab w:val="left" w:pos="788"/>
        <w:tab w:val="left" w:pos="846"/>
        <w:tab w:val="left" w:pos="901"/>
        <w:tab w:val="left" w:pos="957"/>
      </w:tabs>
      <w:spacing w:after="0" w:line="360" w:lineRule="auto"/>
      <w:jc w:val="both"/>
    </w:pPr>
    <w:rPr>
      <w:rFonts w:ascii="Times New Roman" w:eastAsia="Times New Roman" w:hAnsi="Times New Roman" w:cs="Times New Roman"/>
      <w:szCs w:val="20"/>
    </w:rPr>
  </w:style>
  <w:style w:type="character" w:customStyle="1" w:styleId="Initial">
    <w:name w:val="Initial"/>
    <w:rsid w:val="002706A2"/>
    <w:rPr>
      <w:rFonts w:ascii="CG Times" w:hAnsi="CG Times"/>
      <w:sz w:val="24"/>
      <w:lang w:val="da-DK"/>
    </w:rPr>
  </w:style>
  <w:style w:type="paragraph" w:customStyle="1" w:styleId="wfxRecipient">
    <w:name w:val="wfxRecipient"/>
    <w:basedOn w:val="Normal"/>
    <w:rsid w:val="002706A2"/>
    <w:pPr>
      <w:keepLines/>
      <w:spacing w:after="0" w:line="240" w:lineRule="auto"/>
    </w:pPr>
    <w:rPr>
      <w:rFonts w:ascii="Imago" w:eastAsia="Times New Roman" w:hAnsi="Imago" w:cs="Times New Roman"/>
      <w:sz w:val="24"/>
      <w:szCs w:val="20"/>
    </w:rPr>
  </w:style>
  <w:style w:type="character" w:customStyle="1" w:styleId="a">
    <w:name w:val="a"/>
    <w:rsid w:val="002706A2"/>
  </w:style>
  <w:style w:type="paragraph" w:customStyle="1" w:styleId="TableText10">
    <w:name w:val="TableText:10"/>
    <w:basedOn w:val="Normal"/>
    <w:link w:val="TableText10Char"/>
    <w:rsid w:val="002706A2"/>
    <w:pPr>
      <w:keepLines/>
      <w:spacing w:after="0" w:line="240" w:lineRule="auto"/>
    </w:pPr>
    <w:rPr>
      <w:rFonts w:ascii="Times New Roman" w:eastAsia="Times New Roman" w:hAnsi="Times New Roman" w:cs="Times New Roman"/>
      <w:sz w:val="20"/>
      <w:szCs w:val="20"/>
      <w:lang w:val="en-US" w:eastAsia="ja-JP"/>
    </w:rPr>
  </w:style>
  <w:style w:type="character" w:customStyle="1" w:styleId="TableText10Char">
    <w:name w:val="TableText:10 Char"/>
    <w:link w:val="TableText10"/>
    <w:locked/>
    <w:rsid w:val="002706A2"/>
    <w:rPr>
      <w:rFonts w:ascii="Times New Roman" w:eastAsia="Times New Roman" w:hAnsi="Times New Roman" w:cs="Times New Roman"/>
      <w:sz w:val="20"/>
      <w:szCs w:val="20"/>
      <w:lang w:val="en-US" w:eastAsia="ja-JP"/>
    </w:rPr>
  </w:style>
  <w:style w:type="paragraph" w:customStyle="1" w:styleId="Hd1">
    <w:name w:val="Hd:1"/>
    <w:basedOn w:val="Normal"/>
    <w:next w:val="Normal"/>
    <w:rsid w:val="002706A2"/>
    <w:pPr>
      <w:keepNext/>
      <w:keepLines/>
      <w:spacing w:before="113" w:after="57" w:line="280" w:lineRule="atLeast"/>
      <w:ind w:left="1134" w:hanging="1134"/>
    </w:pPr>
    <w:rPr>
      <w:rFonts w:ascii="Arial" w:eastAsia="Times New Roman" w:hAnsi="Arial" w:cs="Times New Roman"/>
      <w:b/>
      <w:smallCaps/>
      <w:sz w:val="28"/>
      <w:szCs w:val="28"/>
      <w:lang w:eastAsia="de-DE"/>
    </w:rPr>
  </w:style>
  <w:style w:type="paragraph" w:customStyle="1" w:styleId="Hd2">
    <w:name w:val="Hd:2"/>
    <w:basedOn w:val="Normal"/>
    <w:next w:val="Normal"/>
    <w:rsid w:val="002706A2"/>
    <w:pPr>
      <w:keepNext/>
      <w:keepLines/>
      <w:spacing w:before="113" w:after="57" w:line="280" w:lineRule="atLeast"/>
      <w:ind w:left="1134" w:hanging="1134"/>
    </w:pPr>
    <w:rPr>
      <w:rFonts w:ascii="Arial" w:eastAsia="Times New Roman" w:hAnsi="Arial" w:cs="Times New Roman"/>
      <w:b/>
      <w:sz w:val="26"/>
      <w:szCs w:val="20"/>
      <w:lang w:eastAsia="de-DE"/>
    </w:rPr>
  </w:style>
  <w:style w:type="paragraph" w:customStyle="1" w:styleId="HdApp1">
    <w:name w:val="Hd:App:1"/>
    <w:basedOn w:val="Lgende"/>
    <w:next w:val="TextTi12"/>
    <w:link w:val="HdApp1Char"/>
    <w:rsid w:val="002706A2"/>
    <w:pPr>
      <w:keepNext/>
      <w:pBdr>
        <w:top w:val="none" w:sz="0" w:space="0" w:color="auto"/>
        <w:left w:val="none" w:sz="0" w:space="0" w:color="auto"/>
        <w:bottom w:val="none" w:sz="0" w:space="0" w:color="auto"/>
        <w:right w:val="none" w:sz="0" w:space="0" w:color="auto"/>
      </w:pBdr>
      <w:tabs>
        <w:tab w:val="clear" w:pos="4395"/>
      </w:tabs>
      <w:spacing w:before="0" w:after="57" w:line="280" w:lineRule="atLeast"/>
      <w:ind w:left="1701" w:right="0" w:hanging="1701"/>
      <w:jc w:val="left"/>
      <w:outlineLvl w:val="4"/>
    </w:pPr>
    <w:rPr>
      <w:rFonts w:ascii="Arial" w:hAnsi="Arial" w:cs="Times New Roman"/>
      <w:bCs w:val="0"/>
      <w:szCs w:val="20"/>
      <w:lang w:eastAsia="ja-JP"/>
    </w:rPr>
  </w:style>
  <w:style w:type="character" w:customStyle="1" w:styleId="HdApp1Char">
    <w:name w:val="Hd:App:1 Char"/>
    <w:link w:val="HdApp1"/>
    <w:locked/>
    <w:rsid w:val="002706A2"/>
    <w:rPr>
      <w:rFonts w:ascii="Arial" w:eastAsia="Times New Roman" w:hAnsi="Arial" w:cs="Times New Roman"/>
      <w:b/>
      <w:sz w:val="24"/>
      <w:szCs w:val="20"/>
      <w:lang w:eastAsia="ja-JP"/>
    </w:rPr>
  </w:style>
  <w:style w:type="paragraph" w:customStyle="1" w:styleId="HdCont">
    <w:name w:val="Hd:Cont"/>
    <w:basedOn w:val="HdApp1"/>
    <w:next w:val="TextTi12"/>
    <w:rsid w:val="002706A2"/>
  </w:style>
  <w:style w:type="character" w:customStyle="1" w:styleId="TextDashChar">
    <w:name w:val="Text:Dash Char"/>
    <w:link w:val="TextDash"/>
    <w:locked/>
    <w:rsid w:val="002706A2"/>
    <w:rPr>
      <w:rFonts w:ascii="Imago" w:hAnsi="Imago"/>
      <w:sz w:val="24"/>
      <w:lang w:val="en-US" w:eastAsia="de-DE"/>
    </w:rPr>
  </w:style>
  <w:style w:type="paragraph" w:customStyle="1" w:styleId="TextDash">
    <w:name w:val="Text:Dash"/>
    <w:basedOn w:val="Normal"/>
    <w:link w:val="TextDashChar"/>
    <w:rsid w:val="002706A2"/>
    <w:pPr>
      <w:keepLines/>
      <w:tabs>
        <w:tab w:val="num" w:pos="720"/>
        <w:tab w:val="num" w:pos="1440"/>
      </w:tabs>
      <w:spacing w:after="170" w:line="280" w:lineRule="atLeast"/>
      <w:ind w:left="360" w:hanging="360"/>
      <w:jc w:val="both"/>
    </w:pPr>
    <w:rPr>
      <w:rFonts w:ascii="Imago" w:hAnsi="Imago"/>
      <w:sz w:val="24"/>
      <w:lang w:val="en-US" w:eastAsia="de-DE"/>
    </w:rPr>
  </w:style>
  <w:style w:type="paragraph" w:customStyle="1" w:styleId="TableText12">
    <w:name w:val="TableText:12"/>
    <w:basedOn w:val="Normal"/>
    <w:rsid w:val="002706A2"/>
    <w:pPr>
      <w:keepLines/>
      <w:spacing w:after="0" w:line="240" w:lineRule="auto"/>
    </w:pPr>
    <w:rPr>
      <w:rFonts w:ascii="Imago" w:eastAsia="Times New Roman" w:hAnsi="Imago" w:cs="Times New Roman"/>
      <w:sz w:val="24"/>
      <w:szCs w:val="20"/>
      <w:lang w:val="en-US" w:eastAsia="ja-JP"/>
    </w:rPr>
  </w:style>
  <w:style w:type="paragraph" w:customStyle="1" w:styleId="Hd3">
    <w:name w:val="Hd:3"/>
    <w:basedOn w:val="Normal"/>
    <w:next w:val="TextTi12"/>
    <w:link w:val="Hd3Char"/>
    <w:rsid w:val="002706A2"/>
    <w:pPr>
      <w:keepNext/>
      <w:keepLines/>
      <w:spacing w:before="113" w:after="57" w:line="280" w:lineRule="atLeast"/>
      <w:ind w:left="1134" w:hanging="1134"/>
    </w:pPr>
    <w:rPr>
      <w:rFonts w:ascii="Arial" w:eastAsia="Times New Roman" w:hAnsi="Arial" w:cs="Times New Roman"/>
      <w:b/>
      <w:sz w:val="24"/>
      <w:szCs w:val="20"/>
      <w:lang w:val="en-US" w:eastAsia="de-DE"/>
    </w:rPr>
  </w:style>
  <w:style w:type="character" w:customStyle="1" w:styleId="Hd3Char">
    <w:name w:val="Hd:3 Char"/>
    <w:link w:val="Hd3"/>
    <w:locked/>
    <w:rsid w:val="002706A2"/>
    <w:rPr>
      <w:rFonts w:ascii="Arial" w:eastAsia="Times New Roman" w:hAnsi="Arial" w:cs="Times New Roman"/>
      <w:b/>
      <w:sz w:val="24"/>
      <w:szCs w:val="20"/>
      <w:lang w:val="en-US" w:eastAsia="de-DE"/>
    </w:rPr>
  </w:style>
  <w:style w:type="paragraph" w:styleId="Titreindex">
    <w:name w:val="index heading"/>
    <w:basedOn w:val="Normal"/>
    <w:next w:val="Index1"/>
    <w:uiPriority w:val="99"/>
    <w:semiHidden/>
    <w:rsid w:val="002706A2"/>
    <w:pPr>
      <w:keepLines/>
      <w:spacing w:after="0" w:line="240" w:lineRule="auto"/>
    </w:pPr>
    <w:rPr>
      <w:rFonts w:ascii="Imago" w:eastAsia="Times New Roman" w:hAnsi="Imago" w:cs="Times New Roman"/>
      <w:sz w:val="20"/>
      <w:szCs w:val="20"/>
    </w:rPr>
  </w:style>
  <w:style w:type="paragraph" w:customStyle="1" w:styleId="1AutoList2">
    <w:name w:val="1AutoList2"/>
    <w:rsid w:val="002706A2"/>
    <w:pPr>
      <w:tabs>
        <w:tab w:val="left" w:pos="720"/>
      </w:tabs>
      <w:spacing w:after="0" w:line="240" w:lineRule="auto"/>
      <w:ind w:left="720" w:hanging="720"/>
    </w:pPr>
    <w:rPr>
      <w:rFonts w:ascii="Courier 10cpi" w:eastAsia="Times New Roman" w:hAnsi="Courier 10cpi" w:cs="Times New Roman"/>
      <w:sz w:val="24"/>
      <w:szCs w:val="20"/>
    </w:rPr>
  </w:style>
  <w:style w:type="paragraph" w:customStyle="1" w:styleId="title1">
    <w:name w:val="title1"/>
    <w:basedOn w:val="Normal"/>
    <w:rsid w:val="002706A2"/>
    <w:pPr>
      <w:keepLines/>
      <w:spacing w:after="0" w:line="240" w:lineRule="auto"/>
    </w:pPr>
    <w:rPr>
      <w:rFonts w:ascii="Imago" w:eastAsia="Times New Roman" w:hAnsi="Imago" w:cs="Times New Roman"/>
      <w:sz w:val="29"/>
      <w:szCs w:val="29"/>
    </w:rPr>
  </w:style>
  <w:style w:type="paragraph" w:customStyle="1" w:styleId="rprtbody1">
    <w:name w:val="rprtbody1"/>
    <w:basedOn w:val="Normal"/>
    <w:rsid w:val="002706A2"/>
    <w:pPr>
      <w:keepLines/>
      <w:spacing w:before="34" w:after="34" w:line="240" w:lineRule="auto"/>
    </w:pPr>
    <w:rPr>
      <w:rFonts w:ascii="Imago" w:eastAsia="Times New Roman" w:hAnsi="Imago" w:cs="Times New Roman"/>
      <w:sz w:val="28"/>
      <w:szCs w:val="28"/>
    </w:rPr>
  </w:style>
  <w:style w:type="paragraph" w:customStyle="1" w:styleId="aux1">
    <w:name w:val="aux1"/>
    <w:basedOn w:val="Normal"/>
    <w:rsid w:val="002706A2"/>
    <w:pPr>
      <w:keepLines/>
      <w:spacing w:after="0" w:line="320" w:lineRule="atLeast"/>
    </w:pPr>
    <w:rPr>
      <w:rFonts w:ascii="Imago" w:eastAsia="Times New Roman" w:hAnsi="Imago" w:cs="Times New Roman"/>
      <w:sz w:val="24"/>
      <w:szCs w:val="24"/>
    </w:rPr>
  </w:style>
  <w:style w:type="character" w:customStyle="1" w:styleId="src1">
    <w:name w:val="src1"/>
    <w:rsid w:val="002706A2"/>
  </w:style>
  <w:style w:type="character" w:customStyle="1" w:styleId="jrnl">
    <w:name w:val="jrnl"/>
    <w:rsid w:val="002706A2"/>
  </w:style>
  <w:style w:type="paragraph" w:customStyle="1" w:styleId="A-ListBullet">
    <w:name w:val="A-List Bullet"/>
    <w:basedOn w:val="Normal"/>
    <w:rsid w:val="006F0082"/>
    <w:pPr>
      <w:keepLines/>
      <w:numPr>
        <w:numId w:val="21"/>
      </w:numPr>
      <w:spacing w:after="0" w:line="240" w:lineRule="auto"/>
    </w:pPr>
    <w:rPr>
      <w:rFonts w:ascii="Arial" w:eastAsia="SimSun" w:hAnsi="Arial" w:cs="Times New Roman"/>
      <w:sz w:val="24"/>
      <w:szCs w:val="24"/>
      <w:lang w:val="en-US" w:eastAsia="zh-CN"/>
    </w:rPr>
  </w:style>
  <w:style w:type="paragraph" w:customStyle="1" w:styleId="ParagraphList">
    <w:name w:val="Paragraph List"/>
    <w:basedOn w:val="Paragraph"/>
    <w:next w:val="Paragraph"/>
    <w:link w:val="ParagraphListChar"/>
    <w:rsid w:val="002706A2"/>
    <w:pPr>
      <w:keepNext/>
      <w:spacing w:after="100" w:line="300" w:lineRule="atLeast"/>
    </w:pPr>
    <w:rPr>
      <w:rFonts w:ascii="Arial" w:eastAsia="SimSun" w:hAnsi="Arial"/>
      <w:sz w:val="24"/>
      <w:lang w:val="fr-FR" w:eastAsia="zh-CN"/>
    </w:rPr>
  </w:style>
  <w:style w:type="character" w:customStyle="1" w:styleId="ParagraphListChar">
    <w:name w:val="Paragraph List Char"/>
    <w:link w:val="ParagraphList"/>
    <w:locked/>
    <w:rsid w:val="002706A2"/>
    <w:rPr>
      <w:rFonts w:ascii="Arial" w:eastAsia="SimSun" w:hAnsi="Arial" w:cs="Times New Roman"/>
      <w:sz w:val="24"/>
      <w:szCs w:val="20"/>
      <w:lang w:eastAsia="zh-CN"/>
    </w:rPr>
  </w:style>
  <w:style w:type="paragraph" w:customStyle="1" w:styleId="ParagraphSpace">
    <w:name w:val="Paragraph Space"/>
    <w:basedOn w:val="Paragraph"/>
    <w:next w:val="Paragraph"/>
    <w:rsid w:val="002706A2"/>
    <w:pPr>
      <w:spacing w:after="0" w:line="120" w:lineRule="exact"/>
    </w:pPr>
    <w:rPr>
      <w:rFonts w:ascii="Arial" w:eastAsia="SimSun" w:hAnsi="Arial"/>
      <w:lang w:val="fr-FR" w:eastAsia="zh-CN"/>
    </w:rPr>
  </w:style>
  <w:style w:type="paragraph" w:customStyle="1" w:styleId="Revision1">
    <w:name w:val="Revision1"/>
    <w:hidden/>
    <w:uiPriority w:val="99"/>
    <w:semiHidden/>
    <w:rsid w:val="002706A2"/>
    <w:pPr>
      <w:spacing w:after="0" w:line="240" w:lineRule="auto"/>
    </w:pPr>
    <w:rPr>
      <w:rFonts w:ascii="Imago" w:eastAsia="Times New Roman" w:hAnsi="Imago" w:cs="Times New Roman"/>
      <w:sz w:val="24"/>
      <w:szCs w:val="20"/>
      <w:lang w:val="en-US"/>
    </w:rPr>
  </w:style>
  <w:style w:type="paragraph" w:customStyle="1" w:styleId="EmeaHeading">
    <w:name w:val="Emea Heading"/>
    <w:basedOn w:val="Normal"/>
    <w:rsid w:val="002706A2"/>
    <w:pPr>
      <w:framePr w:wrap="notBeside" w:vAnchor="text" w:hAnchor="text" w:y="1"/>
      <w:widowControl w:val="0"/>
      <w:shd w:val="solid" w:color="C0C0C0" w:fill="auto"/>
      <w:spacing w:after="0" w:line="240" w:lineRule="auto"/>
    </w:pPr>
    <w:rPr>
      <w:rFonts w:ascii="Times New Roman" w:eastAsia="Times New Roman" w:hAnsi="Times New Roman" w:cs="Times New Roman"/>
      <w:b/>
      <w:szCs w:val="20"/>
      <w:lang w:val="en-GB" w:eastAsia="ja-JP"/>
    </w:rPr>
  </w:style>
  <w:style w:type="paragraph" w:customStyle="1" w:styleId="Description">
    <w:name w:val="Description"/>
    <w:basedOn w:val="Normal"/>
    <w:next w:val="Normal"/>
    <w:rsid w:val="002706A2"/>
    <w:pPr>
      <w:spacing w:after="0" w:line="240" w:lineRule="auto"/>
    </w:pPr>
    <w:rPr>
      <w:rFonts w:ascii="Times New Roman" w:eastAsia="Times New Roman" w:hAnsi="Times New Roman" w:cs="Times New Roman"/>
      <w:szCs w:val="20"/>
      <w:lang w:val="en-US" w:eastAsia="ja-JP"/>
    </w:rPr>
  </w:style>
  <w:style w:type="paragraph" w:customStyle="1" w:styleId="HangingIndent">
    <w:name w:val="HangingIndent"/>
    <w:basedOn w:val="Normal"/>
    <w:rsid w:val="002706A2"/>
    <w:pPr>
      <w:spacing w:after="0" w:line="240" w:lineRule="auto"/>
      <w:ind w:left="567" w:hanging="567"/>
    </w:pPr>
    <w:rPr>
      <w:rFonts w:ascii="Times New Roman" w:eastAsia="Times New Roman" w:hAnsi="Times New Roman" w:cs="Times New Roman"/>
      <w:szCs w:val="20"/>
      <w:lang w:val="en-US" w:eastAsia="ja-JP"/>
    </w:rPr>
  </w:style>
  <w:style w:type="paragraph" w:customStyle="1" w:styleId="AnnexHeading">
    <w:name w:val="Annex Heading"/>
    <w:basedOn w:val="Normal"/>
    <w:next w:val="Normal"/>
    <w:rsid w:val="002706A2"/>
    <w:pPr>
      <w:spacing w:after="0" w:line="240" w:lineRule="auto"/>
      <w:ind w:left="567" w:hanging="567"/>
    </w:pPr>
    <w:rPr>
      <w:rFonts w:ascii="Times New Roman" w:eastAsia="Times New Roman" w:hAnsi="Times New Roman" w:cs="Times New Roman"/>
      <w:b/>
      <w:szCs w:val="20"/>
      <w:lang w:val="en-US" w:eastAsia="ja-JP"/>
    </w:rPr>
  </w:style>
  <w:style w:type="character" w:customStyle="1" w:styleId="longtext">
    <w:name w:val="long_text"/>
    <w:rsid w:val="002706A2"/>
    <w:rPr>
      <w:noProof/>
    </w:rPr>
  </w:style>
  <w:style w:type="paragraph" w:customStyle="1" w:styleId="HangingIndent0">
    <w:name w:val="Hanging Indent"/>
    <w:basedOn w:val="Normal"/>
    <w:rsid w:val="002706A2"/>
    <w:pPr>
      <w:spacing w:after="0" w:line="240" w:lineRule="auto"/>
      <w:ind w:left="567" w:hanging="567"/>
    </w:pPr>
    <w:rPr>
      <w:rFonts w:ascii="Times New Roman" w:eastAsia="Times New Roman" w:hAnsi="Times New Roman" w:cs="Times New Roman"/>
      <w:szCs w:val="20"/>
      <w:lang w:val="en-US" w:eastAsia="ja-JP"/>
    </w:rPr>
  </w:style>
  <w:style w:type="character" w:customStyle="1" w:styleId="hps">
    <w:name w:val="hps"/>
    <w:rsid w:val="002706A2"/>
  </w:style>
  <w:style w:type="paragraph" w:customStyle="1" w:styleId="CarCar1Char1">
    <w:name w:val="Car Car1 Char1"/>
    <w:basedOn w:val="Normal"/>
    <w:rsid w:val="002706A2"/>
    <w:pPr>
      <w:spacing w:line="240" w:lineRule="exact"/>
    </w:pPr>
    <w:rPr>
      <w:rFonts w:ascii="Verdana" w:eastAsia="Times New Roman" w:hAnsi="Verdana" w:cs="Verdana"/>
      <w:sz w:val="20"/>
      <w:szCs w:val="20"/>
      <w:lang w:val="en-GB"/>
    </w:rPr>
  </w:style>
  <w:style w:type="paragraph" w:customStyle="1" w:styleId="TableBullet">
    <w:name w:val="Table_Bullet"/>
    <w:basedOn w:val="Normal"/>
    <w:link w:val="TableBulletChar"/>
    <w:qFormat/>
    <w:rsid w:val="006F0082"/>
    <w:pPr>
      <w:widowControl w:val="0"/>
      <w:numPr>
        <w:numId w:val="22"/>
      </w:numPr>
      <w:autoSpaceDE w:val="0"/>
      <w:autoSpaceDN w:val="0"/>
      <w:adjustRightInd w:val="0"/>
      <w:spacing w:before="19" w:after="0" w:line="240" w:lineRule="auto"/>
      <w:ind w:left="315" w:hanging="270"/>
    </w:pPr>
    <w:rPr>
      <w:rFonts w:ascii="Arial" w:eastAsia="Times New Roman" w:hAnsi="Arial" w:cs="Times New Roman"/>
      <w:spacing w:val="-1"/>
      <w:sz w:val="16"/>
      <w:szCs w:val="16"/>
    </w:rPr>
  </w:style>
  <w:style w:type="character" w:customStyle="1" w:styleId="TableBulletChar">
    <w:name w:val="Table_Bullet Char"/>
    <w:link w:val="TableBullet"/>
    <w:locked/>
    <w:rsid w:val="002706A2"/>
    <w:rPr>
      <w:rFonts w:ascii="Arial" w:eastAsia="Times New Roman" w:hAnsi="Arial" w:cs="Times New Roman"/>
      <w:spacing w:val="-1"/>
      <w:sz w:val="16"/>
      <w:szCs w:val="16"/>
    </w:rPr>
  </w:style>
  <w:style w:type="character" w:customStyle="1" w:styleId="CarCar4">
    <w:name w:val="Car Car4"/>
    <w:semiHidden/>
    <w:locked/>
    <w:rsid w:val="002706A2"/>
    <w:rPr>
      <w:rFonts w:ascii="Imago" w:hAnsi="Imago"/>
      <w:lang w:val="en-US" w:eastAsia="en-US"/>
    </w:rPr>
  </w:style>
  <w:style w:type="paragraph" w:customStyle="1" w:styleId="Style">
    <w:name w:val="Style"/>
    <w:rsid w:val="002706A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WW8Num2z0">
    <w:name w:val="WW8Num2z0"/>
    <w:rsid w:val="002706A2"/>
    <w:rPr>
      <w:rFonts w:ascii="Symbol" w:hAnsi="Symbol"/>
    </w:rPr>
  </w:style>
  <w:style w:type="character" w:customStyle="1" w:styleId="WW8Num4z0">
    <w:name w:val="WW8Num4z0"/>
    <w:rsid w:val="002706A2"/>
    <w:rPr>
      <w:rFonts w:ascii="Arial" w:eastAsia="SimSun" w:hAnsi="Arial"/>
    </w:rPr>
  </w:style>
  <w:style w:type="character" w:customStyle="1" w:styleId="WW8Num5z0">
    <w:name w:val="WW8Num5z0"/>
    <w:rsid w:val="002706A2"/>
    <w:rPr>
      <w:rFonts w:ascii="Times New Roman" w:eastAsia="SimSun" w:hAnsi="Times New Roman"/>
    </w:rPr>
  </w:style>
  <w:style w:type="character" w:customStyle="1" w:styleId="Policepardfaut2">
    <w:name w:val="Police par défaut2"/>
    <w:rsid w:val="002706A2"/>
  </w:style>
  <w:style w:type="character" w:customStyle="1" w:styleId="Absatz-Standardschriftart1">
    <w:name w:val="Absatz-Standardschriftart1"/>
    <w:rsid w:val="002706A2"/>
  </w:style>
  <w:style w:type="character" w:customStyle="1" w:styleId="WW8Num3z0">
    <w:name w:val="WW8Num3z0"/>
    <w:rsid w:val="002706A2"/>
    <w:rPr>
      <w:rFonts w:ascii="Symbol" w:hAnsi="Symbol"/>
    </w:rPr>
  </w:style>
  <w:style w:type="character" w:customStyle="1" w:styleId="WW8Num6z0">
    <w:name w:val="WW8Num6z0"/>
    <w:rsid w:val="002706A2"/>
    <w:rPr>
      <w:rFonts w:ascii="Symbol" w:hAnsi="Symbol"/>
    </w:rPr>
  </w:style>
  <w:style w:type="character" w:customStyle="1" w:styleId="WW8Num7z0">
    <w:name w:val="WW8Num7z0"/>
    <w:rsid w:val="002706A2"/>
    <w:rPr>
      <w:rFonts w:ascii="Arial" w:eastAsia="SimSun" w:hAnsi="Arial"/>
    </w:rPr>
  </w:style>
  <w:style w:type="character" w:customStyle="1" w:styleId="WW8Num7z1">
    <w:name w:val="WW8Num7z1"/>
    <w:rsid w:val="002706A2"/>
    <w:rPr>
      <w:rFonts w:ascii="Courier New" w:hAnsi="Courier New"/>
    </w:rPr>
  </w:style>
  <w:style w:type="character" w:customStyle="1" w:styleId="WW8Num7z2">
    <w:name w:val="WW8Num7z2"/>
    <w:rsid w:val="002706A2"/>
    <w:rPr>
      <w:rFonts w:ascii="Wingdings" w:hAnsi="Wingdings"/>
    </w:rPr>
  </w:style>
  <w:style w:type="character" w:customStyle="1" w:styleId="WW8Num9z0">
    <w:name w:val="WW8Num9z0"/>
    <w:rsid w:val="002706A2"/>
    <w:rPr>
      <w:rFonts w:ascii="Symbol" w:hAnsi="Symbol"/>
    </w:rPr>
  </w:style>
  <w:style w:type="character" w:customStyle="1" w:styleId="WW8Num9z1">
    <w:name w:val="WW8Num9z1"/>
    <w:rsid w:val="002706A2"/>
    <w:rPr>
      <w:rFonts w:ascii="Courier New" w:hAnsi="Courier New"/>
    </w:rPr>
  </w:style>
  <w:style w:type="character" w:customStyle="1" w:styleId="WW8Num9z2">
    <w:name w:val="WW8Num9z2"/>
    <w:rsid w:val="002706A2"/>
    <w:rPr>
      <w:rFonts w:ascii="Wingdings" w:hAnsi="Wingdings"/>
    </w:rPr>
  </w:style>
  <w:style w:type="character" w:customStyle="1" w:styleId="WW8Num10z0">
    <w:name w:val="WW8Num10z0"/>
    <w:rsid w:val="002706A2"/>
    <w:rPr>
      <w:rFonts w:ascii="Symbol" w:hAnsi="Symbol"/>
    </w:rPr>
  </w:style>
  <w:style w:type="character" w:customStyle="1" w:styleId="WW8Num10z1">
    <w:name w:val="WW8Num10z1"/>
    <w:rsid w:val="002706A2"/>
    <w:rPr>
      <w:rFonts w:ascii="Courier New" w:hAnsi="Courier New"/>
    </w:rPr>
  </w:style>
  <w:style w:type="character" w:customStyle="1" w:styleId="WW8Num10z2">
    <w:name w:val="WW8Num10z2"/>
    <w:rsid w:val="002706A2"/>
    <w:rPr>
      <w:rFonts w:ascii="Wingdings" w:hAnsi="Wingdings"/>
    </w:rPr>
  </w:style>
  <w:style w:type="character" w:customStyle="1" w:styleId="WW8Num11z0">
    <w:name w:val="WW8Num11z0"/>
    <w:rsid w:val="002706A2"/>
    <w:rPr>
      <w:rFonts w:ascii="Symbol" w:hAnsi="Symbol"/>
    </w:rPr>
  </w:style>
  <w:style w:type="character" w:customStyle="1" w:styleId="WW8Num11z1">
    <w:name w:val="WW8Num11z1"/>
    <w:rsid w:val="002706A2"/>
    <w:rPr>
      <w:rFonts w:ascii="Courier New" w:hAnsi="Courier New"/>
    </w:rPr>
  </w:style>
  <w:style w:type="character" w:customStyle="1" w:styleId="WW8Num11z2">
    <w:name w:val="WW8Num11z2"/>
    <w:rsid w:val="002706A2"/>
    <w:rPr>
      <w:rFonts w:ascii="Wingdings" w:hAnsi="Wingdings"/>
    </w:rPr>
  </w:style>
  <w:style w:type="character" w:customStyle="1" w:styleId="WW8Num12z0">
    <w:name w:val="WW8Num12z0"/>
    <w:rsid w:val="002706A2"/>
    <w:rPr>
      <w:rFonts w:ascii="Symbol" w:hAnsi="Symbol"/>
    </w:rPr>
  </w:style>
  <w:style w:type="character" w:customStyle="1" w:styleId="WW8Num12z1">
    <w:name w:val="WW8Num12z1"/>
    <w:rsid w:val="002706A2"/>
    <w:rPr>
      <w:rFonts w:ascii="Courier New" w:hAnsi="Courier New"/>
    </w:rPr>
  </w:style>
  <w:style w:type="character" w:customStyle="1" w:styleId="WW8Num12z2">
    <w:name w:val="WW8Num12z2"/>
    <w:rsid w:val="002706A2"/>
    <w:rPr>
      <w:rFonts w:ascii="Wingdings" w:hAnsi="Wingdings"/>
    </w:rPr>
  </w:style>
  <w:style w:type="character" w:customStyle="1" w:styleId="WW8Num13z0">
    <w:name w:val="WW8Num13z0"/>
    <w:rsid w:val="002706A2"/>
    <w:rPr>
      <w:rFonts w:ascii="Symbol" w:hAnsi="Symbol"/>
    </w:rPr>
  </w:style>
  <w:style w:type="character" w:customStyle="1" w:styleId="WW8Num13z1">
    <w:name w:val="WW8Num13z1"/>
    <w:rsid w:val="002706A2"/>
    <w:rPr>
      <w:rFonts w:ascii="Courier New" w:hAnsi="Courier New"/>
    </w:rPr>
  </w:style>
  <w:style w:type="character" w:customStyle="1" w:styleId="WW8Num13z2">
    <w:name w:val="WW8Num13z2"/>
    <w:rsid w:val="002706A2"/>
    <w:rPr>
      <w:rFonts w:ascii="Wingdings" w:hAnsi="Wingdings"/>
    </w:rPr>
  </w:style>
  <w:style w:type="character" w:customStyle="1" w:styleId="WW8Num14z0">
    <w:name w:val="WW8Num14z0"/>
    <w:rsid w:val="002706A2"/>
    <w:rPr>
      <w:rFonts w:ascii="Times New Roman" w:eastAsia="SimSun" w:hAnsi="Times New Roman"/>
    </w:rPr>
  </w:style>
  <w:style w:type="character" w:customStyle="1" w:styleId="DefaultParagraphFont1">
    <w:name w:val="Default Paragraph Font1"/>
    <w:rsid w:val="002706A2"/>
  </w:style>
  <w:style w:type="character" w:customStyle="1" w:styleId="WW8Num4z1">
    <w:name w:val="WW8Num4z1"/>
    <w:rsid w:val="002706A2"/>
    <w:rPr>
      <w:rFonts w:ascii="Courier New" w:hAnsi="Courier New"/>
    </w:rPr>
  </w:style>
  <w:style w:type="character" w:customStyle="1" w:styleId="WW8Num4z2">
    <w:name w:val="WW8Num4z2"/>
    <w:rsid w:val="002706A2"/>
    <w:rPr>
      <w:rFonts w:ascii="Wingdings" w:hAnsi="Wingdings"/>
    </w:rPr>
  </w:style>
  <w:style w:type="character" w:customStyle="1" w:styleId="WW8Num4z3">
    <w:name w:val="WW8Num4z3"/>
    <w:rsid w:val="002706A2"/>
    <w:rPr>
      <w:rFonts w:ascii="Symbol" w:hAnsi="Symbol"/>
    </w:rPr>
  </w:style>
  <w:style w:type="character" w:customStyle="1" w:styleId="WW8Num5z1">
    <w:name w:val="WW8Num5z1"/>
    <w:rsid w:val="002706A2"/>
    <w:rPr>
      <w:rFonts w:ascii="Courier New" w:hAnsi="Courier New"/>
    </w:rPr>
  </w:style>
  <w:style w:type="character" w:customStyle="1" w:styleId="WW8Num5z2">
    <w:name w:val="WW8Num5z2"/>
    <w:rsid w:val="002706A2"/>
    <w:rPr>
      <w:rFonts w:ascii="Wingdings" w:hAnsi="Wingdings"/>
    </w:rPr>
  </w:style>
  <w:style w:type="character" w:customStyle="1" w:styleId="WW8Num5z3">
    <w:name w:val="WW8Num5z3"/>
    <w:rsid w:val="002706A2"/>
    <w:rPr>
      <w:rFonts w:ascii="Symbol" w:hAnsi="Symbol"/>
    </w:rPr>
  </w:style>
  <w:style w:type="character" w:customStyle="1" w:styleId="WW8Num7z3">
    <w:name w:val="WW8Num7z3"/>
    <w:rsid w:val="002706A2"/>
    <w:rPr>
      <w:rFonts w:ascii="Symbol" w:hAnsi="Symbol"/>
    </w:rPr>
  </w:style>
  <w:style w:type="character" w:customStyle="1" w:styleId="WW8Num14z1">
    <w:name w:val="WW8Num14z1"/>
    <w:rsid w:val="002706A2"/>
    <w:rPr>
      <w:rFonts w:ascii="Courier New" w:hAnsi="Courier New"/>
    </w:rPr>
  </w:style>
  <w:style w:type="character" w:customStyle="1" w:styleId="WW8Num14z2">
    <w:name w:val="WW8Num14z2"/>
    <w:rsid w:val="002706A2"/>
    <w:rPr>
      <w:rFonts w:ascii="Wingdings" w:hAnsi="Wingdings"/>
    </w:rPr>
  </w:style>
  <w:style w:type="character" w:customStyle="1" w:styleId="WW8Num14z3">
    <w:name w:val="WW8Num14z3"/>
    <w:rsid w:val="002706A2"/>
    <w:rPr>
      <w:rFonts w:ascii="Symbol" w:hAnsi="Symbol"/>
    </w:rPr>
  </w:style>
  <w:style w:type="character" w:customStyle="1" w:styleId="WW8Num15z0">
    <w:name w:val="WW8Num15z0"/>
    <w:rsid w:val="002706A2"/>
    <w:rPr>
      <w:rFonts w:ascii="Symbol" w:hAnsi="Symbol"/>
    </w:rPr>
  </w:style>
  <w:style w:type="character" w:customStyle="1" w:styleId="WW8Num15z1">
    <w:name w:val="WW8Num15z1"/>
    <w:rsid w:val="002706A2"/>
    <w:rPr>
      <w:rFonts w:ascii="Courier New" w:hAnsi="Courier New"/>
    </w:rPr>
  </w:style>
  <w:style w:type="character" w:customStyle="1" w:styleId="WW8Num15z2">
    <w:name w:val="WW8Num15z2"/>
    <w:rsid w:val="002706A2"/>
    <w:rPr>
      <w:rFonts w:ascii="Wingdings" w:hAnsi="Wingdings"/>
    </w:rPr>
  </w:style>
  <w:style w:type="character" w:customStyle="1" w:styleId="WW8Num16z0">
    <w:name w:val="WW8Num16z0"/>
    <w:rsid w:val="002706A2"/>
    <w:rPr>
      <w:rFonts w:ascii="Symbol" w:hAnsi="Symbol"/>
    </w:rPr>
  </w:style>
  <w:style w:type="character" w:customStyle="1" w:styleId="WW8Num16z1">
    <w:name w:val="WW8Num16z1"/>
    <w:rsid w:val="002706A2"/>
    <w:rPr>
      <w:rFonts w:ascii="Courier New" w:hAnsi="Courier New"/>
    </w:rPr>
  </w:style>
  <w:style w:type="character" w:customStyle="1" w:styleId="WW8Num16z2">
    <w:name w:val="WW8Num16z2"/>
    <w:rsid w:val="002706A2"/>
    <w:rPr>
      <w:rFonts w:ascii="Wingdings" w:hAnsi="Wingdings"/>
    </w:rPr>
  </w:style>
  <w:style w:type="character" w:customStyle="1" w:styleId="WW8Num17z0">
    <w:name w:val="WW8Num17z0"/>
    <w:rsid w:val="002706A2"/>
    <w:rPr>
      <w:rFonts w:ascii="Arial" w:eastAsia="SimSun" w:hAnsi="Arial"/>
    </w:rPr>
  </w:style>
  <w:style w:type="character" w:customStyle="1" w:styleId="WW8Num17z1">
    <w:name w:val="WW8Num17z1"/>
    <w:rsid w:val="002706A2"/>
    <w:rPr>
      <w:rFonts w:ascii="Courier New" w:hAnsi="Courier New"/>
    </w:rPr>
  </w:style>
  <w:style w:type="character" w:customStyle="1" w:styleId="WW8Num17z2">
    <w:name w:val="WW8Num17z2"/>
    <w:rsid w:val="002706A2"/>
    <w:rPr>
      <w:rFonts w:ascii="Wingdings" w:hAnsi="Wingdings"/>
    </w:rPr>
  </w:style>
  <w:style w:type="character" w:customStyle="1" w:styleId="WW8Num17z3">
    <w:name w:val="WW8Num17z3"/>
    <w:rsid w:val="002706A2"/>
    <w:rPr>
      <w:rFonts w:ascii="Symbol" w:hAnsi="Symbol"/>
    </w:rPr>
  </w:style>
  <w:style w:type="character" w:customStyle="1" w:styleId="WW8Num18z0">
    <w:name w:val="WW8Num18z0"/>
    <w:rsid w:val="002706A2"/>
    <w:rPr>
      <w:rFonts w:ascii="Symbol" w:hAnsi="Symbol"/>
    </w:rPr>
  </w:style>
  <w:style w:type="character" w:customStyle="1" w:styleId="WW8Num18z1">
    <w:name w:val="WW8Num18z1"/>
    <w:rsid w:val="002706A2"/>
    <w:rPr>
      <w:rFonts w:ascii="Courier New" w:hAnsi="Courier New"/>
    </w:rPr>
  </w:style>
  <w:style w:type="character" w:customStyle="1" w:styleId="WW8Num18z2">
    <w:name w:val="WW8Num18z2"/>
    <w:rsid w:val="002706A2"/>
    <w:rPr>
      <w:rFonts w:ascii="Wingdings" w:hAnsi="Wingdings"/>
    </w:rPr>
  </w:style>
  <w:style w:type="character" w:customStyle="1" w:styleId="WW8Num19z0">
    <w:name w:val="WW8Num19z0"/>
    <w:rsid w:val="002706A2"/>
    <w:rPr>
      <w:rFonts w:ascii="Symbol" w:hAnsi="Symbol"/>
    </w:rPr>
  </w:style>
  <w:style w:type="character" w:customStyle="1" w:styleId="WW8Num19z1">
    <w:name w:val="WW8Num19z1"/>
    <w:rsid w:val="002706A2"/>
    <w:rPr>
      <w:rFonts w:ascii="Courier New" w:hAnsi="Courier New"/>
    </w:rPr>
  </w:style>
  <w:style w:type="character" w:customStyle="1" w:styleId="WW8Num19z2">
    <w:name w:val="WW8Num19z2"/>
    <w:rsid w:val="002706A2"/>
    <w:rPr>
      <w:rFonts w:ascii="Wingdings" w:hAnsi="Wingdings"/>
    </w:rPr>
  </w:style>
  <w:style w:type="character" w:customStyle="1" w:styleId="WW8Num20z0">
    <w:name w:val="WW8Num20z0"/>
    <w:rsid w:val="002706A2"/>
    <w:rPr>
      <w:rFonts w:ascii="Symbol" w:hAnsi="Symbol"/>
    </w:rPr>
  </w:style>
  <w:style w:type="character" w:customStyle="1" w:styleId="WW8Num20z1">
    <w:name w:val="WW8Num20z1"/>
    <w:rsid w:val="002706A2"/>
    <w:rPr>
      <w:rFonts w:ascii="Courier New" w:hAnsi="Courier New"/>
    </w:rPr>
  </w:style>
  <w:style w:type="character" w:customStyle="1" w:styleId="WW8Num20z2">
    <w:name w:val="WW8Num20z2"/>
    <w:rsid w:val="002706A2"/>
    <w:rPr>
      <w:rFonts w:ascii="Wingdings" w:hAnsi="Wingdings"/>
    </w:rPr>
  </w:style>
  <w:style w:type="character" w:customStyle="1" w:styleId="WW8Num21z0">
    <w:name w:val="WW8Num21z0"/>
    <w:rsid w:val="002706A2"/>
    <w:rPr>
      <w:rFonts w:ascii="Symbol" w:hAnsi="Symbol"/>
    </w:rPr>
  </w:style>
  <w:style w:type="character" w:customStyle="1" w:styleId="WW8Num22z0">
    <w:name w:val="WW8Num22z0"/>
    <w:rsid w:val="002706A2"/>
    <w:rPr>
      <w:rFonts w:ascii="Wingdings" w:hAnsi="Wingdings"/>
    </w:rPr>
  </w:style>
  <w:style w:type="character" w:customStyle="1" w:styleId="WW8Num22z1">
    <w:name w:val="WW8Num22z1"/>
    <w:rsid w:val="002706A2"/>
    <w:rPr>
      <w:rFonts w:ascii="Courier New" w:hAnsi="Courier New"/>
    </w:rPr>
  </w:style>
  <w:style w:type="character" w:customStyle="1" w:styleId="WW8Num22z3">
    <w:name w:val="WW8Num22z3"/>
    <w:rsid w:val="002706A2"/>
    <w:rPr>
      <w:rFonts w:ascii="Symbol" w:hAnsi="Symbol"/>
    </w:rPr>
  </w:style>
  <w:style w:type="character" w:customStyle="1" w:styleId="Policepardfaut1">
    <w:name w:val="Police par défaut1"/>
    <w:rsid w:val="002706A2"/>
  </w:style>
  <w:style w:type="character" w:customStyle="1" w:styleId="Caractresdenotedefin">
    <w:name w:val="Caractères de note de fin"/>
    <w:rsid w:val="002706A2"/>
    <w:rPr>
      <w:vertAlign w:val="superscript"/>
    </w:rPr>
  </w:style>
  <w:style w:type="character" w:customStyle="1" w:styleId="Marquedecommentaire1">
    <w:name w:val="Marque de commentaire1"/>
    <w:rsid w:val="002706A2"/>
    <w:rPr>
      <w:sz w:val="16"/>
    </w:rPr>
  </w:style>
  <w:style w:type="character" w:customStyle="1" w:styleId="Caractresdenotedebasdepage">
    <w:name w:val="Caractères de note de bas de page"/>
    <w:rsid w:val="002706A2"/>
    <w:rPr>
      <w:vertAlign w:val="superscript"/>
    </w:rPr>
  </w:style>
  <w:style w:type="character" w:customStyle="1" w:styleId="msoins0">
    <w:name w:val="msoins"/>
    <w:rsid w:val="002706A2"/>
    <w:rPr>
      <w:color w:val="008080"/>
      <w:u w:val="single"/>
    </w:rPr>
  </w:style>
  <w:style w:type="character" w:customStyle="1" w:styleId="CommentReference1">
    <w:name w:val="Comment Reference1"/>
    <w:rsid w:val="002706A2"/>
    <w:rPr>
      <w:sz w:val="16"/>
    </w:rPr>
  </w:style>
  <w:style w:type="paragraph" w:customStyle="1" w:styleId="Titre30">
    <w:name w:val="Titre3"/>
    <w:basedOn w:val="Normal"/>
    <w:next w:val="Corpsdetexte"/>
    <w:rsid w:val="002706A2"/>
    <w:pPr>
      <w:keepNext/>
      <w:spacing w:before="240" w:after="120" w:line="240" w:lineRule="auto"/>
    </w:pPr>
    <w:rPr>
      <w:rFonts w:ascii="Arial" w:eastAsia="SimSun" w:hAnsi="Arial" w:cs="Mangal"/>
      <w:sz w:val="28"/>
      <w:szCs w:val="28"/>
      <w:lang w:val="en-US" w:eastAsia="ja-JP"/>
    </w:rPr>
  </w:style>
  <w:style w:type="paragraph" w:customStyle="1" w:styleId="Lgende3">
    <w:name w:val="Légende3"/>
    <w:basedOn w:val="Normal"/>
    <w:rsid w:val="002706A2"/>
    <w:pPr>
      <w:suppressLineNumbers/>
      <w:spacing w:before="120" w:after="120" w:line="240" w:lineRule="auto"/>
    </w:pPr>
    <w:rPr>
      <w:rFonts w:ascii="Times New Roman" w:eastAsia="Times New Roman" w:hAnsi="Times New Roman" w:cs="Mangal"/>
      <w:i/>
      <w:iCs/>
      <w:sz w:val="24"/>
      <w:szCs w:val="24"/>
      <w:lang w:val="en-US" w:eastAsia="ja-JP"/>
    </w:rPr>
  </w:style>
  <w:style w:type="paragraph" w:customStyle="1" w:styleId="Index">
    <w:name w:val="Index"/>
    <w:basedOn w:val="Normal"/>
    <w:rsid w:val="002706A2"/>
    <w:pPr>
      <w:suppressLineNumbers/>
      <w:spacing w:after="0" w:line="240" w:lineRule="auto"/>
    </w:pPr>
    <w:rPr>
      <w:rFonts w:ascii="Times New Roman" w:eastAsia="Times New Roman" w:hAnsi="Times New Roman" w:cs="Tahoma"/>
      <w:szCs w:val="20"/>
      <w:lang w:val="en-US" w:eastAsia="ja-JP"/>
    </w:rPr>
  </w:style>
  <w:style w:type="paragraph" w:customStyle="1" w:styleId="Titre20">
    <w:name w:val="Titre2"/>
    <w:basedOn w:val="Normal"/>
    <w:next w:val="Corpsdetexte"/>
    <w:rsid w:val="002706A2"/>
    <w:pPr>
      <w:keepNext/>
      <w:spacing w:before="240" w:after="120" w:line="240" w:lineRule="auto"/>
    </w:pPr>
    <w:rPr>
      <w:rFonts w:ascii="Arial" w:eastAsia="SimSun" w:hAnsi="Arial" w:cs="Mangal"/>
      <w:sz w:val="28"/>
      <w:szCs w:val="28"/>
      <w:lang w:val="en-US" w:eastAsia="ja-JP"/>
    </w:rPr>
  </w:style>
  <w:style w:type="paragraph" w:customStyle="1" w:styleId="Lgende2">
    <w:name w:val="Légende2"/>
    <w:basedOn w:val="Normal"/>
    <w:rsid w:val="002706A2"/>
    <w:pPr>
      <w:suppressLineNumbers/>
      <w:spacing w:before="120" w:after="120" w:line="240" w:lineRule="auto"/>
    </w:pPr>
    <w:rPr>
      <w:rFonts w:ascii="Times New Roman" w:eastAsia="Times New Roman" w:hAnsi="Times New Roman" w:cs="Mangal"/>
      <w:i/>
      <w:iCs/>
      <w:sz w:val="24"/>
      <w:szCs w:val="24"/>
      <w:lang w:val="en-US" w:eastAsia="ja-JP"/>
    </w:rPr>
  </w:style>
  <w:style w:type="paragraph" w:customStyle="1" w:styleId="Titre10">
    <w:name w:val="Titre1"/>
    <w:basedOn w:val="Normal"/>
    <w:next w:val="Corpsdetexte"/>
    <w:rsid w:val="002706A2"/>
    <w:pPr>
      <w:keepNext/>
      <w:spacing w:before="240" w:after="120" w:line="240" w:lineRule="auto"/>
    </w:pPr>
    <w:rPr>
      <w:rFonts w:ascii="Arial" w:eastAsia="MS Mincho" w:hAnsi="Arial" w:cs="Tahoma"/>
      <w:sz w:val="28"/>
      <w:szCs w:val="28"/>
      <w:lang w:val="en-US" w:eastAsia="ja-JP"/>
    </w:rPr>
  </w:style>
  <w:style w:type="paragraph" w:customStyle="1" w:styleId="Lgende1">
    <w:name w:val="Légende1"/>
    <w:basedOn w:val="Normal"/>
    <w:next w:val="Normal"/>
    <w:rsid w:val="002706A2"/>
    <w:pPr>
      <w:spacing w:before="113" w:after="57" w:line="280" w:lineRule="atLeast"/>
      <w:ind w:left="1701" w:hanging="1701"/>
    </w:pPr>
    <w:rPr>
      <w:rFonts w:ascii="Arial" w:eastAsia="Times New Roman" w:hAnsi="Arial" w:cs="Times New Roman"/>
      <w:b/>
      <w:bCs/>
      <w:sz w:val="24"/>
      <w:szCs w:val="20"/>
      <w:lang w:val="en-US" w:eastAsia="ja-JP"/>
    </w:rPr>
  </w:style>
  <w:style w:type="paragraph" w:customStyle="1" w:styleId="Commentaire1">
    <w:name w:val="Commentaire1"/>
    <w:basedOn w:val="Normal"/>
    <w:rsid w:val="002706A2"/>
    <w:pPr>
      <w:spacing w:after="0" w:line="240" w:lineRule="auto"/>
    </w:pPr>
    <w:rPr>
      <w:rFonts w:ascii="Times New Roman" w:eastAsia="Times New Roman" w:hAnsi="Times New Roman" w:cs="Times New Roman"/>
      <w:sz w:val="20"/>
      <w:szCs w:val="20"/>
      <w:lang w:val="en-US" w:eastAsia="ja-JP"/>
    </w:rPr>
  </w:style>
  <w:style w:type="paragraph" w:customStyle="1" w:styleId="Corpsdetexte21">
    <w:name w:val="Corps de texte 21"/>
    <w:basedOn w:val="Normal"/>
    <w:rsid w:val="002706A2"/>
    <w:pPr>
      <w:tabs>
        <w:tab w:val="left" w:pos="4536"/>
      </w:tabs>
      <w:spacing w:after="0" w:line="240" w:lineRule="auto"/>
      <w:jc w:val="both"/>
    </w:pPr>
    <w:rPr>
      <w:rFonts w:ascii="Times New Roman" w:eastAsia="Times New Roman" w:hAnsi="Times New Roman" w:cs="Times New Roman"/>
      <w:b/>
      <w:szCs w:val="20"/>
      <w:lang w:val="en-US" w:eastAsia="ja-JP"/>
    </w:rPr>
  </w:style>
  <w:style w:type="paragraph" w:customStyle="1" w:styleId="Corpsdetexte31">
    <w:name w:val="Corps de texte 31"/>
    <w:basedOn w:val="Normal"/>
    <w:rsid w:val="002706A2"/>
    <w:pPr>
      <w:spacing w:after="0" w:line="240" w:lineRule="auto"/>
      <w:jc w:val="both"/>
    </w:pPr>
    <w:rPr>
      <w:rFonts w:ascii="Times New Roman" w:eastAsia="Times New Roman" w:hAnsi="Times New Roman" w:cs="Times New Roman"/>
      <w:b/>
      <w:i/>
      <w:szCs w:val="20"/>
      <w:lang w:val="en-US" w:eastAsia="ja-JP"/>
    </w:rPr>
  </w:style>
  <w:style w:type="paragraph" w:customStyle="1" w:styleId="Retraitcorpsdetexte21">
    <w:name w:val="Retrait corps de texte 21"/>
    <w:basedOn w:val="Normal"/>
    <w:rsid w:val="002706A2"/>
    <w:pPr>
      <w:spacing w:after="0" w:line="240" w:lineRule="auto"/>
      <w:ind w:left="567" w:hanging="567"/>
      <w:jc w:val="both"/>
    </w:pPr>
    <w:rPr>
      <w:rFonts w:ascii="Times New Roman" w:eastAsia="Times New Roman" w:hAnsi="Times New Roman" w:cs="Times New Roman"/>
      <w:b/>
      <w:szCs w:val="20"/>
      <w:lang w:val="en-US" w:eastAsia="ja-JP"/>
    </w:rPr>
  </w:style>
  <w:style w:type="paragraph" w:customStyle="1" w:styleId="WW-Corpsdetexte2">
    <w:name w:val="WW-Corps de texte 2"/>
    <w:basedOn w:val="Normal"/>
    <w:rsid w:val="002706A2"/>
    <w:pPr>
      <w:tabs>
        <w:tab w:val="left" w:pos="4536"/>
      </w:tabs>
      <w:spacing w:after="0" w:line="240" w:lineRule="auto"/>
      <w:jc w:val="both"/>
    </w:pPr>
    <w:rPr>
      <w:rFonts w:ascii="Times New Roman" w:eastAsia="Times New Roman" w:hAnsi="Times New Roman" w:cs="Times New Roman"/>
      <w:b/>
      <w:szCs w:val="20"/>
      <w:lang w:val="en-US" w:eastAsia="ja-JP"/>
    </w:rPr>
  </w:style>
  <w:style w:type="paragraph" w:customStyle="1" w:styleId="Retraitcorpsdetexte31">
    <w:name w:val="Retrait corps de texte 31"/>
    <w:basedOn w:val="Normal"/>
    <w:rsid w:val="002706A2"/>
    <w:pPr>
      <w:spacing w:after="0" w:line="240" w:lineRule="auto"/>
      <w:ind w:left="567" w:hanging="567"/>
    </w:pPr>
    <w:rPr>
      <w:rFonts w:ascii="Times New Roman" w:eastAsia="Times New Roman" w:hAnsi="Times New Roman" w:cs="Times New Roman"/>
      <w:i/>
      <w:color w:val="008000"/>
      <w:szCs w:val="20"/>
      <w:lang w:val="en-US" w:eastAsia="ja-JP"/>
    </w:rPr>
  </w:style>
  <w:style w:type="paragraph" w:customStyle="1" w:styleId="WW-Corpsdetexte21">
    <w:name w:val="WW-Corps de texte 21"/>
    <w:basedOn w:val="Normal"/>
    <w:rsid w:val="002706A2"/>
    <w:pPr>
      <w:spacing w:after="0" w:line="240" w:lineRule="auto"/>
      <w:ind w:left="567" w:hanging="567"/>
    </w:pPr>
    <w:rPr>
      <w:rFonts w:ascii="Times New Roman" w:eastAsia="Times New Roman" w:hAnsi="Times New Roman" w:cs="Times New Roman"/>
      <w:b/>
      <w:szCs w:val="20"/>
      <w:lang w:val="en-US" w:eastAsia="ja-JP"/>
    </w:rPr>
  </w:style>
  <w:style w:type="paragraph" w:customStyle="1" w:styleId="Normalcentr1">
    <w:name w:val="Normal centré1"/>
    <w:basedOn w:val="Normal"/>
    <w:rsid w:val="002706A2"/>
    <w:pPr>
      <w:tabs>
        <w:tab w:val="left" w:pos="2620"/>
      </w:tabs>
      <w:spacing w:before="120" w:after="0" w:line="240" w:lineRule="auto"/>
      <w:ind w:left="-37" w:right="-28"/>
    </w:pPr>
    <w:rPr>
      <w:rFonts w:ascii="Times New Roman" w:eastAsia="Times New Roman" w:hAnsi="Times New Roman" w:cs="Times New Roman"/>
      <w:szCs w:val="20"/>
      <w:lang w:val="en-US" w:eastAsia="ja-JP"/>
    </w:rPr>
  </w:style>
  <w:style w:type="paragraph" w:customStyle="1" w:styleId="Explorateurdedocument1">
    <w:name w:val="Explorateur de document1"/>
    <w:basedOn w:val="Normal"/>
    <w:rsid w:val="002706A2"/>
    <w:pPr>
      <w:shd w:val="clear" w:color="auto" w:fill="000080"/>
      <w:spacing w:after="0" w:line="240" w:lineRule="auto"/>
    </w:pPr>
    <w:rPr>
      <w:rFonts w:ascii="Tahoma" w:eastAsia="Times New Roman" w:hAnsi="Tahoma" w:cs="Times New Roman"/>
      <w:szCs w:val="20"/>
      <w:lang w:val="en-US" w:eastAsia="ja-JP"/>
    </w:rPr>
  </w:style>
  <w:style w:type="paragraph" w:customStyle="1" w:styleId="TOCHeadings">
    <w:name w:val="TOC Headings"/>
    <w:basedOn w:val="Normal"/>
    <w:rsid w:val="002706A2"/>
    <w:pPr>
      <w:tabs>
        <w:tab w:val="center" w:pos="4672"/>
        <w:tab w:val="right" w:pos="9344"/>
      </w:tabs>
      <w:spacing w:before="397" w:after="227" w:line="240" w:lineRule="auto"/>
    </w:pPr>
    <w:rPr>
      <w:rFonts w:ascii="Arial" w:eastAsia="Times New Roman" w:hAnsi="Arial" w:cs="Times New Roman"/>
      <w:b/>
      <w:szCs w:val="20"/>
      <w:lang w:val="en-US" w:eastAsia="ja-JP"/>
    </w:rPr>
  </w:style>
  <w:style w:type="paragraph" w:customStyle="1" w:styleId="TextRef">
    <w:name w:val="Text:Ref"/>
    <w:basedOn w:val="Normal"/>
    <w:rsid w:val="002706A2"/>
    <w:pPr>
      <w:tabs>
        <w:tab w:val="num" w:pos="360"/>
        <w:tab w:val="left" w:pos="2268"/>
      </w:tabs>
      <w:spacing w:after="170" w:line="280" w:lineRule="atLeast"/>
      <w:ind w:left="1134" w:hanging="1134"/>
    </w:pPr>
    <w:rPr>
      <w:rFonts w:ascii="Times New Roman" w:eastAsia="Times New Roman" w:hAnsi="Times New Roman" w:cs="Times New Roman"/>
      <w:sz w:val="24"/>
      <w:szCs w:val="20"/>
      <w:lang w:val="en-US" w:eastAsia="ja-JP"/>
    </w:rPr>
  </w:style>
  <w:style w:type="paragraph" w:customStyle="1" w:styleId="TextBull">
    <w:name w:val="Text:Bull"/>
    <w:basedOn w:val="Normal"/>
    <w:rsid w:val="002706A2"/>
    <w:pPr>
      <w:tabs>
        <w:tab w:val="num" w:pos="360"/>
      </w:tabs>
      <w:spacing w:after="0" w:line="280" w:lineRule="atLeast"/>
      <w:ind w:left="360" w:hanging="360"/>
    </w:pPr>
    <w:rPr>
      <w:rFonts w:ascii="Times New Roman" w:eastAsia="Times New Roman" w:hAnsi="Times New Roman" w:cs="Times New Roman"/>
      <w:sz w:val="24"/>
      <w:szCs w:val="20"/>
      <w:lang w:val="en-US" w:eastAsia="ja-JP"/>
    </w:rPr>
  </w:style>
  <w:style w:type="paragraph" w:customStyle="1" w:styleId="Textedebulles1">
    <w:name w:val="Texte de bulles1"/>
    <w:basedOn w:val="Normal"/>
    <w:rsid w:val="002706A2"/>
    <w:pPr>
      <w:spacing w:after="0" w:line="240" w:lineRule="auto"/>
    </w:pPr>
    <w:rPr>
      <w:rFonts w:ascii="Tahoma" w:eastAsia="Times New Roman" w:hAnsi="Tahoma" w:cs="Tahoma"/>
      <w:sz w:val="16"/>
      <w:szCs w:val="16"/>
      <w:lang w:val="en-US" w:eastAsia="ja-JP"/>
    </w:rPr>
  </w:style>
  <w:style w:type="paragraph" w:customStyle="1" w:styleId="SAS10">
    <w:name w:val="SAS:10"/>
    <w:basedOn w:val="Normal"/>
    <w:rsid w:val="002706A2"/>
    <w:pPr>
      <w:spacing w:after="0" w:line="190" w:lineRule="exact"/>
    </w:pPr>
    <w:rPr>
      <w:rFonts w:ascii="Courier New" w:eastAsia="Times New Roman" w:hAnsi="Courier New" w:cs="Times New Roman"/>
      <w:spacing w:val="-14"/>
      <w:sz w:val="20"/>
      <w:szCs w:val="20"/>
      <w:lang w:val="en-US" w:eastAsia="ja-JP"/>
    </w:rPr>
  </w:style>
  <w:style w:type="paragraph" w:customStyle="1" w:styleId="cdb-ListBulleted">
    <w:name w:val="cdb-List Bulleted"/>
    <w:basedOn w:val="Normal"/>
    <w:rsid w:val="002706A2"/>
    <w:pPr>
      <w:tabs>
        <w:tab w:val="num" w:pos="360"/>
      </w:tabs>
      <w:spacing w:after="0" w:line="240" w:lineRule="auto"/>
      <w:ind w:left="360" w:hanging="360"/>
    </w:pPr>
    <w:rPr>
      <w:rFonts w:ascii="Times New Roman" w:eastAsia="Times New Roman" w:hAnsi="Times New Roman" w:cs="Times New Roman"/>
      <w:szCs w:val="20"/>
      <w:lang w:val="en-US" w:eastAsia="ja-JP"/>
    </w:rPr>
  </w:style>
  <w:style w:type="paragraph" w:customStyle="1" w:styleId="Objetducommentaire1">
    <w:name w:val="Objet du commentaire1"/>
    <w:basedOn w:val="Commentaire1"/>
    <w:next w:val="Commentaire1"/>
    <w:rsid w:val="002706A2"/>
    <w:rPr>
      <w:b/>
      <w:bCs/>
    </w:rPr>
  </w:style>
  <w:style w:type="paragraph" w:customStyle="1" w:styleId="TableCellCenter">
    <w:name w:val="Table Cell Center"/>
    <w:basedOn w:val="Normal"/>
    <w:rsid w:val="002706A2"/>
    <w:pPr>
      <w:keepNext/>
      <w:keepLines/>
      <w:spacing w:before="50" w:after="50" w:line="240" w:lineRule="exact"/>
      <w:jc w:val="center"/>
    </w:pPr>
    <w:rPr>
      <w:rFonts w:ascii="Times New Roman" w:eastAsia="Times New Roman" w:hAnsi="Times New Roman" w:cs="Times New Roman"/>
      <w:sz w:val="20"/>
      <w:szCs w:val="24"/>
      <w:lang w:val="en-US" w:eastAsia="ja-JP"/>
    </w:rPr>
  </w:style>
  <w:style w:type="paragraph" w:customStyle="1" w:styleId="Contenudetableau">
    <w:name w:val="Contenu de tableau"/>
    <w:basedOn w:val="Normal"/>
    <w:rsid w:val="002706A2"/>
    <w:pPr>
      <w:suppressLineNumbers/>
      <w:spacing w:after="0" w:line="240" w:lineRule="auto"/>
    </w:pPr>
    <w:rPr>
      <w:rFonts w:ascii="Times New Roman" w:eastAsia="Times New Roman" w:hAnsi="Times New Roman" w:cs="Times New Roman"/>
      <w:szCs w:val="20"/>
      <w:lang w:val="en-US" w:eastAsia="ja-JP"/>
    </w:rPr>
  </w:style>
  <w:style w:type="paragraph" w:customStyle="1" w:styleId="Titredetableau">
    <w:name w:val="Titre de tableau"/>
    <w:basedOn w:val="Contenudetableau"/>
    <w:rsid w:val="002706A2"/>
    <w:pPr>
      <w:jc w:val="center"/>
    </w:pPr>
    <w:rPr>
      <w:b/>
      <w:bCs/>
    </w:rPr>
  </w:style>
  <w:style w:type="paragraph" w:customStyle="1" w:styleId="CommentText1">
    <w:name w:val="Comment Text1"/>
    <w:basedOn w:val="Normal"/>
    <w:rsid w:val="002706A2"/>
    <w:pPr>
      <w:spacing w:after="0" w:line="240" w:lineRule="auto"/>
    </w:pPr>
    <w:rPr>
      <w:rFonts w:ascii="Times New Roman" w:eastAsia="Times New Roman" w:hAnsi="Times New Roman" w:cs="Times New Roman"/>
      <w:sz w:val="20"/>
      <w:szCs w:val="20"/>
      <w:lang w:val="en-US" w:eastAsia="ja-JP"/>
    </w:rPr>
  </w:style>
  <w:style w:type="paragraph" w:styleId="Index2">
    <w:name w:val="index 2"/>
    <w:basedOn w:val="Normal"/>
    <w:next w:val="Normal"/>
    <w:autoRedefine/>
    <w:uiPriority w:val="99"/>
    <w:rsid w:val="002706A2"/>
    <w:pPr>
      <w:spacing w:after="0" w:line="240" w:lineRule="auto"/>
      <w:ind w:left="440" w:hanging="220"/>
    </w:pPr>
    <w:rPr>
      <w:rFonts w:ascii="Times New Roman" w:eastAsia="Times New Roman" w:hAnsi="Times New Roman" w:cs="Times New Roman"/>
      <w:szCs w:val="20"/>
      <w:lang w:val="en-US" w:eastAsia="ja-JP"/>
    </w:rPr>
  </w:style>
  <w:style w:type="paragraph" w:styleId="Index3">
    <w:name w:val="index 3"/>
    <w:basedOn w:val="Normal"/>
    <w:next w:val="Normal"/>
    <w:autoRedefine/>
    <w:uiPriority w:val="99"/>
    <w:rsid w:val="002706A2"/>
    <w:pPr>
      <w:spacing w:after="0" w:line="240" w:lineRule="auto"/>
      <w:ind w:left="660" w:hanging="220"/>
    </w:pPr>
    <w:rPr>
      <w:rFonts w:ascii="Times New Roman" w:eastAsia="Times New Roman" w:hAnsi="Times New Roman" w:cs="Times New Roman"/>
      <w:szCs w:val="20"/>
      <w:lang w:val="en-US" w:eastAsia="ja-JP"/>
    </w:rPr>
  </w:style>
  <w:style w:type="paragraph" w:styleId="Index4">
    <w:name w:val="index 4"/>
    <w:basedOn w:val="Normal"/>
    <w:next w:val="Normal"/>
    <w:autoRedefine/>
    <w:uiPriority w:val="99"/>
    <w:rsid w:val="002706A2"/>
    <w:pPr>
      <w:spacing w:after="0" w:line="240" w:lineRule="auto"/>
      <w:ind w:left="880" w:hanging="220"/>
    </w:pPr>
    <w:rPr>
      <w:rFonts w:ascii="Times New Roman" w:eastAsia="Times New Roman" w:hAnsi="Times New Roman" w:cs="Times New Roman"/>
      <w:szCs w:val="20"/>
      <w:lang w:val="en-US" w:eastAsia="ja-JP"/>
    </w:rPr>
  </w:style>
  <w:style w:type="paragraph" w:styleId="Index5">
    <w:name w:val="index 5"/>
    <w:basedOn w:val="Normal"/>
    <w:next w:val="Normal"/>
    <w:autoRedefine/>
    <w:uiPriority w:val="99"/>
    <w:rsid w:val="002706A2"/>
    <w:pPr>
      <w:spacing w:after="0" w:line="240" w:lineRule="auto"/>
      <w:ind w:left="1100" w:hanging="220"/>
    </w:pPr>
    <w:rPr>
      <w:rFonts w:ascii="Times New Roman" w:eastAsia="Times New Roman" w:hAnsi="Times New Roman" w:cs="Times New Roman"/>
      <w:szCs w:val="20"/>
      <w:lang w:val="en-US" w:eastAsia="ja-JP"/>
    </w:rPr>
  </w:style>
  <w:style w:type="paragraph" w:styleId="Index6">
    <w:name w:val="index 6"/>
    <w:basedOn w:val="Normal"/>
    <w:next w:val="Normal"/>
    <w:autoRedefine/>
    <w:uiPriority w:val="99"/>
    <w:rsid w:val="002706A2"/>
    <w:pPr>
      <w:spacing w:after="0" w:line="240" w:lineRule="auto"/>
      <w:ind w:left="1320" w:hanging="220"/>
    </w:pPr>
    <w:rPr>
      <w:rFonts w:ascii="Times New Roman" w:eastAsia="Times New Roman" w:hAnsi="Times New Roman" w:cs="Times New Roman"/>
      <w:szCs w:val="20"/>
      <w:lang w:val="en-US" w:eastAsia="ja-JP"/>
    </w:rPr>
  </w:style>
  <w:style w:type="paragraph" w:styleId="Index7">
    <w:name w:val="index 7"/>
    <w:basedOn w:val="Normal"/>
    <w:next w:val="Normal"/>
    <w:autoRedefine/>
    <w:uiPriority w:val="99"/>
    <w:rsid w:val="002706A2"/>
    <w:pPr>
      <w:spacing w:after="0" w:line="240" w:lineRule="auto"/>
      <w:ind w:left="1540" w:hanging="220"/>
    </w:pPr>
    <w:rPr>
      <w:rFonts w:ascii="Times New Roman" w:eastAsia="Times New Roman" w:hAnsi="Times New Roman" w:cs="Times New Roman"/>
      <w:szCs w:val="20"/>
      <w:lang w:val="en-US" w:eastAsia="ja-JP"/>
    </w:rPr>
  </w:style>
  <w:style w:type="paragraph" w:styleId="Index8">
    <w:name w:val="index 8"/>
    <w:basedOn w:val="Normal"/>
    <w:next w:val="Normal"/>
    <w:autoRedefine/>
    <w:uiPriority w:val="99"/>
    <w:rsid w:val="002706A2"/>
    <w:pPr>
      <w:spacing w:after="0" w:line="240" w:lineRule="auto"/>
      <w:ind w:left="1760" w:hanging="220"/>
    </w:pPr>
    <w:rPr>
      <w:rFonts w:ascii="Times New Roman" w:eastAsia="Times New Roman" w:hAnsi="Times New Roman" w:cs="Times New Roman"/>
      <w:szCs w:val="20"/>
      <w:lang w:val="en-US" w:eastAsia="ja-JP"/>
    </w:rPr>
  </w:style>
  <w:style w:type="paragraph" w:styleId="Index9">
    <w:name w:val="index 9"/>
    <w:basedOn w:val="Normal"/>
    <w:next w:val="Normal"/>
    <w:autoRedefine/>
    <w:uiPriority w:val="99"/>
    <w:rsid w:val="002706A2"/>
    <w:pPr>
      <w:spacing w:after="0" w:line="240" w:lineRule="auto"/>
      <w:ind w:left="1980" w:hanging="220"/>
    </w:pPr>
    <w:rPr>
      <w:rFonts w:ascii="Times New Roman" w:eastAsia="Times New Roman" w:hAnsi="Times New Roman" w:cs="Times New Roman"/>
      <w:szCs w:val="20"/>
      <w:lang w:val="en-US" w:eastAsia="ja-JP"/>
    </w:rPr>
  </w:style>
  <w:style w:type="paragraph" w:styleId="Textedemacro">
    <w:name w:val="macro"/>
    <w:link w:val="TextedemacroCar"/>
    <w:uiPriority w:val="99"/>
    <w:rsid w:val="002706A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eastAsia="ja-JP"/>
    </w:rPr>
  </w:style>
  <w:style w:type="character" w:customStyle="1" w:styleId="TextedemacroCar">
    <w:name w:val="Texte de macro Car"/>
    <w:basedOn w:val="Policepardfaut"/>
    <w:link w:val="Textedemacro"/>
    <w:uiPriority w:val="99"/>
    <w:rsid w:val="002706A2"/>
    <w:rPr>
      <w:rFonts w:ascii="Courier New" w:eastAsia="Times New Roman" w:hAnsi="Courier New" w:cs="Courier New"/>
      <w:sz w:val="20"/>
      <w:szCs w:val="20"/>
      <w:lang w:val="en-US" w:eastAsia="ja-JP"/>
    </w:rPr>
  </w:style>
  <w:style w:type="paragraph" w:styleId="Tabledesrfrencesjuridiques">
    <w:name w:val="table of authorities"/>
    <w:basedOn w:val="Normal"/>
    <w:next w:val="Normal"/>
    <w:uiPriority w:val="99"/>
    <w:rsid w:val="002706A2"/>
    <w:pPr>
      <w:spacing w:after="0" w:line="240" w:lineRule="auto"/>
      <w:ind w:left="220" w:hanging="220"/>
    </w:pPr>
    <w:rPr>
      <w:rFonts w:ascii="Times New Roman" w:eastAsia="Times New Roman" w:hAnsi="Times New Roman" w:cs="Times New Roman"/>
      <w:szCs w:val="20"/>
      <w:lang w:val="en-US" w:eastAsia="ja-JP"/>
    </w:rPr>
  </w:style>
  <w:style w:type="paragraph" w:styleId="Tabledesillustrations">
    <w:name w:val="table of figures"/>
    <w:basedOn w:val="Normal"/>
    <w:next w:val="Normal"/>
    <w:uiPriority w:val="99"/>
    <w:rsid w:val="002706A2"/>
    <w:pPr>
      <w:spacing w:after="0" w:line="240" w:lineRule="auto"/>
    </w:pPr>
    <w:rPr>
      <w:rFonts w:ascii="Times New Roman" w:eastAsia="Times New Roman" w:hAnsi="Times New Roman" w:cs="Times New Roman"/>
      <w:szCs w:val="20"/>
      <w:lang w:val="en-US" w:eastAsia="ja-JP"/>
    </w:rPr>
  </w:style>
  <w:style w:type="paragraph" w:styleId="TitreTR">
    <w:name w:val="toa heading"/>
    <w:basedOn w:val="Normal"/>
    <w:next w:val="Normal"/>
    <w:uiPriority w:val="99"/>
    <w:rsid w:val="002706A2"/>
    <w:pPr>
      <w:spacing w:before="120" w:after="0" w:line="240" w:lineRule="auto"/>
    </w:pPr>
    <w:rPr>
      <w:rFonts w:ascii="Arial" w:eastAsia="Times New Roman" w:hAnsi="Arial" w:cs="Arial"/>
      <w:b/>
      <w:bCs/>
      <w:sz w:val="24"/>
      <w:szCs w:val="24"/>
      <w:lang w:val="en-US" w:eastAsia="ja-JP"/>
    </w:rPr>
  </w:style>
  <w:style w:type="paragraph" w:styleId="TM4">
    <w:name w:val="toc 4"/>
    <w:basedOn w:val="Normal"/>
    <w:next w:val="Normal"/>
    <w:autoRedefine/>
    <w:uiPriority w:val="39"/>
    <w:rsid w:val="002706A2"/>
    <w:pPr>
      <w:spacing w:after="0" w:line="240" w:lineRule="auto"/>
      <w:ind w:left="660"/>
    </w:pPr>
    <w:rPr>
      <w:rFonts w:ascii="Times New Roman" w:eastAsia="Times New Roman" w:hAnsi="Times New Roman" w:cs="Times New Roman"/>
      <w:szCs w:val="20"/>
      <w:lang w:val="en-US" w:eastAsia="ja-JP"/>
    </w:rPr>
  </w:style>
  <w:style w:type="paragraph" w:styleId="TM5">
    <w:name w:val="toc 5"/>
    <w:basedOn w:val="Normal"/>
    <w:next w:val="Normal"/>
    <w:autoRedefine/>
    <w:uiPriority w:val="39"/>
    <w:rsid w:val="002706A2"/>
    <w:pPr>
      <w:spacing w:after="0" w:line="240" w:lineRule="auto"/>
      <w:ind w:left="880"/>
    </w:pPr>
    <w:rPr>
      <w:rFonts w:ascii="Times New Roman" w:eastAsia="Times New Roman" w:hAnsi="Times New Roman" w:cs="Times New Roman"/>
      <w:szCs w:val="20"/>
      <w:lang w:val="en-US" w:eastAsia="ja-JP"/>
    </w:rPr>
  </w:style>
  <w:style w:type="paragraph" w:styleId="TM8">
    <w:name w:val="toc 8"/>
    <w:basedOn w:val="Normal"/>
    <w:next w:val="Normal"/>
    <w:autoRedefine/>
    <w:uiPriority w:val="39"/>
    <w:rsid w:val="002706A2"/>
    <w:pPr>
      <w:spacing w:after="0" w:line="240" w:lineRule="auto"/>
      <w:ind w:left="1540"/>
    </w:pPr>
    <w:rPr>
      <w:rFonts w:ascii="Times New Roman" w:eastAsia="Times New Roman" w:hAnsi="Times New Roman" w:cs="Times New Roman"/>
      <w:szCs w:val="20"/>
      <w:lang w:val="en-US" w:eastAsia="ja-JP"/>
    </w:rPr>
  </w:style>
  <w:style w:type="paragraph" w:styleId="TM9">
    <w:name w:val="toc 9"/>
    <w:basedOn w:val="Normal"/>
    <w:next w:val="Normal"/>
    <w:autoRedefine/>
    <w:uiPriority w:val="39"/>
    <w:rsid w:val="002706A2"/>
    <w:pPr>
      <w:spacing w:after="0" w:line="240" w:lineRule="auto"/>
      <w:ind w:left="1760"/>
    </w:pPr>
    <w:rPr>
      <w:rFonts w:ascii="Times New Roman" w:eastAsia="Times New Roman" w:hAnsi="Times New Roman" w:cs="Times New Roman"/>
      <w:szCs w:val="20"/>
      <w:lang w:val="en-US" w:eastAsia="ja-JP"/>
    </w:rPr>
  </w:style>
  <w:style w:type="character" w:customStyle="1" w:styleId="ParagraphChar1">
    <w:name w:val="Paragraph Char1"/>
    <w:locked/>
    <w:rsid w:val="002706A2"/>
    <w:rPr>
      <w:sz w:val="16"/>
      <w:lang w:val="en-US" w:eastAsia="en-US"/>
    </w:rPr>
  </w:style>
  <w:style w:type="paragraph" w:customStyle="1" w:styleId="TableFooter">
    <w:name w:val="Table Footer"/>
    <w:basedOn w:val="Normal"/>
    <w:link w:val="TableFooterChar"/>
    <w:rsid w:val="002706A2"/>
    <w:pPr>
      <w:keepNext/>
      <w:keepLines/>
      <w:tabs>
        <w:tab w:val="right" w:pos="144"/>
      </w:tabs>
      <w:spacing w:before="60" w:after="0" w:line="240" w:lineRule="exact"/>
      <w:ind w:left="216" w:hanging="216"/>
    </w:pPr>
    <w:rPr>
      <w:rFonts w:ascii="Arial" w:eastAsia="SimSun" w:hAnsi="Arial" w:cs="Times New Roman"/>
      <w:sz w:val="20"/>
      <w:szCs w:val="20"/>
      <w:lang w:val="en-US"/>
    </w:rPr>
  </w:style>
  <w:style w:type="character" w:customStyle="1" w:styleId="TableFooterChar">
    <w:name w:val="Table Footer Char"/>
    <w:link w:val="TableFooter"/>
    <w:locked/>
    <w:rsid w:val="002706A2"/>
    <w:rPr>
      <w:rFonts w:ascii="Arial" w:eastAsia="SimSun" w:hAnsi="Arial" w:cs="Times New Roman"/>
      <w:sz w:val="20"/>
      <w:szCs w:val="20"/>
      <w:lang w:val="en-US"/>
    </w:rPr>
  </w:style>
  <w:style w:type="character" w:customStyle="1" w:styleId="CharChar1">
    <w:name w:val="Char Char1"/>
    <w:rsid w:val="002706A2"/>
    <w:rPr>
      <w:b/>
      <w:i/>
      <w:sz w:val="26"/>
      <w:lang w:val="en-US" w:eastAsia="en-US"/>
    </w:rPr>
  </w:style>
  <w:style w:type="paragraph" w:customStyle="1" w:styleId="CarCarCarCar1">
    <w:name w:val="Car Car Car Car1"/>
    <w:basedOn w:val="Normal"/>
    <w:rsid w:val="002706A2"/>
    <w:pPr>
      <w:spacing w:line="240" w:lineRule="exact"/>
    </w:pPr>
    <w:rPr>
      <w:rFonts w:ascii="Times New Roman" w:eastAsia="Times New Roman" w:hAnsi="Times New Roman" w:cs="Times New Roman"/>
      <w:sz w:val="24"/>
      <w:szCs w:val="24"/>
      <w:lang w:val="en-US"/>
    </w:rPr>
  </w:style>
  <w:style w:type="paragraph" w:customStyle="1" w:styleId="TableCellLeft">
    <w:name w:val="Table Cell Left"/>
    <w:basedOn w:val="Normal"/>
    <w:rsid w:val="002706A2"/>
    <w:pPr>
      <w:keepNext/>
      <w:keepLines/>
      <w:spacing w:before="50" w:after="50" w:line="240" w:lineRule="exact"/>
    </w:pPr>
    <w:rPr>
      <w:rFonts w:ascii="Times New Roman" w:eastAsia="Times New Roman" w:hAnsi="Times New Roman" w:cs="Times New Roman"/>
      <w:sz w:val="20"/>
      <w:szCs w:val="20"/>
      <w:lang w:val="en-US" w:eastAsia="da-DK"/>
    </w:rPr>
  </w:style>
  <w:style w:type="paragraph" w:customStyle="1" w:styleId="TableCellHead">
    <w:name w:val="Table Cell Head"/>
    <w:basedOn w:val="Normal"/>
    <w:next w:val="Normal"/>
    <w:rsid w:val="002706A2"/>
    <w:pPr>
      <w:keepNext/>
      <w:keepLines/>
      <w:spacing w:before="100" w:after="0" w:line="240" w:lineRule="exact"/>
    </w:pPr>
    <w:rPr>
      <w:rFonts w:ascii="Times New Roman" w:eastAsia="Times New Roman" w:hAnsi="Times New Roman" w:cs="Times New Roman"/>
      <w:sz w:val="20"/>
      <w:szCs w:val="20"/>
      <w:u w:val="single"/>
      <w:lang w:val="en-US" w:eastAsia="da-DK"/>
    </w:rPr>
  </w:style>
  <w:style w:type="paragraph" w:customStyle="1" w:styleId="TextTi12CharChar">
    <w:name w:val="Text:Ti12 Char Char"/>
    <w:basedOn w:val="Normal"/>
    <w:rsid w:val="002706A2"/>
    <w:pPr>
      <w:spacing w:after="170" w:line="280" w:lineRule="atLeast"/>
      <w:jc w:val="both"/>
    </w:pPr>
    <w:rPr>
      <w:rFonts w:ascii="Times New Roman" w:eastAsia="Times New Roman" w:hAnsi="Times New Roman" w:cs="Times New Roman"/>
      <w:sz w:val="24"/>
      <w:szCs w:val="20"/>
      <w:lang w:val="en-US" w:eastAsia="ja-JP"/>
    </w:rPr>
  </w:style>
  <w:style w:type="paragraph" w:customStyle="1" w:styleId="TabletextrowsAgency">
    <w:name w:val="Table text rows (Agency)"/>
    <w:basedOn w:val="Normal"/>
    <w:rsid w:val="002706A2"/>
    <w:pPr>
      <w:spacing w:after="0" w:line="280" w:lineRule="exact"/>
    </w:pPr>
    <w:rPr>
      <w:rFonts w:ascii="Verdana" w:eastAsia="Times New Roman" w:hAnsi="Verdana" w:cs="Verdana"/>
      <w:sz w:val="18"/>
      <w:szCs w:val="18"/>
      <w:lang w:val="en-GB" w:eastAsia="zh-CN"/>
    </w:rPr>
  </w:style>
  <w:style w:type="paragraph" w:customStyle="1" w:styleId="NormalAgency">
    <w:name w:val="Normal (Agency)"/>
    <w:link w:val="NormalAgencyChar"/>
    <w:rsid w:val="002706A2"/>
    <w:pPr>
      <w:spacing w:after="0" w:line="240" w:lineRule="auto"/>
    </w:pPr>
    <w:rPr>
      <w:rFonts w:ascii="Verdana" w:eastAsia="Times New Roman" w:hAnsi="Verdana" w:cs="Times New Roman"/>
      <w:sz w:val="18"/>
      <w:szCs w:val="18"/>
      <w:lang w:val="en-GB" w:eastAsia="en-GB"/>
    </w:rPr>
  </w:style>
  <w:style w:type="character" w:customStyle="1" w:styleId="NormalAgencyChar">
    <w:name w:val="Normal (Agency) Char"/>
    <w:link w:val="NormalAgency"/>
    <w:locked/>
    <w:rsid w:val="002706A2"/>
    <w:rPr>
      <w:rFonts w:ascii="Verdana" w:eastAsia="Times New Roman" w:hAnsi="Verdana" w:cs="Times New Roman"/>
      <w:sz w:val="18"/>
      <w:szCs w:val="18"/>
      <w:lang w:val="en-GB" w:eastAsia="en-GB"/>
    </w:rPr>
  </w:style>
  <w:style w:type="paragraph" w:customStyle="1" w:styleId="simplepara">
    <w:name w:val="simplepara"/>
    <w:basedOn w:val="Normal"/>
    <w:rsid w:val="002706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Policepardfaut"/>
    <w:rsid w:val="00D76A81"/>
  </w:style>
  <w:style w:type="character" w:customStyle="1" w:styleId="Mentionnonrsolue1">
    <w:name w:val="Mention non résolue1"/>
    <w:basedOn w:val="Policepardfaut"/>
    <w:uiPriority w:val="99"/>
    <w:semiHidden/>
    <w:unhideWhenUsed/>
    <w:rsid w:val="00EB52DD"/>
    <w:rPr>
      <w:color w:val="605E5C"/>
      <w:shd w:val="clear" w:color="auto" w:fill="E1DFDD"/>
    </w:rPr>
  </w:style>
  <w:style w:type="character" w:customStyle="1" w:styleId="hgkelc">
    <w:name w:val="hgkelc"/>
    <w:basedOn w:val="Policepardfaut"/>
    <w:rsid w:val="003D4840"/>
  </w:style>
  <w:style w:type="table" w:customStyle="1" w:styleId="55">
    <w:name w:val="55"/>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54">
    <w:name w:val="54"/>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53">
    <w:name w:val="53"/>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52">
    <w:name w:val="52"/>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51">
    <w:name w:val="51"/>
    <w:basedOn w:val="TableNormal1"/>
    <w:tblPr>
      <w:tblStyleRowBandSize w:val="1"/>
      <w:tblStyleColBandSize w:val="1"/>
      <w:tblCellMar>
        <w:left w:w="115" w:type="dxa"/>
        <w:right w:w="115" w:type="dxa"/>
      </w:tblCellMar>
    </w:tblPr>
  </w:style>
  <w:style w:type="table" w:customStyle="1" w:styleId="50">
    <w:name w:val="50"/>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49">
    <w:name w:val="49"/>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48">
    <w:name w:val="48"/>
    <w:basedOn w:val="TableNormal1"/>
    <w:tblPr>
      <w:tblStyleRowBandSize w:val="1"/>
      <w:tblStyleColBandSize w:val="1"/>
      <w:tblCellMar>
        <w:left w:w="70" w:type="dxa"/>
        <w:right w:w="70" w:type="dxa"/>
      </w:tblCellMar>
    </w:tblPr>
  </w:style>
  <w:style w:type="table" w:customStyle="1" w:styleId="47">
    <w:name w:val="47"/>
    <w:basedOn w:val="TableNormal1"/>
    <w:tblPr>
      <w:tblStyleRowBandSize w:val="1"/>
      <w:tblStyleColBandSize w:val="1"/>
      <w:tblCellMar>
        <w:left w:w="70" w:type="dxa"/>
        <w:right w:w="70" w:type="dxa"/>
      </w:tblCellMar>
    </w:tblPr>
  </w:style>
  <w:style w:type="table" w:customStyle="1" w:styleId="46">
    <w:name w:val="46"/>
    <w:basedOn w:val="TableNormal1"/>
    <w:tblPr>
      <w:tblStyleRowBandSize w:val="1"/>
      <w:tblStyleColBandSize w:val="1"/>
      <w:tblCellMar>
        <w:left w:w="115" w:type="dxa"/>
        <w:right w:w="115" w:type="dxa"/>
      </w:tblCellMar>
    </w:tblPr>
  </w:style>
  <w:style w:type="table" w:customStyle="1" w:styleId="45">
    <w:name w:val="45"/>
    <w:basedOn w:val="TableNormal1"/>
    <w:tblPr>
      <w:tblStyleRowBandSize w:val="1"/>
      <w:tblStyleColBandSize w:val="1"/>
      <w:tblCellMar>
        <w:top w:w="28" w:type="dxa"/>
        <w:left w:w="57" w:type="dxa"/>
      </w:tblCellMar>
    </w:tblPr>
  </w:style>
  <w:style w:type="table" w:customStyle="1" w:styleId="44">
    <w:name w:val="44"/>
    <w:basedOn w:val="TableNormal1"/>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nonrsolue2">
    <w:name w:val="Mention non résolue2"/>
    <w:basedOn w:val="Policepardfaut"/>
    <w:uiPriority w:val="99"/>
    <w:semiHidden/>
    <w:unhideWhenUsed/>
    <w:rsid w:val="00F13013"/>
    <w:rPr>
      <w:color w:val="605E5C"/>
      <w:shd w:val="clear" w:color="auto" w:fill="E1DFDD"/>
    </w:rPr>
  </w:style>
  <w:style w:type="table" w:customStyle="1" w:styleId="43">
    <w:name w:val="4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42">
    <w:name w:val="4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41">
    <w:name w:val="4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40">
    <w:name w:val="4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39">
    <w:name w:val="3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38">
    <w:name w:val="3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37">
    <w:name w:val="3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36">
    <w:name w:val="3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35">
    <w:name w:val="3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34">
    <w:name w:val="3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33">
    <w:name w:val="3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32">
    <w:name w:val="3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31">
    <w:name w:val="3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30">
    <w:name w:val="3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29">
    <w:name w:val="2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28">
    <w:name w:val="2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27">
    <w:name w:val="2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26">
    <w:name w:val="2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25">
    <w:name w:val="2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24">
    <w:name w:val="2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23">
    <w:name w:val="2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22">
    <w:name w:val="2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21">
    <w:name w:val="2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20">
    <w:name w:val="2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9">
    <w:name w:val="1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8">
    <w:name w:val="1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7">
    <w:name w:val="1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6">
    <w:name w:val="1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5">
    <w:name w:val="1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4">
    <w:name w:val="1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3">
    <w:name w:val="1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2">
    <w:name w:val="1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1">
    <w:name w:val="1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0">
    <w:name w:val="1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9">
    <w:name w:val="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8">
    <w:name w:val="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7">
    <w:name w:val="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6">
    <w:name w:val="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5">
    <w:name w:val="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4">
    <w:name w:val="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3">
    <w:name w:val="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
    <w:name w:val="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25">
    <w:name w:val="12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24">
    <w:name w:val="12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23">
    <w:name w:val="12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22">
    <w:name w:val="12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21">
    <w:name w:val="12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20">
    <w:name w:val="12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19">
    <w:name w:val="11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18">
    <w:name w:val="11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17">
    <w:name w:val="11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16">
    <w:name w:val="116"/>
    <w:basedOn w:val="TableauNormal"/>
    <w:tblPr>
      <w:tblStyleRowBandSize w:val="1"/>
      <w:tblStyleColBandSize w:val="1"/>
      <w:tblCellMar>
        <w:left w:w="115" w:type="dxa"/>
        <w:right w:w="115" w:type="dxa"/>
      </w:tblCellMar>
    </w:tblPr>
  </w:style>
  <w:style w:type="table" w:customStyle="1" w:styleId="115">
    <w:name w:val="115"/>
    <w:basedOn w:val="TableauNormal"/>
    <w:tblPr>
      <w:tblStyleRowBandSize w:val="1"/>
      <w:tblStyleColBandSize w:val="1"/>
      <w:tblCellMar>
        <w:left w:w="115" w:type="dxa"/>
        <w:right w:w="115" w:type="dxa"/>
      </w:tblCellMar>
    </w:tblPr>
  </w:style>
  <w:style w:type="table" w:customStyle="1" w:styleId="114">
    <w:name w:val="11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13">
    <w:name w:val="11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12">
    <w:name w:val="11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11">
    <w:name w:val="11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10">
    <w:name w:val="11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09">
    <w:name w:val="10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08">
    <w:name w:val="10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107">
    <w:name w:val="10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06">
    <w:name w:val="10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05">
    <w:name w:val="10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04">
    <w:name w:val="10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103">
    <w:name w:val="10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02">
    <w:name w:val="10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01">
    <w:name w:val="10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100">
    <w:name w:val="10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99">
    <w:name w:val="9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98">
    <w:name w:val="9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97">
    <w:name w:val="9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96">
    <w:name w:val="9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95">
    <w:name w:val="9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94">
    <w:name w:val="9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93">
    <w:name w:val="9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92">
    <w:name w:val="9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91">
    <w:name w:val="9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90">
    <w:name w:val="9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89">
    <w:name w:val="8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88">
    <w:name w:val="8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87">
    <w:name w:val="8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86">
    <w:name w:val="8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85">
    <w:name w:val="8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84">
    <w:name w:val="8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83">
    <w:name w:val="8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82">
    <w:name w:val="8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81">
    <w:name w:val="8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80">
    <w:name w:val="8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79">
    <w:name w:val="7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78">
    <w:name w:val="7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77">
    <w:name w:val="7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76">
    <w:name w:val="7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75">
    <w:name w:val="7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74">
    <w:name w:val="7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73">
    <w:name w:val="7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72">
    <w:name w:val="7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71">
    <w:name w:val="7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70">
    <w:name w:val="7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69">
    <w:name w:val="6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68">
    <w:name w:val="6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67">
    <w:name w:val="6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66">
    <w:name w:val="6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65">
    <w:name w:val="6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64">
    <w:name w:val="6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63">
    <w:name w:val="6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62">
    <w:name w:val="6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61">
    <w:name w:val="6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60">
    <w:name w:val="6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59">
    <w:name w:val="5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58">
    <w:name w:val="5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57">
    <w:name w:val="5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56">
    <w:name w:val="5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character" w:customStyle="1" w:styleId="UnresolvedMention1">
    <w:name w:val="Unresolved Mention1"/>
    <w:basedOn w:val="Policepardfaut"/>
    <w:uiPriority w:val="99"/>
    <w:semiHidden/>
    <w:unhideWhenUsed/>
    <w:rsid w:val="00596463"/>
    <w:rPr>
      <w:color w:val="605E5C"/>
      <w:shd w:val="clear" w:color="auto" w:fill="E1DFDD"/>
    </w:rPr>
  </w:style>
  <w:style w:type="table" w:customStyle="1" w:styleId="a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a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a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a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a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a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a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a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a">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b">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c">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d">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paragraph" w:styleId="Sous-titre">
    <w:name w:val="Subtitle"/>
    <w:basedOn w:val="Normal"/>
    <w:next w:val="Normal"/>
    <w:link w:val="Sous-titreCar"/>
    <w:uiPriority w:val="11"/>
    <w:qFormat/>
    <w:pPr>
      <w:spacing w:before="100" w:after="40" w:line="288" w:lineRule="auto"/>
      <w:jc w:val="both"/>
    </w:pPr>
    <w:rPr>
      <w:rFonts w:ascii="Arial" w:eastAsia="Arial" w:hAnsi="Arial" w:cs="Arial"/>
      <w:color w:val="808080"/>
      <w:sz w:val="32"/>
      <w:szCs w:val="32"/>
    </w:rPr>
  </w:style>
  <w:style w:type="table" w:customStyle="1" w:styleId="ae">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af">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af0">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af1">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sz w:val="20"/>
        <w:szCs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af2">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f3">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af4">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af5">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tblStylePr w:type="firstRow">
      <w:rPr>
        <w:rFonts w:ascii="Arial" w:eastAsia="Arial" w:hAnsi="Arial" w:cs="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table" w:customStyle="1" w:styleId="af6">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f7">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f8">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f9">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fa">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 w:type="table" w:customStyle="1" w:styleId="afb">
    <w:basedOn w:val="Tableau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F2F2F2"/>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s://doi.org/10.1016/j.mayocp.2017.11.013" TargetMode="External"/><Relationship Id="rId39" Type="http://schemas.openxmlformats.org/officeDocument/2006/relationships/hyperlink" Target="https://doi.org/10.1097/maj.0b013e3182429866" TargetMode="External"/><Relationship Id="rId21" Type="http://schemas.openxmlformats.org/officeDocument/2006/relationships/hyperlink" Target="https://doi.org/10.1001/jama.2012.250" TargetMode="External"/><Relationship Id="rId34" Type="http://schemas.openxmlformats.org/officeDocument/2006/relationships/hyperlink" Target="https://doi.org/10.1007/s00277-010-1063-5" TargetMode="External"/><Relationship Id="rId42" Type="http://schemas.openxmlformats.org/officeDocument/2006/relationships/hyperlink" Target="https://doi.org/10.1024/0301-1526/a000253" TargetMode="External"/><Relationship Id="rId47" Type="http://schemas.openxmlformats.org/officeDocument/2006/relationships/hyperlink" Target="https://doi.org/10.1097/md.0000000000001966" TargetMode="External"/><Relationship Id="rId50" Type="http://schemas.openxmlformats.org/officeDocument/2006/relationships/hyperlink" Target="https://doi.org/10.1007/s00508-016-1124-4" TargetMode="External"/><Relationship Id="rId55" Type="http://schemas.openxmlformats.org/officeDocument/2006/relationships/hyperlink" Target="https://pubmed.ncbi.nlm.nih.gov/29021642/" TargetMode="External"/><Relationship Id="rId63" Type="http://schemas.openxmlformats.org/officeDocument/2006/relationships/hyperlink" Target="https://urldefense.com/v3/__https:/signalement.social-sante.gouv.fr/__;!!AoaiBx6H!yxpDNFCdhn2RrTaapIgX4QXHdHf_wSc0hKuNMSvPZTxNAlljXlA0r-XzVyTgaFbu29lbqORdiJOp5dT6-3onDV-uGkQt-rBWU8Y$" TargetMode="External"/><Relationship Id="rId68" Type="http://schemas.openxmlformats.org/officeDocument/2006/relationships/hyperlink" Target="https://eur-lex.europa.eu/legal-content/FR/TXT/PDF/?uri=CELEX:32016R0679&amp;from=FR" TargetMode="External"/><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yperlink" Target="https://base-donnees-publique.medicaments.gouv.fr/"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oi.org/10.1002/lt.21417" TargetMode="External"/><Relationship Id="rId11" Type="http://schemas.openxmlformats.org/officeDocument/2006/relationships/hyperlink" Target="http://base-donnees-publique.medicaments.gouv.fr" TargetMode="External"/><Relationship Id="rId24" Type="http://schemas.openxmlformats.org/officeDocument/2006/relationships/hyperlink" Target="https://doi.org/10.1111/hae.14034" TargetMode="External"/><Relationship Id="rId32" Type="http://schemas.openxmlformats.org/officeDocument/2006/relationships/hyperlink" Target="https://doi.org/10.1056/nejmc091271" TargetMode="External"/><Relationship Id="rId37" Type="http://schemas.openxmlformats.org/officeDocument/2006/relationships/hyperlink" Target="https://doi.org/10.1056/nejmc1012774" TargetMode="External"/><Relationship Id="rId40" Type="http://schemas.openxmlformats.org/officeDocument/2006/relationships/hyperlink" Target="https://doi.org/10.1007/s00228-012-1308-4" TargetMode="External"/><Relationship Id="rId45" Type="http://schemas.openxmlformats.org/officeDocument/2006/relationships/hyperlink" Target="https://doi.org/10.5045/br.2014.49.3.192" TargetMode="External"/><Relationship Id="rId53" Type="http://schemas.openxmlformats.org/officeDocument/2006/relationships/hyperlink" Target="https://doi.org/10.1111/liv.13187" TargetMode="External"/><Relationship Id="rId58" Type="http://schemas.openxmlformats.org/officeDocument/2006/relationships/hyperlink" Target="https://doi.org/10.1093/omcr/omz046" TargetMode="External"/><Relationship Id="rId66" Type="http://schemas.openxmlformats.org/officeDocument/2006/relationships/hyperlink" Target="http://www.cnil.fr" TargetMode="External"/><Relationship Id="rId74" Type="http://schemas.openxmlformats.org/officeDocument/2006/relationships/hyperlink" Target="http://www.ansm.sante.fr/" TargetMode="Externa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www.ansm.sante.fr"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doi.org/10.1056/nejmc091271" TargetMode="External"/><Relationship Id="rId44" Type="http://schemas.openxmlformats.org/officeDocument/2006/relationships/hyperlink" Target="https://doi.org/10.3121/cmr.2013.1205" TargetMode="External"/><Relationship Id="rId52" Type="http://schemas.openxmlformats.org/officeDocument/2006/relationships/hyperlink" Target="https://doi.org/10.4240/wjgs.v8.i12.792" TargetMode="External"/><Relationship Id="rId60" Type="http://schemas.openxmlformats.org/officeDocument/2006/relationships/hyperlink" Target="https://doi.org/10.1016/j.mayocpiqo.2020.01.002" TargetMode="External"/><Relationship Id="rId65" Type="http://schemas.openxmlformats.org/officeDocument/2006/relationships/hyperlink" Target="https://www.legifrance.gouv.fr/codes/article_lc/LEGIARTI000044628309/2023-01-16" TargetMode="External"/><Relationship Id="rId73" Type="http://schemas.openxmlformats.org/officeDocument/2006/relationships/hyperlink" Target="https://ansm.sante.fr/documents/reference/referentiel-des-specialites-en-acces-derogatoire?checked%5B%5D=cpc+en+cours"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doi.org/10.2500/ar.2014.5.0091" TargetMode="External"/><Relationship Id="rId27" Type="http://schemas.openxmlformats.org/officeDocument/2006/relationships/hyperlink" Target="https://doi.org/10.1371/journal.pone.0188943" TargetMode="External"/><Relationship Id="rId30" Type="http://schemas.openxmlformats.org/officeDocument/2006/relationships/hyperlink" Target="https://doi.org/10.1056/nejmc0901421" TargetMode="External"/><Relationship Id="rId35" Type="http://schemas.openxmlformats.org/officeDocument/2006/relationships/hyperlink" Target="https://doi.org/10.1038/ajg.2011.287" TargetMode="External"/><Relationship Id="rId43" Type="http://schemas.openxmlformats.org/officeDocument/2006/relationships/hyperlink" Target="https://doi.org/10.1016/j.jhep.2013.02.006" TargetMode="External"/><Relationship Id="rId48" Type="http://schemas.openxmlformats.org/officeDocument/2006/relationships/hyperlink" Target="https://doi.org/10.1007/s00508-015-0789-4" TargetMode="External"/><Relationship Id="rId56" Type="http://schemas.openxmlformats.org/officeDocument/2006/relationships/hyperlink" Target="https://doi.org/10.1159/000481289" TargetMode="External"/><Relationship Id="rId64" Type="http://schemas.openxmlformats.org/officeDocument/2006/relationships/hyperlink" Target="https://eur-lex.europa.eu/legal-content/FR/TXT/PDF/?uri=CELEX:32016R0679&amp;from=FR" TargetMode="External"/><Relationship Id="rId69" Type="http://schemas.openxmlformats.org/officeDocument/2006/relationships/hyperlink" Target="https://www.legifrance.gouv.fr/codes/article_lc/LEGIARTI000044628309/2023-01-16" TargetMode="External"/><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doi.org/10.1002/ajh.23969" TargetMode="External"/><Relationship Id="rId72" Type="http://schemas.openxmlformats.org/officeDocument/2006/relationships/hyperlink" Target="https://base-donnees-publique.medicaments.gouv.fr/"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base-donnees-publique.medicaments.gouv.fr/" TargetMode="External"/><Relationship Id="rId17" Type="http://schemas.openxmlformats.org/officeDocument/2006/relationships/footer" Target="footer2.xml"/><Relationship Id="rId25" Type="http://schemas.openxmlformats.org/officeDocument/2006/relationships/hyperlink" Target="https://doi.org/10.1186/s13023-019-1239-6" TargetMode="External"/><Relationship Id="rId33" Type="http://schemas.openxmlformats.org/officeDocument/2006/relationships/hyperlink" Target="https://doi.org/10.1159/000323152" TargetMode="External"/><Relationship Id="rId38" Type="http://schemas.openxmlformats.org/officeDocument/2006/relationships/hyperlink" Target="https://doi.org/10.5694/j.1326-5377.2011.tb02989.x" TargetMode="External"/><Relationship Id="rId46" Type="http://schemas.openxmlformats.org/officeDocument/2006/relationships/hyperlink" Target="https://doi.org/10.1016/j.revmed.2014.11.004" TargetMode="External"/><Relationship Id="rId59" Type="http://schemas.openxmlformats.org/officeDocument/2006/relationships/hyperlink" Target="https://doi.org/10.1186/s13023-020-01583-6" TargetMode="External"/><Relationship Id="rId67" Type="http://schemas.openxmlformats.org/officeDocument/2006/relationships/hyperlink" Target="mailto:dpo@chu-lyon.fr" TargetMode="External"/><Relationship Id="rId20" Type="http://schemas.openxmlformats.org/officeDocument/2006/relationships/hyperlink" Target="http://www.ansm.sante.fr" TargetMode="External"/><Relationship Id="rId41" Type="http://schemas.openxmlformats.org/officeDocument/2006/relationships/hyperlink" Target="https://doi.org/10.1097/mcg.0b013e3182688d49" TargetMode="External"/><Relationship Id="rId54" Type="http://schemas.openxmlformats.org/officeDocument/2006/relationships/hyperlink" Target="https://doi.org/10.1159/000475748" TargetMode="External"/><Relationship Id="rId62" Type="http://schemas.openxmlformats.org/officeDocument/2006/relationships/hyperlink" Target="about:blank" TargetMode="External"/><Relationship Id="rId70" Type="http://schemas.openxmlformats.org/officeDocument/2006/relationships/hyperlink" Target="http://www.cnil.fr"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doi.org/10.1371/journal.pone.0228486" TargetMode="External"/><Relationship Id="rId28" Type="http://schemas.openxmlformats.org/officeDocument/2006/relationships/hyperlink" Target="https://doi.org/10.1007/s00277-006-0147-8" TargetMode="External"/><Relationship Id="rId36" Type="http://schemas.openxmlformats.org/officeDocument/2006/relationships/hyperlink" Target="https://doi.org/10.1111/j.1365-2141.2010.08481.x" TargetMode="External"/><Relationship Id="rId49" Type="http://schemas.openxmlformats.org/officeDocument/2006/relationships/hyperlink" Target="https://doi.org/10.1080/21645515.2015.1011960" TargetMode="External"/><Relationship Id="rId57" Type="http://schemas.openxmlformats.org/officeDocument/2006/relationships/hyperlink" Target="https://doi.org/10.1155/2018/13613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www.chu-tours.fr/recherche-et-innovation/recherche-professionnels/recherche-clinique-et-translationnelle/organisation/iv-la-plateforme-recherche/centre-pilote-de-suivi-biologique-des-traitements-par-anticorps-cepiba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2ioCR8asUpDOkqI8HGRwzIx56A==">CgMxLjAaJAoBMBIfCh0IB0IZCgVBcmlhbBIQQXJpYWwgVW5pY29kZSBNUxokCgExEh8KHQgHQhkKBUFyaWFsEhBBcmlhbCBVbmljb2RlIE1TGiQKATISHwodCAdCGQoFQXJpYWwSEEFyaWFsIFVuaWNvZGUgTVMyCWguMzBqMHpsbDIKaWQuMWZvYjl0ZTIKaWQuM3pueXNoNzIJaC4yZXQ5MnAwMghoLnR5amN3dDIKaWQuM2R5NnZrbTIJaC4xdDNoNXNmMgloLjRkMzRvZzgyCmlkLjJzOGV5bzEyCGguZ2pkZ3hzMgloLjE3ZHA4dnUyCWguM3JkY3JqbjIJaC4xZm9iOXRlMgloLjN6bnlzaDcyCGgubG54Yno5MgloLjM1bmt1bjIyCmlkLjFrc3Y0dXY4AHIhMXR1TGFfWXBWRGdsYzEyaTV3UjlXVTROcExnMThlODRM</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437d9e-49bf-4724-973d-0e835816bcc8">
      <Terms xmlns="http://schemas.microsoft.com/office/infopath/2007/PartnerControls"/>
    </lcf76f155ced4ddcb4097134ff3c332f>
    <TaxCatchAll xmlns="05cc9ebd-2a52-41ab-867a-d1c28c96a5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BA4F73BF921E41B8A84583C3A93170" ma:contentTypeVersion="14" ma:contentTypeDescription="Create a new document." ma:contentTypeScope="" ma:versionID="ff797b943b3844c7771c53da6b99004b">
  <xsd:schema xmlns:xsd="http://www.w3.org/2001/XMLSchema" xmlns:xs="http://www.w3.org/2001/XMLSchema" xmlns:p="http://schemas.microsoft.com/office/2006/metadata/properties" xmlns:ns2="ca437d9e-49bf-4724-973d-0e835816bcc8" xmlns:ns3="05cc9ebd-2a52-41ab-867a-d1c28c96a5e5" targetNamespace="http://schemas.microsoft.com/office/2006/metadata/properties" ma:root="true" ma:fieldsID="8dd3804171ba76ff56b49ef37a7f9f0e" ns2:_="" ns3:_="">
    <xsd:import namespace="ca437d9e-49bf-4724-973d-0e835816bcc8"/>
    <xsd:import namespace="05cc9ebd-2a52-41ab-867a-d1c28c96a5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37d9e-49bf-4724-973d-0e835816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4dd9da6-50f7-440a-9788-2f68cc8af53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cc9ebd-2a52-41ab-867a-d1c28c96a5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5be103-8d37-4f93-b88d-d1bf3f2c2a51}" ma:internalName="TaxCatchAll" ma:showField="CatchAllData" ma:web="05cc9ebd-2a52-41ab-867a-d1c28c96a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4C645-A7E4-4547-A38A-24E8D049E02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0FCB904-ACED-49C6-91A9-0E4CB928D82C}">
  <ds:schemaRefs>
    <ds:schemaRef ds:uri="05cc9ebd-2a52-41ab-867a-d1c28c96a5e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a437d9e-49bf-4724-973d-0e835816bcc8"/>
    <ds:schemaRef ds:uri="http://www.w3.org/XML/1998/namespace"/>
    <ds:schemaRef ds:uri="http://purl.org/dc/dcmitype/"/>
  </ds:schemaRefs>
</ds:datastoreItem>
</file>

<file path=customXml/itemProps4.xml><?xml version="1.0" encoding="utf-8"?>
<ds:datastoreItem xmlns:ds="http://schemas.openxmlformats.org/officeDocument/2006/customXml" ds:itemID="{BCE688A3-B033-44B7-9792-C29A438E1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37d9e-49bf-4724-973d-0e835816bcc8"/>
    <ds:schemaRef ds:uri="05cc9ebd-2a52-41ab-867a-d1c28c96a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513a46-b961-46d6-9006-1e87d5eb3e82}" enabled="1" method="Privileged" siteId="{4b4266a6-1368-41af-ad5a-59eb634f7ad8}"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16370</Words>
  <Characters>90035</Characters>
  <Application>Microsoft Office Word</Application>
  <DocSecurity>4</DocSecurity>
  <Lines>750</Lines>
  <Paragraphs>212</Paragraphs>
  <ScaleCrop>false</ScaleCrop>
  <HeadingPairs>
    <vt:vector size="2" baseType="variant">
      <vt:variant>
        <vt:lpstr>Titre</vt:lpstr>
      </vt:variant>
      <vt:variant>
        <vt:i4>1</vt:i4>
      </vt:variant>
    </vt:vector>
  </HeadingPairs>
  <TitlesOfParts>
    <vt:vector size="1" baseType="lpstr">
      <vt:lpstr/>
    </vt:vector>
  </TitlesOfParts>
  <Company>F. Hoffmann-La Roche, Ltd.</Company>
  <LinksUpToDate>false</LinksUpToDate>
  <CharactersWithSpaces>106193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Jacqueline HADDAD</dc:creator>
  <cp:lastModifiedBy>Catherine LEROY-CORREC</cp:lastModifiedBy>
  <cp:revision>2</cp:revision>
  <dcterms:created xsi:type="dcterms:W3CDTF">2026-01-08T15:56:00Z</dcterms:created>
  <dcterms:modified xsi:type="dcterms:W3CDTF">2026-01-08T15:56:00Z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1e794538,630061eb,546bea2f,3bb47fe6,7ff35666,5a631fe2</vt:lpwstr>
  </property>
  <property fmtid="{D5CDD505-2E9C-101B-9397-08002B2CF9AE}" pid="3" name="ClassificationContentMarkingHeaderFontProps">
    <vt:lpwstr>#ffd700,12,Calibri</vt:lpwstr>
  </property>
  <property fmtid="{D5CDD505-2E9C-101B-9397-08002B2CF9AE}" pid="4" name="ClassificationContentMarkingHeaderText">
    <vt:lpwstr>[Organon] Confidential</vt:lpwstr>
  </property>
  <property fmtid="{D5CDD505-2E9C-101B-9397-08002B2CF9AE}" pid="5" name="MSIP_Label_e0480991-dcb4-47cd-9317-9f1326c2f39a_Enabled">
    <vt:lpwstr>true</vt:lpwstr>
  </property>
  <property fmtid="{D5CDD505-2E9C-101B-9397-08002B2CF9AE}" pid="6" name="MSIP_Label_e0480991-dcb4-47cd-9317-9f1326c2f39a_SetDate">
    <vt:lpwstr>2024-08-06T15:41:23Z</vt:lpwstr>
  </property>
  <property fmtid="{D5CDD505-2E9C-101B-9397-08002B2CF9AE}" pid="7" name="MSIP_Label_e0480991-dcb4-47cd-9317-9f1326c2f39a_Method">
    <vt:lpwstr>Privileged</vt:lpwstr>
  </property>
  <property fmtid="{D5CDD505-2E9C-101B-9397-08002B2CF9AE}" pid="8" name="MSIP_Label_e0480991-dcb4-47cd-9317-9f1326c2f39a_Name">
    <vt:lpwstr>English - Confidential</vt:lpwstr>
  </property>
  <property fmtid="{D5CDD505-2E9C-101B-9397-08002B2CF9AE}" pid="9" name="MSIP_Label_e0480991-dcb4-47cd-9317-9f1326c2f39a_SiteId">
    <vt:lpwstr>484a70d1-caaf-4a03-a477-1cbe688304af</vt:lpwstr>
  </property>
  <property fmtid="{D5CDD505-2E9C-101B-9397-08002B2CF9AE}" pid="10" name="MSIP_Label_e0480991-dcb4-47cd-9317-9f1326c2f39a_ActionId">
    <vt:lpwstr>2d63f4b9-7639-4566-aba9-733bbc729607</vt:lpwstr>
  </property>
  <property fmtid="{D5CDD505-2E9C-101B-9397-08002B2CF9AE}" pid="11" name="MSIP_Label_e0480991-dcb4-47cd-9317-9f1326c2f39a_ContentBits">
    <vt:lpwstr>1</vt:lpwstr>
  </property>
  <property fmtid="{D5CDD505-2E9C-101B-9397-08002B2CF9AE}" pid="12" name="_NewReviewCycle">
    <vt:lpwstr>_NewReviewCycle</vt:lpwstr>
  </property>
  <property fmtid="{D5CDD505-2E9C-101B-9397-08002B2CF9AE}" pid="13" name="MSIP_Label_4791b42f-c435-42ca-9531-75a3f42aae3d_Enabled">
    <vt:lpwstr>true</vt:lpwstr>
  </property>
  <property fmtid="{D5CDD505-2E9C-101B-9397-08002B2CF9AE}" pid="14" name="MSIP_Label_4791b42f-c435-42ca-9531-75a3f42aae3d_SetDate">
    <vt:lpwstr>2025-09-22T07:47:00Z</vt:lpwstr>
  </property>
  <property fmtid="{D5CDD505-2E9C-101B-9397-08002B2CF9AE}" pid="15" name="MSIP_Label_4791b42f-c435-42ca-9531-75a3f42aae3d_Method">
    <vt:lpwstr>Privileged</vt:lpwstr>
  </property>
  <property fmtid="{D5CDD505-2E9C-101B-9397-08002B2CF9AE}" pid="16" name="MSIP_Label_4791b42f-c435-42ca-9531-75a3f42aae3d_Name">
    <vt:lpwstr>4791b42f-c435-42ca-9531-75a3f42aae3d</vt:lpwstr>
  </property>
  <property fmtid="{D5CDD505-2E9C-101B-9397-08002B2CF9AE}" pid="17" name="MSIP_Label_4791b42f-c435-42ca-9531-75a3f42aae3d_SiteId">
    <vt:lpwstr>7a916015-20ae-4ad1-9170-eefd915e9272</vt:lpwstr>
  </property>
  <property fmtid="{D5CDD505-2E9C-101B-9397-08002B2CF9AE}" pid="18" name="MSIP_Label_4791b42f-c435-42ca-9531-75a3f42aae3d_ActionId">
    <vt:lpwstr>f2a5faa9-3aa8-4553-b6d6-faf1b5108ec1</vt:lpwstr>
  </property>
  <property fmtid="{D5CDD505-2E9C-101B-9397-08002B2CF9AE}" pid="19" name="MSIP_Label_4791b42f-c435-42ca-9531-75a3f42aae3d_ContentBits">
    <vt:lpwstr>0</vt:lpwstr>
  </property>
  <property fmtid="{D5CDD505-2E9C-101B-9397-08002B2CF9AE}" pid="20" name="MSIP_Label_4791b42f-c435-42ca-9531-75a3f42aae3d_Tag">
    <vt:lpwstr>10, 0, 1, 1</vt:lpwstr>
  </property>
  <property fmtid="{D5CDD505-2E9C-101B-9397-08002B2CF9AE}" pid="21" name="ClassificationContentMarkingFooterShapeIds">
    <vt:lpwstr>77c6caf0,7b21ad92,2c39049c,7492e5e0,4d3f0f3</vt:lpwstr>
  </property>
  <property fmtid="{D5CDD505-2E9C-101B-9397-08002B2CF9AE}" pid="22" name="ClassificationContentMarkingFooterFontProps">
    <vt:lpwstr>#000000,10,Aptos</vt:lpwstr>
  </property>
  <property fmtid="{D5CDD505-2E9C-101B-9397-08002B2CF9AE}" pid="23" name="ClassificationContentMarkingFooterText">
    <vt:lpwstr>Internal Use Only Ethics and Compliance</vt:lpwstr>
  </property>
  <property fmtid="{D5CDD505-2E9C-101B-9397-08002B2CF9AE}" pid="24" name="MSIP_Label_cf513a46-b961-46d6-9006-1e87d5eb3e82_Enabled">
    <vt:lpwstr>true</vt:lpwstr>
  </property>
  <property fmtid="{D5CDD505-2E9C-101B-9397-08002B2CF9AE}" pid="25" name="MSIP_Label_cf513a46-b961-46d6-9006-1e87d5eb3e82_SetDate">
    <vt:lpwstr>2025-12-18T15:49:25Z</vt:lpwstr>
  </property>
  <property fmtid="{D5CDD505-2E9C-101B-9397-08002B2CF9AE}" pid="26" name="MSIP_Label_cf513a46-b961-46d6-9006-1e87d5eb3e82_Method">
    <vt:lpwstr>Privileged</vt:lpwstr>
  </property>
  <property fmtid="{D5CDD505-2E9C-101B-9397-08002B2CF9AE}" pid="27" name="MSIP_Label_cf513a46-b961-46d6-9006-1e87d5eb3e82_Name">
    <vt:lpwstr>Internal Use Only Ethics and Compliance</vt:lpwstr>
  </property>
  <property fmtid="{D5CDD505-2E9C-101B-9397-08002B2CF9AE}" pid="28" name="MSIP_Label_cf513a46-b961-46d6-9006-1e87d5eb3e82_SiteId">
    <vt:lpwstr>4b4266a6-1368-41af-ad5a-59eb634f7ad8</vt:lpwstr>
  </property>
  <property fmtid="{D5CDD505-2E9C-101B-9397-08002B2CF9AE}" pid="29" name="MSIP_Label_cf513a46-b961-46d6-9006-1e87d5eb3e82_ActionId">
    <vt:lpwstr>8d813bb3-0f7a-4778-9cc3-c956b005a3a8</vt:lpwstr>
  </property>
  <property fmtid="{D5CDD505-2E9C-101B-9397-08002B2CF9AE}" pid="30" name="MSIP_Label_cf513a46-b961-46d6-9006-1e87d5eb3e82_ContentBits">
    <vt:lpwstr>2</vt:lpwstr>
  </property>
  <property fmtid="{D5CDD505-2E9C-101B-9397-08002B2CF9AE}" pid="31" name="MSIP_Label_cf513a46-b961-46d6-9006-1e87d5eb3e82_Tag">
    <vt:lpwstr>10, 0, 1, 1</vt:lpwstr>
  </property>
  <property fmtid="{D5CDD505-2E9C-101B-9397-08002B2CF9AE}" pid="32" name="ContentTypeId">
    <vt:lpwstr>0x0101000CBA4F73BF921E41B8A84583C3A93170</vt:lpwstr>
  </property>
  <property fmtid="{D5CDD505-2E9C-101B-9397-08002B2CF9AE}" pid="33" name="MediaServiceImageTags">
    <vt:lpwstr/>
  </property>
  <property fmtid="{D5CDD505-2E9C-101B-9397-08002B2CF9AE}" pid="34" name="docLang">
    <vt:lpwstr>fr</vt:lpwstr>
  </property>
</Properties>
</file>